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r>
        <w:rPr>
          <w:rFonts w:ascii="Calibri" w:cs="Calibri" w:eastAsia="Calibri" w:hAnsi="Calibri"/>
          <w:b/>
          <w:bCs/>
          <w:color w:val="1C7293"/>
          <w:spacing w:val="30"/>
          <w:sz w:val="22"/>
          <w:szCs w:val="22"/>
        </w:rPr>
        <w:t xml:space="preserve">CONNEXA EVENTS</w:t>
      </w:r>
    </w:p>
    <w:p>
      <w:pPr>
        <w:spacing w:after="80"/>
      </w:pPr>
    </w:p>
    <w:p>
      <w:r>
        <w:rPr>
          <w:rFonts w:ascii="Cambria" w:cs="Cambria" w:eastAsia="Cambria" w:hAnsi="Cambria"/>
          <w:b/>
          <w:bCs/>
          <w:color w:val="1B2A4A"/>
          <w:sz w:val="52"/>
          <w:szCs w:val="52"/>
        </w:rPr>
        <w:t xml:space="preserve">Client Onboarding &amp;</w:t>
      </w:r>
    </w:p>
    <w:p>
      <w:r>
        <w:rPr>
          <w:rFonts w:ascii="Cambria" w:cs="Cambria" w:eastAsia="Cambria" w:hAnsi="Cambria"/>
          <w:b/>
          <w:bCs/>
          <w:color w:val="1B2A4A"/>
          <w:sz w:val="52"/>
          <w:szCs w:val="52"/>
        </w:rPr>
        <w:t xml:space="preserve">Deployment Guide</w:t>
      </w:r>
    </w:p>
    <w:p>
      <w:pPr>
        <w:spacing w:after="200"/>
      </w:pPr>
    </w:p>
    <w:p>
      <w:r>
        <w:rPr>
          <w:rFonts w:ascii="Calibri" w:cs="Calibri" w:eastAsia="Calibri" w:hAnsi="Calibri"/>
          <w:i/>
          <w:iCs/>
          <w:color w:val="5B6472"/>
          <w:sz w:val="24"/>
          <w:szCs w:val="24"/>
        </w:rPr>
        <w:t xml:space="preserve">An internal implementation reference — from a signed client to a live event portal.</w:t>
      </w:r>
    </w:p>
    <w:p>
      <w:pPr>
        <w:spacing w:after="700"/>
      </w:pPr>
    </w:p>
    <w:p>
      <w:pPr>
        <w:pBdr>
          <w:top w:val="single" w:color="D9DEE3" w:sz="4" w:space="10"/>
        </w:pBdr>
      </w:pPr>
      <w:r>
        <w:rPr>
          <w:rFonts w:ascii="Calibri" w:cs="Calibri" w:eastAsia="Calibri" w:hAnsi="Calibri"/>
          <w:b/>
          <w:bCs/>
          <w:color w:val="5B6472"/>
          <w:spacing w:val="20"/>
          <w:sz w:val="18"/>
          <w:szCs w:val="18"/>
        </w:rPr>
        <w:t xml:space="preserve">INTERNAL USE — CONFIDENTIAL</w:t>
      </w:r>
    </w:p>
    <w:p>
      <w:pPr>
        <w:spacing w:before="100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Prepared August 2026 · Covers the current Connexa Events codebase</w:t>
      </w:r>
    </w:p>
    <w:p>
      <w:pPr>
        <w:spacing w:after="9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 this guide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1. How This Platform Is Deployed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 Client Dependencies Checklist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 The Template Base Sheet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 Step-by-Step Deployment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 Go-Live QA Checklist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6. Day-2 &amp; Ongoing Admin Notes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Appendix A — Full Sheet Reference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1. How This Platform Is Deployed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Connexa Events is deployed single-tenant: every client gets their own Google Sheet (the database) and their own copy of the Apps Script project (the server + client code) — never a shared instance. This isn't a configuration choice; it's how the code is built.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Two constants make this explicit in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Code.js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SPREADSHEET_ID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(which Sheet this deployment reads and writes)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BRANDING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(logo, colors, portal title). Both are hardcoded per deployment — onboarding a new client always means editing these two things in a fresh copy of the script, not configuring a shared multi-tenant system.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Hosting: who deploys?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Apps Script web apps run as whichever Google account clicked “Deploy” (appsscript.json sets executeAs: USER_DEPLOYING) — that account's Gmail sending quota, Drive storage, and script execution identity power the whole deployment. Decide this with the client before Step 4.2:</w:t>
      </w:r>
    </w:p>
    <w:tbl>
      <w:tblPr>
        <w:tblW w:type="pct" w:w="100%"/>
        <w:tblBorders>
          <w:top w:val="single" w:color="D9DEE3" w:sz="2"/>
          <w:left w:val="single" w:color="D9DEE3" w:sz="2"/>
          <w:bottom w:val="single" w:color="D9DEE3" w:sz="2"/>
          <w:right w:val="single" w:color="D9DEE3" w:sz="2"/>
          <w:insideH w:val="single" w:color="D9DEE3" w:sz="2"/>
          <w:insideV w:val="single" w:color="D9DEE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39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Client-owned</w:t>
            </w:r>
          </w:p>
        </w:tc>
        <w:tc>
          <w:tcPr>
            <w:tcW w:type="pct" w:w="39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Agency-hosted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Who deploys</w:t>
            </w:r>
          </w:p>
        </w:tc>
        <w:tc>
          <w:tcPr>
            <w:tcW w:type="pct" w:w="39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Client's own Google Workspace account</w:t>
            </w:r>
          </w:p>
        </w:tc>
        <w:tc>
          <w:tcPr>
            <w:tcW w:type="pct" w:w="39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Our agency's Google account, on the client's behalf</w:t>
            </w:r>
          </w:p>
        </w:tc>
      </w:tr>
      <w:tr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Email quota</w:t>
            </w:r>
          </w:p>
        </w:tc>
        <w:tc>
          <w:tcPr>
            <w:tcW w:type="pct" w:w="39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1,500/day on Workspace (100/day if consumer Gmail)</w:t>
            </w:r>
          </w:p>
        </w:tc>
        <w:tc>
          <w:tcPr>
            <w:tcW w:type="pct" w:w="39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Shared across every agency-hosted client on that account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 ownership</w:t>
            </w:r>
          </w:p>
        </w:tc>
        <w:tc>
          <w:tcPr>
            <w:tcW w:type="pct" w:w="39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Lives in the client's own Drive from day one</w:t>
            </w:r>
          </w:p>
        </w:tc>
        <w:tc>
          <w:tcPr>
            <w:tcW w:type="pct" w:w="39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Lives in our Drive until a handover is done</w:t>
            </w:r>
          </w:p>
        </w:tc>
      </w:tr>
      <w:tr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Recommended for</w:t>
            </w:r>
          </w:p>
        </w:tc>
        <w:tc>
          <w:tcPr>
            <w:tcW w:type="pct" w:w="39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Any client expecting real registration volume</w:t>
            </w:r>
          </w:p>
        </w:tc>
        <w:tc>
          <w:tcPr>
            <w:tcW w:type="pct" w:w="39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Quick pilots / clients without their own Workspace yet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1C7293" w:sz="4"/>
          <w:left w:val="single" w:color="1C7293" w:sz="4"/>
          <w:bottom w:val="single" w:color="1C7293" w:sz="4"/>
          <w:right w:val="single" w:color="1C7293" w:sz="4"/>
          <w:insideH w:val="none"/>
          <w:insideV w:val="none"/>
        </w:tblBorders>
      </w:tblPr>
      <w:tblGrid>
        <w:gridCol w:w="100"/>
      </w:tblGrid>
      <w:tr>
        <w:tc>
          <w:tcPr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7293"/>
                <w:sz w:val="18"/>
                <w:szCs w:val="18"/>
              </w:rPr>
              <w:t xml:space="preserve">WHY THIS MATTERS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consumer Gmail account caps confirmation emails at 100/day — event registrations and milestone reminders both draw from that same quota. Any client expecting more than ~90 registrations on a single day should be on Google Workspace, not a free Gmail account.</w:t>
            </w:r>
          </w:p>
        </w:tc>
      </w:tr>
    </w:tbl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2. Client Dependencies Checklist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Everything below should be confirmed or collected before Step 4 begins. Missing one of these mid-deployment is the most common source of onboarding delay.</w:t>
      </w:r>
    </w:p>
    <w:tbl>
      <w:tblPr>
        <w:tblW w:type="pct" w:w="100%"/>
        <w:tblBorders>
          <w:top w:val="single" w:color="D9DEE3" w:sz="2"/>
          <w:left w:val="single" w:color="D9DEE3" w:sz="2"/>
          <w:bottom w:val="single" w:color="D9DEE3" w:sz="2"/>
          <w:right w:val="single" w:color="D9DEE3" w:sz="2"/>
          <w:insideH w:val="single" w:color="D9DEE3" w:sz="2"/>
          <w:insideV w:val="single" w:color="D9DEE3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pct" w:w="66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it's needed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Hosting decision (client-owned vs. agency-hosted)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Determines who deploys and whose email quota the platform draws on — see Section 1.</w:t>
            </w:r>
          </w:p>
        </w:tc>
      </w:tr>
      <w:tr>
        <w:tc>
          <w:tcPr>
            <w:tcW w:type="pct" w:w="3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 Google Workspace account (strongly recommended)</w:t>
            </w:r>
          </w:p>
        </w:tc>
        <w:tc>
          <w:tcPr>
            <w:tcW w:type="pct" w:w="66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Consumer Gmail cap is 100 emails/day; Workspace is ~1,500/day. Any event with same-day confirmation emails past ~90 registrants needs Workspace.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Workspace admin sign-off for public web apps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portal is deployed with “Anyone” access (anonymous, unauthenticated attendees). Some Workspace admin consoles block anonymous-access Apps Script web apps by default — confirm this is allowed before Step 4.5.</w:t>
            </w:r>
          </w:p>
        </w:tc>
      </w:tr>
      <w:tr>
        <w:tc>
          <w:tcPr>
            <w:tcW w:type="pct" w:w="3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Editor access to the client's Drive/Workspace</w:t>
            </w:r>
          </w:p>
        </w:tc>
        <w:tc>
          <w:tcPr>
            <w:tcW w:type="pct" w:w="66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Our implementation team needs to create the Sheet and Apps Script project under the client's own account (client-owned hosting) or be granted a workspace to build in.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Branding assets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Logo URL, banner image URL (both must be publicly reachable), brand hex colors, and the event portal's title text.</w:t>
            </w:r>
          </w:p>
        </w:tc>
      </w:tr>
      <w:tr>
        <w:tc>
          <w:tcPr>
            <w:tcW w:type="pct" w:w="3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Event &amp; registration taxonomy</w:t>
            </w:r>
          </w:p>
        </w:tc>
        <w:tc>
          <w:tcPr>
            <w:tcW w:type="pct" w:w="66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client's real Event Types and Registration Types (e.g. “Buyer”/“Supplier”, “Exhibitor”) — this becomes the ClientOnboarding sheet and cannot be skipped; there's no in-app editor for it.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Admin user list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Full name + email address for everyone who needs Admin Portal access.</w:t>
            </w:r>
          </w:p>
        </w:tc>
      </w:tr>
      <w:tr>
        <w:tc>
          <w:tcPr>
            <w:tcW w:type="pct" w:w="3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Communications / compliance details</w:t>
            </w:r>
          </w:p>
        </w:tc>
        <w:tc>
          <w:tcPr>
            <w:tcW w:type="pct" w:w="66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Sender “From Name”, a reply-to address, and the organization's name + postal address for compliant email footers.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B2B meeting-scheduling process (B2B events only)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Connexa collects and displays buyer/supplier meeting preferences, but does NOT run the matching algorithm itself. If the client is running a B2B Pre-scheduled Meetings event, confirm who owns the external scheduling step — see Section 4.10.</w:t>
            </w:r>
          </w:p>
        </w:tc>
      </w:tr>
      <w:tr>
        <w:tc>
          <w:tcPr>
            <w:tcW w:type="pct" w:w="3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Custom domain expectations</w:t>
            </w:r>
          </w:p>
        </w:tc>
        <w:tc>
          <w:tcPr>
            <w:tcW w:type="pct" w:w="66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Apps Script web apps are always served from script.google.com/macros/s/.../exec. There is no native vanity-URL support — set this expectation with the client up front if they assume a branded domain.</w:t>
            </w:r>
          </w:p>
        </w:tc>
      </w:tr>
    </w:tbl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3. The Template Base Sheet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Companion file: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Connexa_Onboarding_Template.xlsx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Connexa's sheets fall into two categories: ones the platform creates automatically the first time they're needed (Events, Registrations, SubEventRegistrations, Orders, Milestones, every Communications sheet, and more), and a small handful that either cannot be self-populated or benefit from being ready on day one. The template contains only that second group:</w:t>
      </w:r>
    </w:p>
    <w:tbl>
      <w:tblPr>
        <w:tblW w:type="pct" w:w="100%"/>
        <w:tblBorders>
          <w:top w:val="single" w:color="D9DEE3" w:sz="2"/>
          <w:left w:val="single" w:color="D9DEE3" w:sz="2"/>
          <w:bottom w:val="single" w:color="D9DEE3" w:sz="2"/>
          <w:right w:val="single" w:color="D9DEE3" w:sz="2"/>
          <w:insideH w:val="single" w:color="D9DEE3" w:sz="2"/>
          <w:insideV w:val="single" w:color="D9DEE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pct" w:w="22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pct" w:w="54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Admins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(structure only)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Header row only. Admin rows are never hand-typed — see Step 4.4.</w:t>
            </w:r>
          </w:p>
        </w:tc>
      </w:tr>
      <w:tr>
        <w:tc>
          <w:tcPr>
            <w:tcW w:type="pct" w:w="2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ClientOnboarding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— must be filled in</w:t>
            </w:r>
          </w:p>
        </w:tc>
        <w:tc>
          <w:tcPr>
            <w:tcW w:type="pct" w:w="5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one sheet with no in-app editor. Defines every Event Type + Registration Type the client can use. Must be populated with the client's real taxonomy before event creation works correctly.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RegistrationFormFields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Extra registration questions beyond the built-in base fields. Safe to leave with just headers at launch.</w:t>
            </w:r>
          </w:p>
        </w:tc>
      </w:tr>
      <w:tr>
        <w:tc>
          <w:tcPr>
            <w:tcW w:type="pct" w:w="2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BudgetCategories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Pre-filled, editable</w:t>
            </w:r>
          </w:p>
        </w:tc>
        <w:tc>
          <w:tcPr>
            <w:tcW w:type="pct" w:w="54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Ships with the platform's own default cost/income categories — included so you can tailor the list for this client before go-live rather than after.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98E04" w:sz="4"/>
          <w:left w:val="single" w:color="D98E04" w:sz="4"/>
          <w:bottom w:val="single" w:color="D98E04" w:sz="4"/>
          <w:right w:val="single" w:color="D98E04" w:sz="4"/>
          <w:insideH w:val="none"/>
          <w:insideV w:val="none"/>
        </w:tblBorders>
      </w:tblPr>
      <w:tblGrid>
        <w:gridCol w:w="100"/>
      </w:tblGrid>
      <w:tr>
        <w:tc>
          <w:tcPr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8E04"/>
                <w:sz w:val="18"/>
                <w:szCs w:val="18"/>
              </w:rPr>
              <w:t xml:space="preserve">EVERYTHING ELSE IS AUTOMATIC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 not pre-build any other tab. The first time an attendee registers, an admin creates an event, or a campaign is sent, the platform creates that sheet itself with the correct headers. Pre-building them yourself risks a header mismatch the app then has to self-heal around.</w:t>
            </w:r>
          </w:p>
        </w:tc>
      </w:tr>
    </w:tbl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4. Step-by-Step Deployment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4.1 Confirm client dependencies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 through the Section 2 checklist with the client before doing anything else. In particular, lock down the hosting decision — it determines whose Google account performs every step below.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4.2 Create the client's Google Sheet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a new, blank Google Sheet inside the deploying account's Drive (client's Workspace, or the agency's, per the hosting decision).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Name it clearly, e.g. “Connexa Events — [Client Name] — Data”.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File &gt; Import &gt; Upload &gt; select Connexa_Onboarding_Template.xlsx &gt; “Insert new sheet(s)”. This adds its 4 tabs (plus the READ ME tab — delete that one once the team has read it) to the new Sheet.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Delete the Sheet's default empty “Sheet1” tab.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Replace every example row (shaded orange/italic) in ClientOnboarding — and in RegistrationFormFields if used — with the client's real data.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Copy the Sheet's ID from its URL: the long string between /d/ and /edit in https://docs.google.com/spreadsheets/d/SHEET_ID_HERE/edit.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4.3 Create the client's Apps Script project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Copy this project's source directory to a new local folder for the client (or branch it in source control).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that folder, run clasp create to provision a brand-new, empty Apps Script project (this replaces .clasp.json with a new scriptId — do this in the client's copy, never in the shared template project):</w:t>
      </w:r>
    </w:p>
    <w:p>
      <w:pPr>
        <w:pBdr>
          <w:top w:val="single" w:color="0F1720" w:sz="2" w:space="4"/>
          <w:bottom w:val="single" w:color="0F1720" w:sz="2" w:space="4"/>
          <w:left w:val="single" w:color="0F1720" w:sz="2" w:space="4"/>
          <w:right w:val="single" w:color="0F1720" w:sz="2" w:space="4"/>
        </w:pBdr>
        <w:shd w:fill="0F1720" w:val="clear"/>
        <w:spacing w:after="160" w:before="60"/>
        <w:ind w:left="200" w:right="200"/>
      </w:pP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clasp create --type webapp --title "Connexa Events — [Client Name]"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Update the two per-client constants at the top of Code.js:</w:t>
      </w:r>
    </w:p>
    <w:p>
      <w:pPr>
        <w:pBdr>
          <w:top w:val="single" w:color="0F1720" w:sz="2" w:space="4"/>
          <w:bottom w:val="single" w:color="0F1720" w:sz="2" w:space="4"/>
          <w:left w:val="single" w:color="0F1720" w:sz="2" w:space="4"/>
          <w:right w:val="single" w:color="0F1720" w:sz="2" w:space="4"/>
        </w:pBdr>
        <w:shd w:fill="0F1720" w:val="clear"/>
        <w:spacing w:after="160" w:before="60"/>
        <w:ind w:left="200" w:right="200"/>
      </w:pP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const SPREADSHEET_ID = 'PASTE_THE_NEW_SHEET_ID_HERE';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/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const BRANDING = {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logoUrl: 'https://.../client-logo.png',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bannerUrl: 'https://.../client-banner.jpg',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primaryColor: '#______',   // client's primary brand color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navyColor: '#______',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accentColor: '#______',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eventTitle: 'Client Name Event Portal',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  // ...remaining fields can keep their existing defaults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appsscript.json's timeZone matches where the client's events actually happen — every deadline, reminder, and “days until” calculation on the platform uses this single value.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Push the code to the new project:</w:t>
      </w:r>
    </w:p>
    <w:p>
      <w:pPr>
        <w:pBdr>
          <w:top w:val="single" w:color="0F1720" w:sz="2" w:space="4"/>
          <w:bottom w:val="single" w:color="0F1720" w:sz="2" w:space="4"/>
          <w:left w:val="single" w:color="0F1720" w:sz="2" w:space="4"/>
          <w:right w:val="single" w:color="0F1720" w:sz="2" w:space="4"/>
        </w:pBdr>
        <w:shd w:fill="0F1720" w:val="clear"/>
        <w:spacing w:after="160" w:before="60"/>
        <w:ind w:left="200" w:right="200"/>
      </w:pP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clasp push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4.4 Create the first admin account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There is no self-serve “create admin” flow in the product — the very first admin account is always created by running a function directly in the Apps Script editor.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the project in the Apps Script editor (clasp open, or via script.google.com).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Code.js and find adminSetPassword_(). Edit the email constant near the top of that function to the first admin's real email address.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Select adminSetPassword_ in the function dropdown and click Run.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View &gt; Logs (or Executions). The function logs a randomly generated one-time password — copy it from there.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 that one-time password with the admin over a secure channel, and have them log in and immediately set a real password via the portal's “Forgot password” flow rather than continuing to use the generated one.</w:t>
      </w:r>
    </w:p>
    <w:p>
      <w:pPr>
        <w:spacing w:after="60"/>
      </w:pPr>
    </w:p>
    <w:tbl>
      <w:tblPr>
        <w:tblW w:type="pct" w:w="100%"/>
        <w:tblBorders>
          <w:top w:val="single" w:color="1C7293" w:sz="4"/>
          <w:left w:val="single" w:color="1C7293" w:sz="4"/>
          <w:bottom w:val="single" w:color="1C7293" w:sz="4"/>
          <w:right w:val="single" w:color="1C7293" w:sz="4"/>
          <w:insideH w:val="none"/>
          <w:insideV w:val="none"/>
        </w:tblBorders>
      </w:tblPr>
      <w:tblGrid>
        <w:gridCol w:w="100"/>
      </w:tblGrid>
      <w:tr>
        <w:tc>
          <w:tcPr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7293"/>
                <w:sz w:val="18"/>
                <w:szCs w:val="18"/>
              </w:rPr>
              <w:t xml:space="preserve">ADDING MORE ADMINS LATER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Repeat this same process for every additional admin — editing the email constant and re-running adminSetPassword_ each time. See Section 6 for the ongoing pattern.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4.5 Deploy as a web app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the Apps Script editor: Deploy &gt; New deployment.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Select type: Web app.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Execute as: Me (the account performing this deployment — this is the identity whose email quota the whole platform will use).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Who has access: Anyone.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Deploy, then copy the generated /exec URL — this is the client's live Portal URL (the same URL serves both the attendee Portal and, via ?admin=1, the Admin Portal).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4.6 Configure Communications Settings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Communications engine seeds sensible defaults on first use (From Name “Event Portal”, a 90/day send cap) — update them for this client before any real emails go out: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 into the Admin Portal and open Communications &gt; Settings.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From Name and a monitored Reply-To address.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Footer Org Name and Footer Postal Address — required for compliant marketing email footers.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Raise Daily Send Cap if this client is on Google Workspace (safe up to ~1,490, leaving headroom below the 1,500/day platform limit); leave near the default if on consumer Gmail (100/day limit).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4.7 Retrieve the stakeholder Dashboard key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read-only stakeholder Dashboard (a lighter view for sponsors/stakeholders who shouldn't have full Admin Portal access) is gated by a random key generated automatically the first time it's requested — it is not a fixed password you set.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Load the dashboard once at [Portal URL]?page=dashboard&amp;key=anything to trigger key generation (this specific load will fail — that's expected).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the Apps Script editor: Project Settings &gt; Script Properties, find DASHBOARD_ACCESS_KEY, and copy its value.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 the real dashboard link with stakeholders as [Portal URL]?key=THAT_VALUE.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4.8 Create the client's first event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the Admin Portal, go to My Events &gt; Create Event. The Event Type dropdown is sourced live from the ClientOnboarding tab — if a type the client expects isn't listed, it's missing from that sheet (Step 4.2).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4.9 Floor Plan setup (Exhibition events only)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the event's Floor Plan Designer from the Admin Portal, define Asset Types and their pricing, then lay out booths (drag-and-drop, or the bulk “Generate Seats” tool for a large grid) before opening registration.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4.10 B2B meeting-schedule integration (B2B events only)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Connexa's role in a B2B Pre-scheduled Meetings event is to collect ranked buyer/supplier preferences and display the resulting itinerary — it does not run the matching algorithm itself. Whatever external tool or process produces the actual schedule must write its output into two sheets named exactly: </w:t>
      </w:r>
    </w:p>
    <w:p>
      <w:pPr>
        <w:pBdr>
          <w:top w:val="single" w:color="0F1720" w:sz="2" w:space="4"/>
          <w:bottom w:val="single" w:color="0F1720" w:sz="2" w:space="4"/>
          <w:left w:val="single" w:color="0F1720" w:sz="2" w:space="4"/>
          <w:right w:val="single" w:color="0F1720" w:sz="2" w:space="4"/>
        </w:pBdr>
        <w:shd w:fill="0F1720" w:val="clear"/>
        <w:spacing w:after="160" w:before="60"/>
        <w:ind w:left="200" w:right="200"/>
      </w:pP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&lt;EventID&gt;_BuyerMeetings</w:t>
      </w:r>
      <w:r>
        <w:br/>
      </w:r>
      <w:r>
        <w:rPr>
          <w:rFonts w:ascii="Courier New" w:cs="Courier New" w:eastAsia="Courier New" w:hAnsi="Courier New"/>
          <w:color w:val="D6DDE3"/>
          <w:sz w:val="19"/>
          <w:szCs w:val="19"/>
        </w:rPr>
        <w:t xml:space="preserve">&lt;EventID&gt;_SupplierMeetings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with the client who owns that step and in what format before the matchmaking milestone opens to attendees.</w:t>
      </w:r>
    </w:p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5. Go-Live QA Checklist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 through this list end-to-end before sharing the live link with the client's attendees.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one full attendee registration through the live Portal URL, including receiving the sign-in code email and the registration confirmation email.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 in to the Admin Portal as the real admin account (not the one-time password from Step 4.4).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at least one Milestone as a test attendee and confirm it shows as done in the Admin Portal.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Send one test communication from a template and confirm it renders correctly and lands in an inbox.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running a B2B event, confirm the meeting-schedule sheets (Section 4.10) are wired up and an itinerary renders correctly for a test attendee.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Double-check appsscript.json's timeZone against the client's actual event location.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Delete any test/demo registrations, events, or admin test accounts created during QA before real attendees start registering.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the Step 4.4 one-time admin password has been changed.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the Section 4.7 Dashboard key has been shared only with the intended stakeholders.</w:t>
      </w:r>
    </w:p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6. Day-2 &amp; Ongoing Admin Notes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Adding or removing admins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There is still no in-app admin management screen — every admin account is created the same way as Step 4.4, directly in the Apps Script editor. To remove access, delete that admin's row from the Admins sheet.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Changing branding after launch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Logo, colors, and the portal title live in the BRANDING constant in Code.js, not in a sheet — changing them means editing the code, clasp push, and (only if the change is to a Web App code path, not just static branding) creating a new deployment version.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Managing email quota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Registration confirmations, milestone reminders, and campaigns all draw from the same daily MailApp quota (Section 1). If a client is approaching their cap regularly, that's the signal to move them to — or confirm they're already on — Google Workspace.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Backups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Sheets' built-in version history (File &gt; Version history) covers most recovery needs. For longer-term archival, export the Sheet periodically, especially before any bulk data cleanup.</w:t>
      </w:r>
    </w:p>
    <w:p>
      <w:pPr>
        <w:pStyle w:val="Heading1"/>
        <w:pageBreakBefore/>
        <w:pBdr>
          <w:bottom w:val="single" w:color="D9DEE3" w:sz="2" w:space="8"/>
        </w:pBdr>
        <w:spacing w:after="160" w:before="20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Appendix A — Full Sheet Reference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troubleshooting: every sheet the platform can create, whether it's auto-created or must be pre-populated, and what it stores.</w:t>
      </w:r>
    </w:p>
    <w:tbl>
      <w:tblPr>
        <w:tblW w:type="pct" w:w="100%"/>
        <w:tblBorders>
          <w:top w:val="single" w:color="D9DEE3" w:sz="2"/>
          <w:left w:val="single" w:color="D9DEE3" w:sz="2"/>
          <w:bottom w:val="single" w:color="D9DEE3" w:sz="2"/>
          <w:right w:val="single" w:color="D9DEE3" w:sz="2"/>
          <w:insideH w:val="single" w:color="D9DEE3" w:sz="2"/>
          <w:insideV w:val="single" w:color="D9DEE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pct" w:w="22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Auto-created?</w:t>
            </w:r>
          </w:p>
        </w:tc>
        <w:tc>
          <w:tcPr>
            <w:tcW w:type="pct" w:w="48%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Admins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Structure yes / rows no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Admin login credentials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ClientOnboarding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 — must pre-populate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Event Type → Registration Type → IsB2B mapping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RegistrationFormFields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(optional content)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Extra per-Event-Type registration questions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Events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Every top-level event and sub-event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Registrations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One row per attendee per top-level event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Membership Details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Cross-event company directory, keyed by email domain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Meeting Preferences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B2B ranked buyer/supplier selections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DietaryRequirements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Legacy/standalone dietary submissions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SubEventRegistrations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Sub-event &amp; booth allocation ledger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FloorPlanElements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Exhibition booth/decor layout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Milestones / MilestoneCompletions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Pre-event task definitions &amp; completions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Orders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Auto-generated income ledger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BudgetLines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Manual cost/income budget lines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BudgetCategories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(pre-filled)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Cost/income category list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Profiles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Reusable cross-event attendee identity</w:t>
            </w:r>
          </w:p>
        </w:tc>
      </w:tr>
      <w:tr>
        <w:tc>
          <w:tcPr>
            <w:tcW w:type="pct" w:w="30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&lt;EventID&gt;_BuyerMeetings / _SupplierMeetings</w:t>
            </w:r>
          </w:p>
        </w:tc>
        <w:tc>
          <w:tcPr>
            <w:tcW w:type="pct" w:w="22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 — external tool</w:t>
            </w:r>
          </w:p>
        </w:tc>
        <w:tc>
          <w:tcPr>
            <w:tcW w:type="pct" w:w="48%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B2B meeting schedule (Section 4.10)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CommunicationTemplates / Campaigns / Queue / Log / OptOut / Settings / Automations</w:t>
            </w:r>
          </w:p>
        </w:tc>
        <w:tc>
          <w:tcPr>
            <w:tcW w:type="pct" w:w="2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full Communications engine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3" w:sz="2" w:space="4"/>
      </w:pBdr>
      <w:jc w:val="right"/>
    </w:pPr>
    <w:r>
      <w:rPr>
        <w:rFonts w:ascii="Calibri" w:cs="Calibri" w:eastAsia="Calibri" w:hAnsi="Calibri"/>
        <w:color w:val="5B6472"/>
        <w:spacing w:val="10"/>
        <w:sz w:val="15"/>
        <w:szCs w:val="15"/>
      </w:rPr>
      <w:t xml:space="preserve">CONNEXA EVENTS · ONBOARDING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2026-08-03T20:19:57.626Z</dcterms:created>
  <dcterms:modified xsi:type="dcterms:W3CDTF">2026-08-03T20:19:57.633Z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