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  <w:pStyle w:val="Compact"/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  <w:pStyle w:val="Compact"/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numPr>
          <w:ilvl w:val="0"/>
          <w:numId w:val="1001"/>
        </w:numPr>
        <w:pStyle w:val="Compact"/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numPr>
          <w:ilvl w:val="0"/>
          <w:numId w:val="1001"/>
        </w:numPr>
        <w:pStyle w:val="Compact"/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numPr>
          <w:ilvl w:val="0"/>
          <w:numId w:val="1001"/>
        </w:numPr>
        <w:pStyle w:val="Compact"/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numPr>
          <w:ilvl w:val="0"/>
          <w:numId w:val="1001"/>
        </w:numPr>
        <w:pStyle w:val="Compact"/>
      </w:pPr>
      <w:r>
        <w:t xml:space="preserve">Удалите файл ~/logfile.</w:t>
      </w:r>
    </w:p>
    <w:p>
      <w:pPr>
        <w:numPr>
          <w:ilvl w:val="0"/>
          <w:numId w:val="1001"/>
        </w:numPr>
        <w:pStyle w:val="Compact"/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  <w:pStyle w:val="Compact"/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numPr>
          <w:ilvl w:val="0"/>
          <w:numId w:val="1001"/>
        </w:numPr>
        <w:pStyle w:val="Compact"/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numPr>
          <w:ilvl w:val="0"/>
          <w:numId w:val="1001"/>
        </w:numPr>
        <w:pStyle w:val="Compact"/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numPr>
          <w:ilvl w:val="0"/>
          <w:numId w:val="1001"/>
        </w:numPr>
        <w:pStyle w:val="Compact"/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</w:t>
      </w:r>
    </w:p>
    <w:bookmarkEnd w:id="21"/>
    <w:bookmarkStart w:id="10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Запишем в файл file.txt названия файлов, содержащихся в каталоге /etc. Допи-</w:t>
      </w:r>
      <w:r>
        <w:t xml:space="preserve"> </w:t>
      </w:r>
      <w:r>
        <w:t xml:space="preserve">шем в этот же файл названия файлов, содержащихся в вашем домашнем каталоге. (рис. 1).</w:t>
      </w:r>
    </w:p>
    <w:p>
      <w:pPr>
        <w:pStyle w:val="CaptionedFigure"/>
      </w:pPr>
      <w:r>
        <w:drawing>
          <wp:inline>
            <wp:extent cx="3733800" cy="3901084"/>
            <wp:effectExtent b="0" l="0" r="0" t="0"/>
            <wp:docPr descr="Запишем в файл file.txt названия фай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Запишем в файл file.txt названия файлов</w:t>
      </w:r>
    </w:p>
    <w:p>
      <w:pPr>
        <w:pStyle w:val="BodyText"/>
      </w:pPr>
      <w:r>
        <w:t xml:space="preserve">(рис. 2).</w:t>
      </w:r>
    </w:p>
    <w:p>
      <w:pPr>
        <w:pStyle w:val="CaptionedFigure"/>
      </w:pPr>
      <w:r>
        <w:drawing>
          <wp:inline>
            <wp:extent cx="3733800" cy="3822507"/>
            <wp:effectExtent b="0" l="0" r="0" t="0"/>
            <wp:docPr descr="Допишем названия файлов, содержащихся в вашем домашнем каталоге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Допишем названия файлов, содержащихся в вашем домашнем каталоге.</w:t>
      </w:r>
    </w:p>
    <w:p>
      <w:pPr>
        <w:pStyle w:val="BodyText"/>
      </w:pPr>
      <w:r>
        <w:t xml:space="preserve">(рис. 3).</w:t>
      </w:r>
    </w:p>
    <w:p>
      <w:pPr>
        <w:pStyle w:val="CaptionedFigure"/>
      </w:pPr>
      <w:r>
        <w:drawing>
          <wp:inline>
            <wp:extent cx="3733800" cy="4432894"/>
            <wp:effectExtent b="0" l="0" r="0" t="0"/>
            <wp:docPr descr="Провери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Проверим</w:t>
      </w:r>
    </w:p>
    <w:p>
      <w:pPr>
        <w:pStyle w:val="BodyText"/>
      </w:pPr>
      <w:r>
        <w:t xml:space="preserve">Выведем имена всех файлов из file.txt, имеющих расширение .conf (рис. 4).</w:t>
      </w:r>
    </w:p>
    <w:p>
      <w:pPr>
        <w:pStyle w:val="CaptionedFigure"/>
      </w:pPr>
      <w:r>
        <w:drawing>
          <wp:inline>
            <wp:extent cx="3733800" cy="3999146"/>
            <wp:effectExtent b="0" l="0" r="0" t="0"/>
            <wp:docPr descr="Выведем имена всех файлов из file.txt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Выведем имена всех файлов из file.txt</w:t>
      </w:r>
    </w:p>
    <w:p>
      <w:pPr>
        <w:pStyle w:val="BodyText"/>
      </w:pPr>
      <w:r>
        <w:t xml:space="preserve">После чего запишем их в новый текстовой файл conf.txt. (рис. 5).</w:t>
      </w:r>
    </w:p>
    <w:p>
      <w:pPr>
        <w:pStyle w:val="CaptionedFigure"/>
      </w:pPr>
      <w:r>
        <w:drawing>
          <wp:inline>
            <wp:extent cx="3733800" cy="1678112"/>
            <wp:effectExtent b="0" l="0" r="0" t="0"/>
            <wp:docPr descr="Запишем в conf.txt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Запишем в conf.txt</w:t>
      </w:r>
    </w:p>
    <w:p>
      <w:pPr>
        <w:pStyle w:val="BodyText"/>
      </w:pPr>
      <w:r>
        <w:t xml:space="preserve">Определим, какие файлы в вашем домашнем каталоге имеют имена, начинавшиеся</w:t>
      </w:r>
      <w:r>
        <w:t xml:space="preserve"> </w:t>
      </w:r>
      <w:r>
        <w:t xml:space="preserve">с символа c. Предложим несколько вариантов, как это сделать. (рис. 6).</w:t>
      </w:r>
    </w:p>
    <w:p>
      <w:pPr>
        <w:pStyle w:val="CaptionedFigure"/>
      </w:pPr>
      <w:r>
        <w:drawing>
          <wp:inline>
            <wp:extent cx="3733800" cy="281979"/>
            <wp:effectExtent b="0" l="0" r="0" t="0"/>
            <wp:docPr descr="Вариант 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Вариант 1</w:t>
      </w:r>
    </w:p>
    <w:p>
      <w:pPr>
        <w:pStyle w:val="BodyText"/>
      </w:pPr>
      <w:r>
        <w:t xml:space="preserve">(рис. 7).</w:t>
      </w:r>
    </w:p>
    <w:p>
      <w:pPr>
        <w:pStyle w:val="CaptionedFigure"/>
      </w:pPr>
      <w:r>
        <w:drawing>
          <wp:inline>
            <wp:extent cx="3733800" cy="3676060"/>
            <wp:effectExtent b="0" l="0" r="0" t="0"/>
            <wp:docPr descr="Вывод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</w:t>
      </w:r>
    </w:p>
    <w:p>
      <w:pPr>
        <w:pStyle w:val="BodyText"/>
      </w:pPr>
      <w:r>
        <w:t xml:space="preserve">(рис. 8).</w:t>
      </w:r>
    </w:p>
    <w:p>
      <w:pPr>
        <w:pStyle w:val="CaptionedFigure"/>
      </w:pPr>
      <w:r>
        <w:drawing>
          <wp:inline>
            <wp:extent cx="3733800" cy="884591"/>
            <wp:effectExtent b="0" l="0" r="0" t="0"/>
            <wp:docPr descr="Вариант 2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Вариант 2</w:t>
      </w:r>
    </w:p>
    <w:p>
      <w:pPr>
        <w:pStyle w:val="BodyText"/>
      </w:pPr>
      <w:r>
        <w:t xml:space="preserve">(рис. 9).</w:t>
      </w:r>
    </w:p>
    <w:p>
      <w:pPr>
        <w:pStyle w:val="CaptionedFigure"/>
      </w:pPr>
      <w:r>
        <w:drawing>
          <wp:inline>
            <wp:extent cx="3733800" cy="575207"/>
            <wp:effectExtent b="0" l="0" r="0" t="0"/>
            <wp:docPr descr="Вариант 3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Вариант 3</w:t>
      </w:r>
    </w:p>
    <w:p>
      <w:pPr>
        <w:pStyle w:val="BodyText"/>
      </w:pPr>
      <w:r>
        <w:t xml:space="preserve">Выведем на экран (по странично) имена файлов из каталога /etc, начинающиеся</w:t>
      </w:r>
      <w:r>
        <w:t xml:space="preserve"> </w:t>
      </w:r>
      <w:r>
        <w:t xml:space="preserve">с символа h. (рис. 10).</w:t>
      </w:r>
    </w:p>
    <w:p>
      <w:pPr>
        <w:pStyle w:val="CaptionedFigure"/>
      </w:pPr>
      <w:r>
        <w:drawing>
          <wp:inline>
            <wp:extent cx="3733800" cy="271001"/>
            <wp:effectExtent b="0" l="0" r="0" t="0"/>
            <wp:docPr descr="Команд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</w:t>
      </w:r>
    </w:p>
    <w:p>
      <w:pPr>
        <w:pStyle w:val="BodyText"/>
      </w:pPr>
      <w:r>
        <w:t xml:space="preserve">(рис. 11).</w:t>
      </w:r>
    </w:p>
    <w:p>
      <w:pPr>
        <w:pStyle w:val="CaptionedFigure"/>
      </w:pPr>
      <w:r>
        <w:drawing>
          <wp:inline>
            <wp:extent cx="3733800" cy="3401085"/>
            <wp:effectExtent b="0" l="0" r="0" t="0"/>
            <wp:docPr descr="Имена файлов начинающиеся с символа h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Имена файлов начинающиеся с символа h</w:t>
      </w:r>
    </w:p>
    <w:p>
      <w:pPr>
        <w:pStyle w:val="BodyText"/>
      </w:pPr>
      <w:r>
        <w:t xml:space="preserve">Запустим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 (рис. 12).</w:t>
      </w:r>
    </w:p>
    <w:p>
      <w:pPr>
        <w:pStyle w:val="CaptionedFigure"/>
      </w:pPr>
      <w:r>
        <w:drawing>
          <wp:inline>
            <wp:extent cx="3733800" cy="421898"/>
            <wp:effectExtent b="0" l="0" r="0" t="0"/>
            <wp:docPr descr="Записываем в файл ~/logfile файлы, имена которых начинаются с log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Записываем в файл ~/logfile файлы, имена которых начинаются с log</w:t>
      </w:r>
    </w:p>
    <w:p>
      <w:pPr>
        <w:pStyle w:val="BodyText"/>
      </w:pPr>
      <w:r>
        <w:t xml:space="preserve">Удалим файл ~/logfile. (рис. 13).</w:t>
      </w:r>
    </w:p>
    <w:p>
      <w:pPr>
        <w:pStyle w:val="CaptionedFigure"/>
      </w:pPr>
      <w:r>
        <w:drawing>
          <wp:inline>
            <wp:extent cx="3670388" cy="306931"/>
            <wp:effectExtent b="0" l="0" r="0" t="0"/>
            <wp:docPr descr="Удаление файла ~/logfile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Удаление файла ~/logfile</w:t>
      </w:r>
    </w:p>
    <w:p>
      <w:pPr>
        <w:pStyle w:val="BodyText"/>
      </w:pPr>
      <w:r>
        <w:t xml:space="preserve">Запустим из консоли в фоновом режиме редактор gedit. (рис. 14).</w:t>
      </w:r>
    </w:p>
    <w:p>
      <w:pPr>
        <w:pStyle w:val="CaptionedFigure"/>
      </w:pPr>
      <w:r>
        <w:drawing>
          <wp:inline>
            <wp:extent cx="3094892" cy="908005"/>
            <wp:effectExtent b="0" l="0" r="0" t="0"/>
            <wp:docPr descr="Запуск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908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</w:t>
      </w:r>
    </w:p>
    <w:p>
      <w:pPr>
        <w:pStyle w:val="BodyText"/>
      </w:pPr>
      <w:r>
        <w:t xml:space="preserve">(рис. 15).</w:t>
      </w:r>
    </w:p>
    <w:p>
      <w:pPr>
        <w:pStyle w:val="CaptionedFigure"/>
      </w:pPr>
      <w:r>
        <w:drawing>
          <wp:inline>
            <wp:extent cx="3733800" cy="3280160"/>
            <wp:effectExtent b="0" l="0" r="0" t="0"/>
            <wp:docPr descr="Открывшееся окно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Открывшееся окно</w:t>
      </w:r>
    </w:p>
    <w:p>
      <w:pPr>
        <w:pStyle w:val="BodyText"/>
      </w:pPr>
      <w:r>
        <w:t xml:space="preserve">Определим идентификатор процесса gedit, используя команду ps, конвейер и фильтр</w:t>
      </w:r>
      <w:r>
        <w:t xml:space="preserve"> </w:t>
      </w:r>
      <w:r>
        <w:t xml:space="preserve">grep. (рис. 16).</w:t>
      </w:r>
    </w:p>
    <w:p>
      <w:pPr>
        <w:pStyle w:val="CaptionedFigure"/>
      </w:pPr>
      <w:r>
        <w:drawing>
          <wp:inline>
            <wp:extent cx="3733800" cy="330122"/>
            <wp:effectExtent b="0" l="0" r="0" t="0"/>
            <wp:docPr descr="Идентификатор процесса gedit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Идентификатор процесса gedit</w:t>
      </w:r>
    </w:p>
    <w:p>
      <w:pPr>
        <w:pStyle w:val="BodyText"/>
      </w:pPr>
      <w:r>
        <w:t xml:space="preserve">(рис. 17).</w:t>
      </w:r>
    </w:p>
    <w:p>
      <w:pPr>
        <w:pStyle w:val="CaptionedFigure"/>
      </w:pPr>
      <w:r>
        <w:drawing>
          <wp:inline>
            <wp:extent cx="3733800" cy="384544"/>
            <wp:effectExtent b="0" l="0" r="0" t="0"/>
            <wp:docPr descr="Идентификатор процесса gedit другим способом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Идентификатор процесса gedit другим способом</w:t>
      </w:r>
    </w:p>
    <w:p>
      <w:pPr>
        <w:pStyle w:val="BodyText"/>
      </w:pPr>
      <w:r>
        <w:t xml:space="preserve">Прочтем справку (man) команды kill, после чего используем её для завершения процесса gedit. (рис. 18).</w:t>
      </w:r>
    </w:p>
    <w:p>
      <w:pPr>
        <w:pStyle w:val="CaptionedFigure"/>
      </w:pPr>
      <w:r>
        <w:drawing>
          <wp:inline>
            <wp:extent cx="3733800" cy="419648"/>
            <wp:effectExtent b="0" l="0" r="0" t="0"/>
            <wp:docPr descr="Запустим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Запустим</w:t>
      </w:r>
    </w:p>
    <w:p>
      <w:pPr>
        <w:pStyle w:val="BodyText"/>
      </w:pPr>
      <w:r>
        <w:t xml:space="preserve">(рис. 19).</w:t>
      </w:r>
    </w:p>
    <w:p>
      <w:pPr>
        <w:pStyle w:val="CaptionedFigure"/>
      </w:pPr>
      <w:r>
        <w:drawing>
          <wp:inline>
            <wp:extent cx="3733800" cy="3231879"/>
            <wp:effectExtent b="0" l="0" r="0" t="0"/>
            <wp:docPr descr="Прочтем справку (man) команды kill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Прочтем справку (man) команды kill</w:t>
      </w:r>
    </w:p>
    <w:p>
      <w:pPr>
        <w:pStyle w:val="BodyText"/>
      </w:pPr>
      <w:r>
        <w:t xml:space="preserve">(рис. 20).</w:t>
      </w:r>
    </w:p>
    <w:p>
      <w:pPr>
        <w:pStyle w:val="CaptionedFigure"/>
      </w:pPr>
      <w:r>
        <w:drawing>
          <wp:inline>
            <wp:extent cx="3733800" cy="602572"/>
            <wp:effectExtent b="0" l="0" r="0" t="0"/>
            <wp:docPr descr="Завершим процесс gedit.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Завершим процесс gedit.</w:t>
      </w:r>
    </w:p>
    <w:p>
      <w:pPr>
        <w:pStyle w:val="BodyText"/>
      </w:pPr>
      <w:r>
        <w:t xml:space="preserve">Выполним команды df и du, предварительно получив более подробную информацию об этих командах, с помощью команды man. (рис. 21).</w:t>
      </w:r>
    </w:p>
    <w:p>
      <w:pPr>
        <w:pStyle w:val="CaptionedFigure"/>
      </w:pPr>
      <w:r>
        <w:drawing>
          <wp:inline>
            <wp:extent cx="3733800" cy="407323"/>
            <wp:effectExtent b="0" l="0" r="0" t="0"/>
            <wp:docPr descr="man df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man df</w:t>
      </w:r>
    </w:p>
    <w:p>
      <w:pPr>
        <w:pStyle w:val="BodyText"/>
      </w:pPr>
      <w:r>
        <w:t xml:space="preserve">(рис. 22).</w:t>
      </w:r>
    </w:p>
    <w:p>
      <w:pPr>
        <w:pStyle w:val="CaptionedFigure"/>
      </w:pPr>
      <w:r>
        <w:drawing>
          <wp:inline>
            <wp:extent cx="3733800" cy="3261013"/>
            <wp:effectExtent b="0" l="0" r="0" t="0"/>
            <wp:docPr descr="Прочтем справку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Прочтем справку</w:t>
      </w:r>
    </w:p>
    <w:p>
      <w:pPr>
        <w:pStyle w:val="BodyText"/>
      </w:pPr>
      <w:r>
        <w:t xml:space="preserve">(рис. 23).</w:t>
      </w:r>
    </w:p>
    <w:p>
      <w:pPr>
        <w:pStyle w:val="CaptionedFigure"/>
      </w:pPr>
      <w:r>
        <w:drawing>
          <wp:inline>
            <wp:extent cx="3733800" cy="2386986"/>
            <wp:effectExtent b="0" l="0" r="0" t="0"/>
            <wp:docPr descr="df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df</w:t>
      </w:r>
    </w:p>
    <w:p>
      <w:pPr>
        <w:pStyle w:val="BodyText"/>
      </w:pPr>
      <w:r>
        <w:t xml:space="preserve">(рис. 24).</w:t>
      </w:r>
    </w:p>
    <w:p>
      <w:pPr>
        <w:pStyle w:val="CaptionedFigure"/>
      </w:pPr>
      <w:r>
        <w:drawing>
          <wp:inline>
            <wp:extent cx="3733800" cy="3130647"/>
            <wp:effectExtent b="0" l="0" r="0" t="0"/>
            <wp:docPr descr="du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du</w:t>
      </w:r>
    </w:p>
    <w:p>
      <w:pPr>
        <w:pStyle w:val="BodyText"/>
      </w:pPr>
      <w:r>
        <w:t xml:space="preserve">(рис. 25).</w:t>
      </w:r>
    </w:p>
    <w:p>
      <w:pPr>
        <w:pStyle w:val="CaptionedFigure"/>
      </w:pPr>
      <w:r>
        <w:drawing>
          <wp:inline>
            <wp:extent cx="3733800" cy="3265574"/>
            <wp:effectExtent b="0" l="0" r="0" t="0"/>
            <wp:docPr descr="Прочтем справку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Прочтем справку</w:t>
      </w:r>
    </w:p>
    <w:p>
      <w:pPr>
        <w:pStyle w:val="BodyText"/>
      </w:pPr>
      <w:r>
        <w:t xml:space="preserve">Воспользовавшись справкой команды find, выведем имена всех директорий, имеющихся в вашем домашнем каталоге.(рис. 26).</w:t>
      </w:r>
    </w:p>
    <w:p>
      <w:pPr>
        <w:pStyle w:val="CaptionedFigure"/>
      </w:pPr>
      <w:r>
        <w:drawing>
          <wp:inline>
            <wp:extent cx="3733800" cy="1178256"/>
            <wp:effectExtent b="0" l="0" r="0" t="0"/>
            <wp:docPr descr="Справка команды find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Справка команды find</w:t>
      </w:r>
    </w:p>
    <w:p>
      <w:pPr>
        <w:pStyle w:val="BodyText"/>
      </w:pPr>
      <w:r>
        <w:t xml:space="preserve">(рис. 27).</w:t>
      </w:r>
    </w:p>
    <w:p>
      <w:pPr>
        <w:pStyle w:val="CaptionedFigure"/>
      </w:pPr>
      <w:r>
        <w:drawing>
          <wp:inline>
            <wp:extent cx="3733800" cy="3399096"/>
            <wp:effectExtent b="0" l="0" r="0" t="0"/>
            <wp:docPr descr="Имена всех директорий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Имена всех директорий</w:t>
      </w:r>
    </w:p>
    <w:bookmarkEnd w:id="103"/>
    <w:bookmarkStart w:id="10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ознакомлись с инструментами поиска файлов и фильтрации текстовых данных, приобрели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Жукова София Викторона</dc:creator>
  <dc:language>ru-RU</dc:language>
  <cp:keywords/>
  <dcterms:created xsi:type="dcterms:W3CDTF">2025-04-03T13:42:42Z</dcterms:created>
  <dcterms:modified xsi:type="dcterms:W3CDTF">2025-04-03T13:42:42Z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Поиск файлов. Перенаправление ввода-вывода. Просмотр запущенных процессов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