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системы.</w:t>
      </w:r>
    </w:p>
    <w:bookmarkEnd w:id="20"/>
    <w:bookmarkStart w:id="5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Управление брандмауэром с помощью firewall-cmd</w:t>
      </w:r>
    </w:p>
    <w:p>
      <w:pPr>
        <w:pStyle w:val="BodyText"/>
      </w:pPr>
      <w:r>
        <w:t xml:space="preserve">Получим полномочия администратора</w:t>
      </w:r>
      <w:r>
        <w:t xml:space="preserve"> </w:t>
      </w:r>
      <w:r>
        <w:t xml:space="preserve">Определим текущую зону по умолчанию</w:t>
      </w:r>
      <w:r>
        <w:t xml:space="preserve"> </w:t>
      </w:r>
      <w:r>
        <w:t xml:space="preserve">Определим доступные зоны</w:t>
      </w:r>
      <w:r>
        <w:t xml:space="preserve"> </w:t>
      </w:r>
      <w:r>
        <w:t xml:space="preserve">Посмотрим службы, доступные на нашем компьютере, используя (рис. 1).</w:t>
      </w:r>
    </w:p>
    <w:p>
      <w:pPr>
        <w:pStyle w:val="CaptionedFigure"/>
      </w:pPr>
      <w:r>
        <w:drawing>
          <wp:inline>
            <wp:extent cx="3733800" cy="3083739"/>
            <wp:effectExtent b="0" l="0" r="0" t="0"/>
            <wp:docPr descr="Посмотрим служб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Посмотрим службы</w:t>
      </w:r>
    </w:p>
    <w:p>
      <w:pPr>
        <w:pStyle w:val="BodyText"/>
      </w:pPr>
      <w:r>
        <w:t xml:space="preserve">Определим доступные службы в текущей зоне: (рис. 2).</w:t>
      </w:r>
    </w:p>
    <w:p>
      <w:pPr>
        <w:pStyle w:val="CaptionedFigure"/>
      </w:pPr>
      <w:r>
        <w:drawing>
          <wp:inline>
            <wp:extent cx="3733800" cy="323921"/>
            <wp:effectExtent b="0" l="0" r="0" t="0"/>
            <wp:docPr descr="Определим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Определим</w:t>
      </w:r>
    </w:p>
    <w:p>
      <w:pPr>
        <w:pStyle w:val="BodyText"/>
      </w:pPr>
      <w:r>
        <w:t xml:space="preserve">Сравним результаты вывода информации при использовании команды</w:t>
      </w:r>
      <w:r>
        <w:t xml:space="preserve"> </w:t>
      </w:r>
      <w:r>
        <w:t xml:space="preserve">firewall-cmd –list-all и команды firewall-cmd –list-all –zone=public (рис. 3).</w:t>
      </w:r>
    </w:p>
    <w:p>
      <w:pPr>
        <w:pStyle w:val="CaptionedFigure"/>
      </w:pPr>
      <w:r>
        <w:drawing>
          <wp:inline>
            <wp:extent cx="3733800" cy="4212853"/>
            <wp:effectExtent b="0" l="0" r="0" t="0"/>
            <wp:docPr descr="Сравним результаты вывод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12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Сравним результаты вывода</w:t>
      </w:r>
    </w:p>
    <w:p>
      <w:pPr>
        <w:pStyle w:val="BodyText"/>
      </w:pPr>
      <w:r>
        <w:t xml:space="preserve">Добавим сервер VNC в конфигурацию брандмауэра</w:t>
      </w:r>
      <w:r>
        <w:t xml:space="preserve"> </w:t>
      </w:r>
      <w:r>
        <w:t xml:space="preserve">Проверим, добавился ли vnc-server в конфигурацию (рис. 4).</w:t>
      </w:r>
    </w:p>
    <w:p>
      <w:pPr>
        <w:pStyle w:val="CaptionedFigure"/>
      </w:pPr>
      <w:r>
        <w:drawing>
          <wp:inline>
            <wp:extent cx="3733800" cy="3004172"/>
            <wp:effectExtent b="0" l="0" r="0" t="0"/>
            <wp:docPr descr="Проверим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4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Проверим</w:t>
      </w:r>
    </w:p>
    <w:p>
      <w:pPr>
        <w:pStyle w:val="BodyText"/>
      </w:pPr>
      <w:r>
        <w:t xml:space="preserve">Провермс, есть ли vnc-server в конфигурации:</w:t>
      </w:r>
      <w:r>
        <w:t xml:space="preserve"> </w:t>
      </w:r>
      <w:r>
        <w:t xml:space="preserve">Обратим внимание, что служба vnc-server больше не указана. Добавим службу vnc-server ещё раз, но на этот раз сделаем её постоянной, используя команду</w:t>
      </w:r>
      <w:r>
        <w:t xml:space="preserve"> </w:t>
      </w:r>
      <w:r>
        <w:t xml:space="preserve">Проверим наличие vnc-server в конфигурации (рис. 5).</w:t>
      </w:r>
    </w:p>
    <w:p>
      <w:pPr>
        <w:pStyle w:val="CaptionedFigure"/>
      </w:pPr>
      <w:r>
        <w:drawing>
          <wp:inline>
            <wp:extent cx="3733800" cy="3503288"/>
            <wp:effectExtent b="0" l="0" r="0" t="0"/>
            <wp:docPr descr="Проверим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3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Проверим</w:t>
      </w:r>
    </w:p>
    <w:p>
      <w:pPr>
        <w:pStyle w:val="BodyText"/>
      </w:pPr>
      <w:r>
        <w:t xml:space="preserve">Перезагрузим конфигурацию firewalld и просмотрим конфигурацию времени выполнения: (рис. 6).</w:t>
      </w:r>
    </w:p>
    <w:p>
      <w:pPr>
        <w:pStyle w:val="CaptionedFigure"/>
      </w:pPr>
      <w:r>
        <w:drawing>
          <wp:inline>
            <wp:extent cx="3733800" cy="3335266"/>
            <wp:effectExtent b="0" l="0" r="0" t="0"/>
            <wp:docPr descr="Перезагрузим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5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Перезагрузим</w:t>
      </w:r>
    </w:p>
    <w:p>
      <w:pPr>
        <w:pStyle w:val="BodyText"/>
      </w:pPr>
      <w:r>
        <w:t xml:space="preserve">Добавим в конфигурацию межсетевого экрана порт 2022 протокола TCP, затем перезагрузите конфигурацию Проверим, что порт добавлен в конфигурацию (рис. 7).</w:t>
      </w:r>
    </w:p>
    <w:p>
      <w:pPr>
        <w:pStyle w:val="CaptionedFigure"/>
      </w:pPr>
      <w:r>
        <w:drawing>
          <wp:inline>
            <wp:extent cx="3733800" cy="3133580"/>
            <wp:effectExtent b="0" l="0" r="0" t="0"/>
            <wp:docPr descr="Проверим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Проверим</w:t>
      </w:r>
    </w:p>
    <w:p>
      <w:pPr>
        <w:pStyle w:val="BodyText"/>
      </w:pPr>
      <w:r>
        <w:rPr>
          <w:bCs/>
          <w:b/>
        </w:rPr>
        <w:t xml:space="preserve">Управление брандмауэром с помощью firewall-config</w:t>
      </w:r>
    </w:p>
    <w:p>
      <w:pPr>
        <w:numPr>
          <w:ilvl w:val="0"/>
          <w:numId w:val="1001"/>
        </w:numPr>
        <w:pStyle w:val="Compact"/>
      </w:pPr>
      <w:r>
        <w:t xml:space="preserve">Откроем терминал и под учётной записью своего пользователя запустим интерфейс</w:t>
      </w:r>
      <w:r>
        <w:t xml:space="preserve"> </w:t>
      </w:r>
      <w:r>
        <w:t xml:space="preserve">Служба отсутствует, система предложила вам её установить. Также при запуске</w:t>
      </w:r>
      <w:r>
        <w:t xml:space="preserve"> </w:t>
      </w:r>
      <w:r>
        <w:t xml:space="preserve">потребовалось ввести пароль пользователя с полномочиями управления этой службой.</w:t>
      </w:r>
    </w:p>
    <w:p>
      <w:pPr>
        <w:numPr>
          <w:ilvl w:val="0"/>
          <w:numId w:val="1001"/>
        </w:numPr>
        <w:pStyle w:val="Compact"/>
      </w:pPr>
      <w:r>
        <w:t xml:space="preserve">Нажмем выпадающее меню рядом с параметром Configuration . Откроем раскрывающийся список и выберем Permanent . Это позволит сделать постоянными все изменения, которые мы внесем при конфигурировании.</w:t>
      </w:r>
    </w:p>
    <w:p>
      <w:pPr>
        <w:numPr>
          <w:ilvl w:val="0"/>
          <w:numId w:val="1001"/>
        </w:numPr>
        <w:pStyle w:val="Compact"/>
      </w:pPr>
      <w:r>
        <w:t xml:space="preserve">Выберем зону public и отметим службы http, https и ftp, чтобы включить их.</w:t>
      </w:r>
    </w:p>
    <w:p>
      <w:pPr>
        <w:numPr>
          <w:ilvl w:val="0"/>
          <w:numId w:val="1001"/>
        </w:numPr>
        <w:pStyle w:val="Compact"/>
      </w:pPr>
      <w:r>
        <w:t xml:space="preserve">Выберем вкладку Ports и на этой вкладке нажмем Add . Введем порт 2022 и протокол udp, нажмем ОК , чтобы добавить их в список.</w:t>
      </w:r>
    </w:p>
    <w:p>
      <w:pPr>
        <w:numPr>
          <w:ilvl w:val="0"/>
          <w:numId w:val="1001"/>
        </w:numPr>
        <w:pStyle w:val="Compact"/>
      </w:pPr>
      <w:r>
        <w:t xml:space="preserve">Закроем утилиту firewall-config (рис. 8).</w:t>
      </w:r>
    </w:p>
    <w:p>
      <w:pPr>
        <w:pStyle w:val="CaptionedFigure"/>
      </w:pPr>
      <w:r>
        <w:drawing>
          <wp:inline>
            <wp:extent cx="3733800" cy="1941454"/>
            <wp:effectExtent b="0" l="0" r="0" t="0"/>
            <wp:docPr descr="firewall-config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1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firewall-config</w:t>
      </w:r>
    </w:p>
    <w:p>
      <w:pPr>
        <w:pStyle w:val="BodyText"/>
      </w:pPr>
      <w:r>
        <w:t xml:space="preserve">В окне терминала введем команду, обратим внимание, что изменения, которые мы только что внесли, ещё не вступили в силу. Это связано с тем, что мы настроили их как постоянные изменения, а не как изменения времени выполнения. Перегрузим конфигурацию firewall-cmd и список доступных сервисов,Мы увидим, что изменения были применены. (рис. 9).</w:t>
      </w:r>
    </w:p>
    <w:p>
      <w:pPr>
        <w:pStyle w:val="CaptionedFigure"/>
      </w:pPr>
      <w:r>
        <w:drawing>
          <wp:inline>
            <wp:extent cx="3733800" cy="5279462"/>
            <wp:effectExtent b="0" l="0" r="0" t="0"/>
            <wp:docPr descr="Изменения были применены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79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Изменения были применены</w:t>
      </w:r>
    </w:p>
    <w:p>
      <w:pPr>
        <w:pStyle w:val="BodyText"/>
      </w:pPr>
      <w:r>
        <w:rPr>
          <w:bCs/>
          <w:b/>
        </w:rPr>
        <w:t xml:space="preserve">Самостоятельная работа</w:t>
      </w:r>
    </w:p>
    <w:p>
      <w:pPr>
        <w:numPr>
          <w:ilvl w:val="0"/>
          <w:numId w:val="1002"/>
        </w:numPr>
        <w:pStyle w:val="Compact"/>
      </w:pPr>
      <w:r>
        <w:t xml:space="preserve">Создадим конфигурацию межсетевого экрана, которая позволяет получить доступ к следующим службам:</w:t>
      </w:r>
      <w:r>
        <w:t xml:space="preserve"> </w:t>
      </w:r>
      <w:r>
        <w:t xml:space="preserve">– telnet;</w:t>
      </w:r>
      <w:r>
        <w:t xml:space="preserve"> </w:t>
      </w:r>
      <w:r>
        <w:t xml:space="preserve">– imap;</w:t>
      </w:r>
      <w:r>
        <w:t xml:space="preserve"> </w:t>
      </w:r>
      <w:r>
        <w:t xml:space="preserve">– pop3;</w:t>
      </w:r>
      <w:r>
        <w:t xml:space="preserve"> </w:t>
      </w:r>
      <w:r>
        <w:t xml:space="preserve">– smtp.</w:t>
      </w:r>
    </w:p>
    <w:p>
      <w:pPr>
        <w:numPr>
          <w:ilvl w:val="0"/>
          <w:numId w:val="1002"/>
        </w:numPr>
        <w:pStyle w:val="Compact"/>
      </w:pPr>
      <w:r>
        <w:t xml:space="preserve">Сделаем это как в командной строке (для службы telnet), так и в графическом интерфейсе (для служб imap, pop3, smtp).</w:t>
      </w:r>
    </w:p>
    <w:p>
      <w:pPr>
        <w:numPr>
          <w:ilvl w:val="0"/>
          <w:numId w:val="1002"/>
        </w:numPr>
        <w:pStyle w:val="Compact"/>
      </w:pPr>
      <w:r>
        <w:t xml:space="preserve">Убедимся, что конфигурация является постоянной и будет активирована после перезагрузки компьютера. (рис. 10).</w:t>
      </w:r>
    </w:p>
    <w:p>
      <w:pPr>
        <w:pStyle w:val="CaptionedFigure"/>
      </w:pPr>
      <w:r>
        <w:drawing>
          <wp:inline>
            <wp:extent cx="3733800" cy="3019096"/>
            <wp:effectExtent b="0" l="0" r="0" t="0"/>
            <wp:docPr descr="Выполняем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9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Выполняем</w:t>
      </w:r>
    </w:p>
    <w:bookmarkEnd w:id="51"/>
    <w:bookmarkStart w:id="5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Служба, которая должна быть запущена</w:t>
      </w:r>
      <w:r>
        <w:t xml:space="preserve">:</w:t>
      </w:r>
      <w:r>
        <w:t xml:space="preserve"> </w:t>
      </w:r>
      <w:r>
        <w:t xml:space="preserve">Перед началом работы с менеджером конфигурации брандмауэра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 </w:t>
      </w:r>
      <w:r>
        <w:t xml:space="preserve">необходимо запустить службу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 Команда для запуска службы: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firewalld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Команда для добавления UDP-порта 2355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2355/udp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Команда для отображения всей конфигурации брандмауэра во всех зонах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--list-all-zones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Команда для удаления службы vnc-server из текущей конфигурации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--remove-service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vnc-server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Команда для активации новой конфигурации, добавленной с опцией –permanent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--reload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Параметр для проверки добавления новой конфигурации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--list-all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Команда для добавления интерфейса eno1 в зону public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public </w:t>
      </w:r>
      <w:r>
        <w:rPr>
          <w:rStyle w:val="AttributeTok"/>
        </w:rPr>
        <w:t xml:space="preserve">--add-interface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eno1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Зона для нового интерфейса без указания</w:t>
      </w:r>
      <w:r>
        <w:t xml:space="preserve">:</w:t>
      </w:r>
      <w:r>
        <w:t xml:space="preserve"> </w:t>
      </w:r>
      <w:r>
        <w:t xml:space="preserve">Если новый интерфейс добавляется в конфигурацию брандмауэра без указания зоны, он будет добавлен в зону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по умолчанию.</w:t>
      </w:r>
    </w:p>
    <w:bookmarkEnd w:id="52"/>
    <w:bookmarkStart w:id="5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приобрели навыки настройки сетевых параметров системы.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13</dc:title>
  <dc:creator>Жукова София Викторовна</dc:creator>
  <dc:language>ru-RU</dc:language>
  <cp:keywords/>
  <dcterms:created xsi:type="dcterms:W3CDTF">2025-11-28T15:48:35Z</dcterms:created>
  <dcterms:modified xsi:type="dcterms:W3CDTF">2025-11-28T15:48:35Z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Фильтр пакетов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