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5F7BE1">
      <w:pPr>
        <w:pStyle w:val="Level1"/>
      </w:pPr>
      <w:r>
        <w:rPr>
          <w:rFonts w:hint="eastAsia"/>
        </w:rPr>
        <w:t>Ethical and Professional Standards</w:t>
      </w:r>
    </w:p>
    <w:p w:rsidR="008B210A" w:rsidRDefault="008B210A" w:rsidP="007C3137">
      <w:pPr>
        <w:pStyle w:val="Level2"/>
        <w:numPr>
          <w:ilvl w:val="1"/>
          <w:numId w:val="128"/>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7C3137">
      <w:pPr>
        <w:pStyle w:val="a3"/>
        <w:numPr>
          <w:ilvl w:val="0"/>
          <w:numId w:val="129"/>
        </w:numPr>
        <w:ind w:firstLineChars="0"/>
      </w:pPr>
      <w:r>
        <w:rPr>
          <w:rFonts w:hint="eastAsia"/>
        </w:rPr>
        <w:t>Quiet periods of 30 days from issuance for IPOs and 10 days from issuance for secondary offerings are recommended.</w:t>
      </w:r>
    </w:p>
    <w:p w:rsidR="008B210A" w:rsidRDefault="008B210A" w:rsidP="007C3137">
      <w:pPr>
        <w:pStyle w:val="a3"/>
        <w:numPr>
          <w:ilvl w:val="0"/>
          <w:numId w:val="129"/>
        </w:numPr>
        <w:ind w:firstLineChars="0"/>
      </w:pPr>
      <w:r>
        <w:t>Restricted periods of at least 30 days before and 5 days after report issuance are recommended.</w:t>
      </w:r>
    </w:p>
    <w:p w:rsidR="001861C5" w:rsidRDefault="001861C5" w:rsidP="007C3137">
      <w:pPr>
        <w:pStyle w:val="a3"/>
        <w:numPr>
          <w:ilvl w:val="0"/>
          <w:numId w:val="129"/>
        </w:numPr>
        <w:ind w:firstLineChars="0"/>
      </w:pPr>
      <w:r>
        <w:t>It’s recommended that covered employees be required to hold securities for a minimum of 60 days.</w:t>
      </w:r>
    </w:p>
    <w:p w:rsidR="00A81A09" w:rsidRDefault="00A81A09" w:rsidP="007C3137">
      <w:pPr>
        <w:pStyle w:val="a3"/>
        <w:numPr>
          <w:ilvl w:val="0"/>
          <w:numId w:val="129"/>
        </w:numPr>
        <w:ind w:firstLineChars="0"/>
      </w:pPr>
      <w:r>
        <w:t>It’s recommended that reports and recommendations be issued at least quarterly.</w:t>
      </w:r>
    </w:p>
    <w:p w:rsidR="00C07F29" w:rsidRDefault="00C07F29" w:rsidP="007C3137">
      <w:pPr>
        <w:pStyle w:val="a3"/>
        <w:numPr>
          <w:ilvl w:val="0"/>
          <w:numId w:val="129"/>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rsidR="008F6F09" w:rsidRPr="008B210A" w:rsidRDefault="008F6F09" w:rsidP="007C3137">
      <w:pPr>
        <w:pStyle w:val="a3"/>
        <w:numPr>
          <w:ilvl w:val="0"/>
          <w:numId w:val="129"/>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AA4B45">
      <w:pPr>
        <w:pStyle w:val="Level1"/>
      </w:pPr>
      <w:r w:rsidRPr="00F90B8A">
        <w:rPr>
          <w:rFonts w:hint="eastAsia"/>
        </w:rPr>
        <w:lastRenderedPageBreak/>
        <w:t>Quantitative Methods for Valuation</w:t>
      </w:r>
    </w:p>
    <w:p w:rsidR="005767CB" w:rsidRPr="00F90B8A" w:rsidRDefault="005767CB" w:rsidP="007C3137">
      <w:pPr>
        <w:pStyle w:val="Level2"/>
        <w:numPr>
          <w:ilvl w:val="1"/>
          <w:numId w:val="97"/>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a3"/>
        <w:numPr>
          <w:ilvl w:val="0"/>
          <w:numId w:val="1"/>
        </w:numPr>
        <w:ind w:firstLineChars="0"/>
      </w:pPr>
      <w:r>
        <w:rPr>
          <w:rFonts w:hint="eastAsia"/>
        </w:rPr>
        <w:t>Outliers</w:t>
      </w:r>
    </w:p>
    <w:p w:rsidR="002960F8" w:rsidRDefault="002960F8" w:rsidP="002960F8">
      <w:pPr>
        <w:pStyle w:val="a3"/>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a3"/>
        <w:numPr>
          <w:ilvl w:val="0"/>
          <w:numId w:val="1"/>
        </w:numPr>
        <w:ind w:firstLineChars="0"/>
      </w:pPr>
      <w:r>
        <w:rPr>
          <w:rFonts w:hint="eastAsia"/>
        </w:rPr>
        <w:t xml:space="preserve">Spurious </w:t>
      </w:r>
      <w:r>
        <w:t>Correlation</w:t>
      </w:r>
    </w:p>
    <w:p w:rsidR="002960F8" w:rsidRDefault="002960F8" w:rsidP="002960F8">
      <w:pPr>
        <w:pStyle w:val="a3"/>
        <w:ind w:left="420" w:firstLineChars="0" w:firstLine="0"/>
      </w:pPr>
      <w:r>
        <w:t>It refers to the appearance of a causal linear relationship, when in fact, there’s no relationship.</w:t>
      </w:r>
    </w:p>
    <w:p w:rsidR="002960F8" w:rsidRDefault="002960F8" w:rsidP="004C11F1">
      <w:pPr>
        <w:pStyle w:val="a3"/>
        <w:numPr>
          <w:ilvl w:val="0"/>
          <w:numId w:val="1"/>
        </w:numPr>
        <w:ind w:firstLineChars="0"/>
      </w:pPr>
      <w:r>
        <w:rPr>
          <w:rFonts w:hint="eastAsia"/>
        </w:rPr>
        <w:t>Nonlinear Relationship</w:t>
      </w:r>
      <w:r>
        <w:t>s</w:t>
      </w:r>
    </w:p>
    <w:p w:rsidR="002960F8" w:rsidRDefault="002960F8" w:rsidP="002960F8">
      <w:pPr>
        <w:pStyle w:val="a3"/>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BF0C5C"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lang w:eastAsia="en-US"/>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a3"/>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a3"/>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a3"/>
        <w:ind w:left="420" w:firstLineChars="0" w:firstLine="0"/>
      </w:pPr>
      <w:r>
        <w:t>For simple linear regression, R2 = r2 = square of the correlation coefficient.</w:t>
      </w:r>
    </w:p>
    <w:p w:rsidR="00463778" w:rsidRPr="00C56FA4" w:rsidRDefault="00C56FA4" w:rsidP="004C11F1">
      <w:pPr>
        <w:pStyle w:val="a3"/>
        <w:numPr>
          <w:ilvl w:val="0"/>
          <w:numId w:val="1"/>
        </w:numPr>
        <w:ind w:firstLineChars="0"/>
      </w:pPr>
      <w:r>
        <w:t>Regression Coefficient Confidence Interval:</w:t>
      </w:r>
    </w:p>
    <w:p w:rsidR="00C56FA4" w:rsidRPr="00C56FA4" w:rsidRDefault="00BF0C5C" w:rsidP="00C56FA4">
      <w:pPr>
        <w:pStyle w:val="a3"/>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a3"/>
        <w:ind w:left="420" w:firstLineChars="0" w:firstLine="0"/>
      </w:pPr>
      <w:r>
        <w:rPr>
          <w:rFonts w:hint="eastAsia"/>
        </w:rPr>
        <w:t xml:space="preserve">tc </w:t>
      </w:r>
      <w:r>
        <w:t>is the critical two-tailed t-value for the selected confidence level with degree of freedom, n-2.</w:t>
      </w:r>
    </w:p>
    <w:p w:rsidR="00C56FA4" w:rsidRDefault="00BF0C5C" w:rsidP="00C56FA4">
      <w:pPr>
        <w:pStyle w:val="a3"/>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BF0C5C"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BF0C5C"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lang w:eastAsia="en-US"/>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a3"/>
        <w:numPr>
          <w:ilvl w:val="0"/>
          <w:numId w:val="2"/>
        </w:numPr>
        <w:ind w:firstLineChars="0"/>
      </w:pPr>
      <w:r>
        <w:rPr>
          <w:rFonts w:hint="eastAsia"/>
        </w:rPr>
        <w:t>Total sum of squares (SST) measures the total variation in the dependent variable.</w:t>
      </w:r>
    </w:p>
    <w:p w:rsidR="0062408B" w:rsidRDefault="0062408B" w:rsidP="0062408B">
      <w:pPr>
        <w:pStyle w:val="a3"/>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a3"/>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a3"/>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a3"/>
        <w:numPr>
          <w:ilvl w:val="0"/>
          <w:numId w:val="2"/>
        </w:numPr>
        <w:ind w:firstLineChars="0"/>
      </w:pPr>
      <w:r>
        <w:rPr>
          <w:rFonts w:hint="eastAsia"/>
        </w:rPr>
        <w:t>Sum of squared errors (SSE) measures the unexplained variation in the dependent variable.</w:t>
      </w:r>
    </w:p>
    <w:p w:rsidR="00FF128A" w:rsidRDefault="000E44C4" w:rsidP="00FF128A">
      <w:pPr>
        <w:pStyle w:val="a3"/>
        <w:ind w:left="420" w:firstLineChars="0" w:firstLine="0"/>
      </w:pPr>
      <w:r>
        <w:lastRenderedPageBreak/>
        <w:t>SST = SSE + RSS</w:t>
      </w:r>
    </w:p>
    <w:p w:rsidR="00FF128A" w:rsidRDefault="00FF128A" w:rsidP="00FF128A">
      <w:r>
        <w:rPr>
          <w:noProof/>
          <w:lang w:eastAsia="en-US"/>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a3"/>
        <w:numPr>
          <w:ilvl w:val="0"/>
          <w:numId w:val="2"/>
        </w:numPr>
        <w:ind w:firstLineChars="0"/>
      </w:pPr>
      <w:r>
        <w:rPr>
          <w:rFonts w:hint="eastAsia"/>
        </w:rPr>
        <w:t>Linear relationships can change over time.</w:t>
      </w:r>
    </w:p>
    <w:p w:rsidR="00790AC7" w:rsidRDefault="00790AC7" w:rsidP="004C11F1">
      <w:pPr>
        <w:pStyle w:val="a3"/>
        <w:numPr>
          <w:ilvl w:val="0"/>
          <w:numId w:val="2"/>
        </w:numPr>
        <w:ind w:firstLineChars="0"/>
      </w:pPr>
      <w:r>
        <w:t>Its usefulness in investment analysis will be limited if other market participants are also aware of and act on this evidence.</w:t>
      </w:r>
    </w:p>
    <w:p w:rsidR="00790AC7" w:rsidRDefault="00790AC7" w:rsidP="004C11F1">
      <w:pPr>
        <w:pStyle w:val="a3"/>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a3"/>
        <w:numPr>
          <w:ilvl w:val="0"/>
          <w:numId w:val="4"/>
        </w:numPr>
        <w:ind w:firstLineChars="0"/>
      </w:pPr>
      <w:r>
        <w:rPr>
          <w:rFonts w:hint="eastAsia"/>
        </w:rPr>
        <w:t>The intercept term is the value of the dependent variable when the independent variables are 0.</w:t>
      </w:r>
    </w:p>
    <w:p w:rsidR="003A0254" w:rsidRDefault="005F5459" w:rsidP="004C11F1">
      <w:pPr>
        <w:pStyle w:val="a3"/>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a3"/>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BF0C5C"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BF0C5C"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BF0C5C"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lang w:eastAsia="en-US"/>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a3"/>
        <w:numPr>
          <w:ilvl w:val="0"/>
          <w:numId w:val="5"/>
        </w:numPr>
        <w:ind w:firstLineChars="0"/>
      </w:pPr>
      <w:r>
        <w:t>H</w:t>
      </w:r>
      <w:r>
        <w:rPr>
          <w:rFonts w:hint="eastAsia"/>
        </w:rPr>
        <w:t>eteroskedasticity</w:t>
      </w:r>
    </w:p>
    <w:p w:rsidR="0081498A" w:rsidRDefault="0081498A" w:rsidP="004C11F1">
      <w:pPr>
        <w:pStyle w:val="a3"/>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a3"/>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a3"/>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lang w:eastAsia="en-US"/>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a3"/>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a3"/>
        <w:numPr>
          <w:ilvl w:val="0"/>
          <w:numId w:val="5"/>
        </w:numPr>
        <w:ind w:firstLineChars="0"/>
      </w:pPr>
      <w:r>
        <w:rPr>
          <w:rFonts w:hint="eastAsia"/>
        </w:rPr>
        <w:t>Serial Correlation</w:t>
      </w:r>
    </w:p>
    <w:p w:rsidR="00544AC6" w:rsidRPr="00544AC6" w:rsidRDefault="00544AC6" w:rsidP="004C11F1">
      <w:pPr>
        <w:pStyle w:val="a3"/>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a3"/>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a3"/>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lang w:eastAsia="en-US"/>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a3"/>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a3"/>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a3"/>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a3"/>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a3"/>
        <w:numPr>
          <w:ilvl w:val="0"/>
          <w:numId w:val="5"/>
        </w:numPr>
        <w:ind w:firstLineChars="0"/>
      </w:pPr>
      <w:r>
        <w:rPr>
          <w:rFonts w:hint="eastAsia"/>
        </w:rPr>
        <w:t>The functional form</w:t>
      </w:r>
    </w:p>
    <w:p w:rsidR="007B0489" w:rsidRPr="007B0489" w:rsidRDefault="007B0489" w:rsidP="004C11F1">
      <w:pPr>
        <w:pStyle w:val="a3"/>
        <w:numPr>
          <w:ilvl w:val="1"/>
          <w:numId w:val="5"/>
        </w:numPr>
        <w:ind w:firstLineChars="0"/>
      </w:pPr>
      <w:r>
        <w:t>Important variables are omitted.</w:t>
      </w:r>
    </w:p>
    <w:p w:rsidR="007B0489" w:rsidRPr="007B0489" w:rsidRDefault="007B0489" w:rsidP="004C11F1">
      <w:pPr>
        <w:pStyle w:val="a3"/>
        <w:numPr>
          <w:ilvl w:val="1"/>
          <w:numId w:val="5"/>
        </w:numPr>
        <w:ind w:firstLineChars="0"/>
      </w:pPr>
      <w:r>
        <w:t>Variables should be transformed.</w:t>
      </w:r>
    </w:p>
    <w:p w:rsidR="007B0489" w:rsidRPr="007B0489" w:rsidRDefault="007B0489" w:rsidP="004C11F1">
      <w:pPr>
        <w:pStyle w:val="a3"/>
        <w:numPr>
          <w:ilvl w:val="1"/>
          <w:numId w:val="5"/>
        </w:numPr>
        <w:ind w:firstLineChars="0"/>
      </w:pPr>
      <w:r>
        <w:t>Data is improperly pooled.</w:t>
      </w:r>
    </w:p>
    <w:p w:rsidR="007B0489" w:rsidRPr="007B0489" w:rsidRDefault="007B0489" w:rsidP="004C11F1">
      <w:pPr>
        <w:pStyle w:val="a3"/>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a3"/>
        <w:numPr>
          <w:ilvl w:val="1"/>
          <w:numId w:val="5"/>
        </w:numPr>
        <w:ind w:firstLineChars="0"/>
      </w:pPr>
      <w:r>
        <w:t>A lagged dependent variable is used as an independent variable.</w:t>
      </w:r>
    </w:p>
    <w:p w:rsidR="007B0489" w:rsidRPr="007B0489" w:rsidRDefault="007B0489" w:rsidP="004C11F1">
      <w:pPr>
        <w:pStyle w:val="a3"/>
        <w:numPr>
          <w:ilvl w:val="1"/>
          <w:numId w:val="5"/>
        </w:numPr>
        <w:ind w:firstLineChars="0"/>
      </w:pPr>
      <w:r>
        <w:t>A function of the dependent variable is used as an independent variable.</w:t>
      </w:r>
    </w:p>
    <w:p w:rsidR="007B0489" w:rsidRPr="007B0489" w:rsidRDefault="007B0489" w:rsidP="004C11F1">
      <w:pPr>
        <w:pStyle w:val="a3"/>
        <w:numPr>
          <w:ilvl w:val="1"/>
          <w:numId w:val="5"/>
        </w:numPr>
        <w:ind w:firstLineChars="0"/>
      </w:pPr>
      <w:r>
        <w:t>Independent variables are measured with error</w:t>
      </w:r>
    </w:p>
    <w:p w:rsidR="007B0489" w:rsidRPr="007B0489" w:rsidRDefault="007B0489" w:rsidP="004C11F1">
      <w:pPr>
        <w:pStyle w:val="a3"/>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a3"/>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a3"/>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a3"/>
        <w:numPr>
          <w:ilvl w:val="0"/>
          <w:numId w:val="9"/>
        </w:numPr>
        <w:ind w:firstLineChars="0"/>
      </w:pPr>
      <w:r>
        <w:t>The simplest form of a linear trend is represented by the following linear trend model:</w:t>
      </w:r>
    </w:p>
    <w:p w:rsidR="00410DF3" w:rsidRPr="00410DF3" w:rsidRDefault="00BF0C5C"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a3"/>
        <w:numPr>
          <w:ilvl w:val="0"/>
          <w:numId w:val="9"/>
        </w:numPr>
        <w:ind w:firstLineChars="0"/>
      </w:pPr>
      <w:r>
        <w:rPr>
          <w:rFonts w:hint="eastAsia"/>
        </w:rPr>
        <w:t>When a series exhibits exponential growth, it can be modeled as:</w:t>
      </w:r>
    </w:p>
    <w:p w:rsidR="00E9415F" w:rsidRPr="00E9415F" w:rsidRDefault="00BF0C5C" w:rsidP="00E9415F">
      <w:pPr>
        <w:pStyle w:val="a3"/>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a3"/>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a3"/>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a3"/>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a3"/>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BF0C5C"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a3"/>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a3"/>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a3"/>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BF0C5C"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a3"/>
        <w:numPr>
          <w:ilvl w:val="0"/>
          <w:numId w:val="11"/>
        </w:numPr>
        <w:ind w:firstLineChars="0"/>
      </w:pPr>
      <w:r>
        <w:rPr>
          <w:rFonts w:hint="eastAsia"/>
        </w:rPr>
        <w:t>Estimate the AR model being evaluated using linear regression.</w:t>
      </w:r>
    </w:p>
    <w:p w:rsidR="008A7BA8" w:rsidRPr="008A7BA8" w:rsidRDefault="008A7BA8" w:rsidP="004C11F1">
      <w:pPr>
        <w:pStyle w:val="a3"/>
        <w:numPr>
          <w:ilvl w:val="0"/>
          <w:numId w:val="11"/>
        </w:numPr>
        <w:ind w:firstLineChars="0"/>
      </w:pPr>
      <w:r>
        <w:t>Calculate the autocorrelations of the model’s residuals</w:t>
      </w:r>
    </w:p>
    <w:p w:rsidR="008A7BA8" w:rsidRPr="00BD424E" w:rsidRDefault="00BF0C5C" w:rsidP="008A7BA8">
      <w:pPr>
        <w:pStyle w:val="a3"/>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a3"/>
        <w:numPr>
          <w:ilvl w:val="0"/>
          <w:numId w:val="11"/>
        </w:numPr>
        <w:ind w:firstLineChars="0"/>
      </w:pPr>
      <w:r>
        <w:t>Test whether the autocorrelations are significantly different from zero.</w:t>
      </w:r>
    </w:p>
    <w:p w:rsidR="00BD424E" w:rsidRDefault="00BD424E" w:rsidP="00BD424E">
      <w:pPr>
        <w:pStyle w:val="a3"/>
        <w:ind w:left="360" w:firstLineChars="0" w:firstLine="0"/>
      </w:pPr>
      <w:r>
        <w:t>For each</w:t>
      </w:r>
      <w:r w:rsidR="0002581E">
        <w:t xml:space="preserve"> k lagged</w:t>
      </w:r>
      <w:r>
        <w:t xml:space="preserve"> autocorrelation, the t-statistic is</w:t>
      </w:r>
    </w:p>
    <w:p w:rsidR="00BD424E" w:rsidRDefault="00BD424E" w:rsidP="00BD424E">
      <w:pPr>
        <w:pStyle w:val="a3"/>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a3"/>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a3"/>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a3"/>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a3"/>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a3"/>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a3"/>
        <w:numPr>
          <w:ilvl w:val="0"/>
          <w:numId w:val="14"/>
        </w:numPr>
        <w:ind w:firstLineChars="0"/>
      </w:pPr>
      <w:r>
        <w:rPr>
          <w:rFonts w:hint="eastAsia"/>
        </w:rPr>
        <w:t>Dickey Fuller test:</w:t>
      </w:r>
    </w:p>
    <w:p w:rsidR="00B34C82" w:rsidRPr="002F1C07" w:rsidRDefault="002F1C07" w:rsidP="004C11F1">
      <w:pPr>
        <w:pStyle w:val="a3"/>
        <w:numPr>
          <w:ilvl w:val="0"/>
          <w:numId w:val="15"/>
        </w:numPr>
        <w:ind w:firstLineChars="0"/>
      </w:pPr>
      <w:r>
        <w:t>DF test transform the AR(1) model to run a simple regression:</w:t>
      </w:r>
    </w:p>
    <w:p w:rsidR="002F1C07" w:rsidRPr="00320ED6" w:rsidRDefault="00BF0C5C" w:rsidP="002F1C07">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BF0C5C" w:rsidP="00320ED6">
      <w:pPr>
        <w:pStyle w:val="a3"/>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BF0C5C" w:rsidP="00320ED6">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a3"/>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a3"/>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BF0C5C" w:rsidP="006D3233">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a3"/>
        <w:ind w:left="780" w:firstLineChars="0" w:firstLine="0"/>
      </w:pPr>
      <w:r>
        <w:rPr>
          <w:rFonts w:hint="eastAsia"/>
        </w:rPr>
        <w:t>Then stating y in the form of an AR(1) model:</w:t>
      </w:r>
    </w:p>
    <w:p w:rsidR="006D3233" w:rsidRDefault="00BF0C5C" w:rsidP="006D3233">
      <w:pPr>
        <w:pStyle w:val="a3"/>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a3"/>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BF0C5C"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BF0C5C"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BF0C5C"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a3"/>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a3"/>
        <w:numPr>
          <w:ilvl w:val="0"/>
          <w:numId w:val="16"/>
        </w:numPr>
        <w:ind w:firstLineChars="0"/>
      </w:pPr>
      <w:r>
        <w:t>Only the dependent variable time series is covariance stationary and the coefficients are statistically unreliable.</w:t>
      </w:r>
    </w:p>
    <w:p w:rsidR="00AB3F8B" w:rsidRDefault="00AB3F8B" w:rsidP="004C11F1">
      <w:pPr>
        <w:pStyle w:val="a3"/>
        <w:numPr>
          <w:ilvl w:val="0"/>
          <w:numId w:val="16"/>
        </w:numPr>
        <w:ind w:firstLineChars="0"/>
      </w:pPr>
      <w:r>
        <w:t>Only the independent variable time series is covariance stationary and the coefficients are statistically unreliable.</w:t>
      </w:r>
    </w:p>
    <w:p w:rsidR="00AB3F8B" w:rsidRDefault="00AB3F8B" w:rsidP="004C11F1">
      <w:pPr>
        <w:pStyle w:val="a3"/>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a3"/>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a3"/>
        <w:numPr>
          <w:ilvl w:val="0"/>
          <w:numId w:val="17"/>
        </w:numPr>
        <w:ind w:firstLineChars="0"/>
      </w:pPr>
      <w:r>
        <w:rPr>
          <w:rFonts w:hint="eastAsia"/>
        </w:rPr>
        <w:t>Determine the probabilistic variables.</w:t>
      </w:r>
    </w:p>
    <w:p w:rsidR="00540A2A" w:rsidRDefault="00540A2A" w:rsidP="004C11F1">
      <w:pPr>
        <w:pStyle w:val="a3"/>
        <w:numPr>
          <w:ilvl w:val="0"/>
          <w:numId w:val="17"/>
        </w:numPr>
        <w:ind w:firstLineChars="0"/>
      </w:pPr>
      <w:r>
        <w:t>Define probability distributions for these variables.</w:t>
      </w:r>
    </w:p>
    <w:p w:rsidR="00D466BE" w:rsidRDefault="00D466BE" w:rsidP="00D466BE">
      <w:pPr>
        <w:pStyle w:val="a3"/>
        <w:ind w:left="360" w:firstLineChars="0" w:firstLine="0"/>
      </w:pPr>
      <w:r>
        <w:t>The</w:t>
      </w:r>
      <w:r w:rsidR="005B7E5E">
        <w:t>re’re 3 approaches to specify</w:t>
      </w:r>
      <w:r>
        <w:t xml:space="preserve"> a distribution:</w:t>
      </w:r>
    </w:p>
    <w:p w:rsidR="00D466BE" w:rsidRDefault="00D466BE" w:rsidP="004C11F1">
      <w:pPr>
        <w:pStyle w:val="a3"/>
        <w:numPr>
          <w:ilvl w:val="0"/>
          <w:numId w:val="15"/>
        </w:numPr>
        <w:ind w:firstLineChars="0"/>
      </w:pPr>
      <w:r>
        <w:rPr>
          <w:rFonts w:hint="eastAsia"/>
        </w:rPr>
        <w:t>Historical data</w:t>
      </w:r>
    </w:p>
    <w:p w:rsidR="00D466BE" w:rsidRDefault="00D466BE" w:rsidP="004C11F1">
      <w:pPr>
        <w:pStyle w:val="a3"/>
        <w:numPr>
          <w:ilvl w:val="0"/>
          <w:numId w:val="15"/>
        </w:numPr>
        <w:ind w:firstLineChars="0"/>
      </w:pPr>
      <w:r>
        <w:t>Cross-sectional data</w:t>
      </w:r>
    </w:p>
    <w:p w:rsidR="00D466BE" w:rsidRDefault="00D466BE" w:rsidP="004C11F1">
      <w:pPr>
        <w:pStyle w:val="a3"/>
        <w:numPr>
          <w:ilvl w:val="0"/>
          <w:numId w:val="15"/>
        </w:numPr>
        <w:ind w:firstLineChars="0"/>
      </w:pPr>
      <w:r>
        <w:t>Pick a distribution and estimate the parameters</w:t>
      </w:r>
    </w:p>
    <w:p w:rsidR="00D466BE" w:rsidRDefault="00D466BE" w:rsidP="004C11F1">
      <w:pPr>
        <w:pStyle w:val="a3"/>
        <w:numPr>
          <w:ilvl w:val="0"/>
          <w:numId w:val="17"/>
        </w:numPr>
        <w:ind w:firstLineChars="0"/>
      </w:pPr>
      <w:r>
        <w:rPr>
          <w:rFonts w:hint="eastAsia"/>
        </w:rPr>
        <w:t>Check for correlations among variables.</w:t>
      </w:r>
    </w:p>
    <w:p w:rsidR="00D466BE" w:rsidRDefault="00D466BE" w:rsidP="00D466BE">
      <w:pPr>
        <w:pStyle w:val="a3"/>
        <w:ind w:left="360" w:firstLineChars="0" w:firstLine="0"/>
      </w:pPr>
      <w:r>
        <w:t>When there is a strong correlation between variables, we can either</w:t>
      </w:r>
    </w:p>
    <w:p w:rsidR="00D466BE" w:rsidRDefault="00D466BE" w:rsidP="004C11F1">
      <w:pPr>
        <w:pStyle w:val="a3"/>
        <w:numPr>
          <w:ilvl w:val="0"/>
          <w:numId w:val="18"/>
        </w:numPr>
        <w:ind w:firstLineChars="0"/>
      </w:pPr>
      <w:r>
        <w:rPr>
          <w:rFonts w:hint="eastAsia"/>
        </w:rPr>
        <w:t>Allow only one of the variables to vary</w:t>
      </w:r>
    </w:p>
    <w:p w:rsidR="00D466BE" w:rsidRDefault="00D466BE" w:rsidP="004C11F1">
      <w:pPr>
        <w:pStyle w:val="a3"/>
        <w:numPr>
          <w:ilvl w:val="0"/>
          <w:numId w:val="18"/>
        </w:numPr>
        <w:ind w:firstLineChars="0"/>
      </w:pPr>
      <w:r>
        <w:t>Build the rules of correlation into the simulation</w:t>
      </w:r>
    </w:p>
    <w:p w:rsidR="00D466BE" w:rsidRDefault="00D466BE" w:rsidP="004C11F1">
      <w:pPr>
        <w:pStyle w:val="a3"/>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a3"/>
        <w:numPr>
          <w:ilvl w:val="0"/>
          <w:numId w:val="19"/>
        </w:numPr>
        <w:ind w:firstLineChars="0"/>
      </w:pPr>
      <w:r>
        <w:rPr>
          <w:rFonts w:hint="eastAsia"/>
        </w:rPr>
        <w:t>Better input quality</w:t>
      </w:r>
    </w:p>
    <w:p w:rsidR="00D466BE" w:rsidRDefault="00D466BE" w:rsidP="004C11F1">
      <w:pPr>
        <w:pStyle w:val="a3"/>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a3"/>
        <w:numPr>
          <w:ilvl w:val="0"/>
          <w:numId w:val="20"/>
        </w:numPr>
        <w:ind w:firstLineChars="0"/>
      </w:pPr>
      <w:r>
        <w:rPr>
          <w:rFonts w:hint="eastAsia"/>
        </w:rPr>
        <w:t>Book value constraints</w:t>
      </w:r>
    </w:p>
    <w:p w:rsidR="00345794" w:rsidRDefault="00345794" w:rsidP="004C11F1">
      <w:pPr>
        <w:pStyle w:val="a3"/>
        <w:numPr>
          <w:ilvl w:val="1"/>
          <w:numId w:val="20"/>
        </w:numPr>
        <w:ind w:firstLineChars="0"/>
      </w:pPr>
      <w:r>
        <w:t>Regulatory capital requirements</w:t>
      </w:r>
    </w:p>
    <w:p w:rsidR="00345794" w:rsidRDefault="00345794" w:rsidP="004C11F1">
      <w:pPr>
        <w:pStyle w:val="a3"/>
        <w:numPr>
          <w:ilvl w:val="1"/>
          <w:numId w:val="20"/>
        </w:numPr>
        <w:ind w:firstLineChars="0"/>
      </w:pPr>
      <w:r>
        <w:t>Negative equity</w:t>
      </w:r>
    </w:p>
    <w:p w:rsidR="00345794" w:rsidRDefault="00345794" w:rsidP="004C11F1">
      <w:pPr>
        <w:pStyle w:val="a3"/>
        <w:numPr>
          <w:ilvl w:val="0"/>
          <w:numId w:val="20"/>
        </w:numPr>
        <w:ind w:firstLineChars="0"/>
      </w:pPr>
      <w:r>
        <w:rPr>
          <w:rFonts w:hint="eastAsia"/>
        </w:rPr>
        <w:t>Earnings and cash flow constraints</w:t>
      </w:r>
    </w:p>
    <w:p w:rsidR="00345794" w:rsidRDefault="00345794" w:rsidP="004C11F1">
      <w:pPr>
        <w:pStyle w:val="a3"/>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a3"/>
        <w:numPr>
          <w:ilvl w:val="0"/>
          <w:numId w:val="21"/>
        </w:numPr>
        <w:ind w:firstLineChars="0"/>
      </w:pPr>
      <w:r>
        <w:rPr>
          <w:rFonts w:hint="eastAsia"/>
        </w:rPr>
        <w:t>Input quality</w:t>
      </w:r>
    </w:p>
    <w:p w:rsidR="005A2628" w:rsidRDefault="005A2628" w:rsidP="004C11F1">
      <w:pPr>
        <w:pStyle w:val="a3"/>
        <w:numPr>
          <w:ilvl w:val="0"/>
          <w:numId w:val="21"/>
        </w:numPr>
        <w:ind w:firstLineChars="0"/>
      </w:pPr>
      <w:r>
        <w:t>Inappropriate statistical distributions</w:t>
      </w:r>
    </w:p>
    <w:p w:rsidR="005A2628" w:rsidRDefault="005A2628" w:rsidP="004C11F1">
      <w:pPr>
        <w:pStyle w:val="a3"/>
        <w:numPr>
          <w:ilvl w:val="0"/>
          <w:numId w:val="21"/>
        </w:numPr>
        <w:ind w:firstLineChars="0"/>
      </w:pPr>
      <w:r>
        <w:t>Non-stationary distributions (distributions may change over time).</w:t>
      </w:r>
    </w:p>
    <w:p w:rsidR="00596200" w:rsidRDefault="00596200" w:rsidP="004C11F1">
      <w:pPr>
        <w:pStyle w:val="a3"/>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a5"/>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AA4B45">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a3"/>
        <w:numPr>
          <w:ilvl w:val="0"/>
          <w:numId w:val="23"/>
        </w:numPr>
        <w:ind w:firstLineChars="0"/>
      </w:pPr>
      <w:r>
        <w:rPr>
          <w:rFonts w:hint="eastAsia"/>
        </w:rPr>
        <w:t>The spread in the in</w:t>
      </w:r>
      <w:r>
        <w:t>terbank market for the same currency pair.</w:t>
      </w:r>
    </w:p>
    <w:p w:rsidR="007334D9" w:rsidRDefault="007334D9" w:rsidP="004C11F1">
      <w:pPr>
        <w:pStyle w:val="a3"/>
        <w:numPr>
          <w:ilvl w:val="0"/>
          <w:numId w:val="23"/>
        </w:numPr>
        <w:ind w:firstLineChars="0"/>
      </w:pPr>
      <w:r>
        <w:t>The size of the transaction.</w:t>
      </w:r>
    </w:p>
    <w:p w:rsidR="007334D9" w:rsidRDefault="007334D9" w:rsidP="004C11F1">
      <w:pPr>
        <w:pStyle w:val="a3"/>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a3"/>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a3"/>
        <w:numPr>
          <w:ilvl w:val="0"/>
          <w:numId w:val="24"/>
        </w:numPr>
        <w:ind w:firstLineChars="0"/>
      </w:pPr>
      <w:r>
        <w:t>Time of day.</w:t>
      </w:r>
    </w:p>
    <w:p w:rsidR="0071713E" w:rsidRDefault="0071713E" w:rsidP="004C11F1">
      <w:pPr>
        <w:pStyle w:val="a3"/>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a3"/>
        <w:numPr>
          <w:ilvl w:val="0"/>
          <w:numId w:val="26"/>
        </w:numPr>
        <w:ind w:firstLineChars="0"/>
      </w:pPr>
      <w:r>
        <w:rPr>
          <w:rFonts w:hint="eastAsia"/>
        </w:rPr>
        <w:t>Covered Interest Rate Parity</w:t>
      </w:r>
    </w:p>
    <w:p w:rsidR="002A2A9B" w:rsidRPr="002A2A9B" w:rsidRDefault="00BF0C5C"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a3"/>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a3"/>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a3"/>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lang w:eastAsia="en-US"/>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a3"/>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a3"/>
        <w:numPr>
          <w:ilvl w:val="0"/>
          <w:numId w:val="26"/>
        </w:numPr>
        <w:ind w:firstLineChars="0"/>
      </w:pPr>
      <w:r>
        <w:t>Interest rate differentials should mirror inflation differentials (international Fisher relation)</w:t>
      </w:r>
    </w:p>
    <w:p w:rsidR="00D830A7" w:rsidRDefault="00D830A7" w:rsidP="004C11F1">
      <w:pPr>
        <w:pStyle w:val="a3"/>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a3"/>
        <w:numPr>
          <w:ilvl w:val="0"/>
          <w:numId w:val="27"/>
        </w:numPr>
        <w:ind w:firstLineChars="0"/>
      </w:pPr>
      <w:r>
        <w:rPr>
          <w:rFonts w:hint="eastAsia"/>
        </w:rPr>
        <w:t>Current account influences</w:t>
      </w:r>
    </w:p>
    <w:p w:rsidR="000501D7" w:rsidRDefault="009767DB" w:rsidP="000501D7">
      <w:pPr>
        <w:pStyle w:val="a3"/>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a3"/>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a3"/>
        <w:numPr>
          <w:ilvl w:val="0"/>
          <w:numId w:val="28"/>
        </w:numPr>
        <w:ind w:firstLineChars="0"/>
      </w:pPr>
      <w:r>
        <w:t>Portfolio composition mechanism.</w:t>
      </w:r>
    </w:p>
    <w:p w:rsidR="000501D7" w:rsidRDefault="000501D7" w:rsidP="004C11F1">
      <w:pPr>
        <w:pStyle w:val="a3"/>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a3"/>
        <w:numPr>
          <w:ilvl w:val="0"/>
          <w:numId w:val="27"/>
        </w:numPr>
        <w:ind w:firstLineChars="0"/>
      </w:pPr>
      <w:r>
        <w:rPr>
          <w:rFonts w:hint="eastAsia"/>
        </w:rPr>
        <w:t xml:space="preserve">Capital Account </w:t>
      </w:r>
      <w:r>
        <w:t>Influences</w:t>
      </w:r>
    </w:p>
    <w:p w:rsidR="00C20CDC" w:rsidRDefault="009D5F6B" w:rsidP="00C20CDC">
      <w:pPr>
        <w:pStyle w:val="a3"/>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a3"/>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a3"/>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a3"/>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a3"/>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a3"/>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a3"/>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a3"/>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a3"/>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a3"/>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a3"/>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a3"/>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a3"/>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a3"/>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a3"/>
        <w:ind w:left="360" w:firstLineChars="0" w:firstLine="0"/>
      </w:pPr>
      <w:r>
        <w:t>An expansionary monetary or fiscal policy leads to an increase in prices and depreciate domestic currency.</w:t>
      </w:r>
    </w:p>
    <w:p w:rsidR="00203003" w:rsidRDefault="00203003" w:rsidP="004C11F1">
      <w:pPr>
        <w:pStyle w:val="a3"/>
        <w:numPr>
          <w:ilvl w:val="0"/>
          <w:numId w:val="32"/>
        </w:numPr>
        <w:ind w:firstLineChars="0"/>
      </w:pPr>
      <w:r>
        <w:t>Dornbusch overshooting model.</w:t>
      </w:r>
    </w:p>
    <w:p w:rsidR="00203003" w:rsidRDefault="00203003" w:rsidP="00203003">
      <w:pPr>
        <w:pStyle w:val="a3"/>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a3"/>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a3"/>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a3"/>
        <w:numPr>
          <w:ilvl w:val="0"/>
          <w:numId w:val="34"/>
        </w:numPr>
        <w:ind w:firstLineChars="0"/>
      </w:pPr>
      <w:r>
        <w:rPr>
          <w:rFonts w:hint="eastAsia"/>
        </w:rPr>
        <w:t>Savings and investment is positively correlated with economic development.</w:t>
      </w:r>
    </w:p>
    <w:p w:rsidR="00906CE5" w:rsidRDefault="00906CE5" w:rsidP="004C11F1">
      <w:pPr>
        <w:pStyle w:val="a3"/>
        <w:numPr>
          <w:ilvl w:val="0"/>
          <w:numId w:val="34"/>
        </w:numPr>
        <w:ind w:firstLineChars="0"/>
      </w:pPr>
      <w:r>
        <w:t>Financial markets and intermediaries augment economic growth by efficiently allocating resources.</w:t>
      </w:r>
    </w:p>
    <w:p w:rsidR="00906CE5" w:rsidRDefault="00906CE5" w:rsidP="004C11F1">
      <w:pPr>
        <w:pStyle w:val="a3"/>
        <w:numPr>
          <w:ilvl w:val="0"/>
          <w:numId w:val="34"/>
        </w:numPr>
        <w:ind w:firstLineChars="0"/>
      </w:pPr>
      <w:r>
        <w:t>The political stability, rule of law and property rights environment of a country.</w:t>
      </w:r>
    </w:p>
    <w:p w:rsidR="00906CE5" w:rsidRDefault="00906CE5" w:rsidP="004C11F1">
      <w:pPr>
        <w:pStyle w:val="a3"/>
        <w:numPr>
          <w:ilvl w:val="0"/>
          <w:numId w:val="34"/>
        </w:numPr>
        <w:ind w:firstLineChars="0"/>
      </w:pPr>
      <w:r>
        <w:t>Investment in human capital.</w:t>
      </w:r>
    </w:p>
    <w:p w:rsidR="00906CE5" w:rsidRDefault="00906CE5" w:rsidP="004C11F1">
      <w:pPr>
        <w:pStyle w:val="a3"/>
        <w:numPr>
          <w:ilvl w:val="0"/>
          <w:numId w:val="34"/>
        </w:numPr>
        <w:ind w:firstLineChars="0"/>
      </w:pPr>
      <w:r>
        <w:t>Tax and regulatory systems need to be favorable for economies to develop.</w:t>
      </w:r>
    </w:p>
    <w:p w:rsidR="00906CE5" w:rsidRDefault="00906CE5" w:rsidP="004C11F1">
      <w:pPr>
        <w:pStyle w:val="a3"/>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a3"/>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a3"/>
        <w:numPr>
          <w:ilvl w:val="0"/>
          <w:numId w:val="30"/>
        </w:numPr>
        <w:ind w:firstLineChars="0"/>
      </w:pPr>
      <w:r>
        <w:t>Higher potential GDP growth rate reduces expected credit risk.</w:t>
      </w:r>
    </w:p>
    <w:p w:rsidR="0017194D" w:rsidRDefault="0017194D" w:rsidP="0017194D">
      <w:pPr>
        <w:pStyle w:val="a3"/>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2E23FB" w:rsidP="007924CA">
      <w:r>
        <w:t xml:space="preserve">When </w:t>
      </w:r>
      <w:r w:rsidR="00924531">
        <w:t>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a3"/>
        <w:numPr>
          <w:ilvl w:val="0"/>
          <w:numId w:val="35"/>
        </w:numPr>
        <w:ind w:firstLineChars="0"/>
      </w:pPr>
      <w:r>
        <w:t>Demographics.</w:t>
      </w:r>
    </w:p>
    <w:p w:rsidR="00640D54" w:rsidRDefault="00640D54" w:rsidP="004C11F1">
      <w:pPr>
        <w:pStyle w:val="a3"/>
        <w:numPr>
          <w:ilvl w:val="0"/>
          <w:numId w:val="35"/>
        </w:numPr>
        <w:ind w:firstLineChars="0"/>
      </w:pPr>
      <w:r>
        <w:rPr>
          <w:rFonts w:hint="eastAsia"/>
        </w:rPr>
        <w:t>Labor force participation</w:t>
      </w:r>
    </w:p>
    <w:p w:rsidR="00640D54" w:rsidRDefault="00640D54" w:rsidP="004C11F1">
      <w:pPr>
        <w:pStyle w:val="a3"/>
        <w:numPr>
          <w:ilvl w:val="0"/>
          <w:numId w:val="35"/>
        </w:numPr>
        <w:ind w:firstLineChars="0"/>
      </w:pPr>
      <w:r>
        <w:t>Immigration</w:t>
      </w:r>
    </w:p>
    <w:p w:rsidR="00640D54" w:rsidRDefault="00B92DC7" w:rsidP="004C11F1">
      <w:pPr>
        <w:pStyle w:val="a3"/>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a3"/>
        <w:numPr>
          <w:ilvl w:val="0"/>
          <w:numId w:val="36"/>
        </w:numPr>
        <w:ind w:firstLineChars="0"/>
      </w:pPr>
      <w:r>
        <w:rPr>
          <w:rFonts w:hint="eastAsia"/>
        </w:rPr>
        <w:t>Human capital: knowledge and skills individuals possess.</w:t>
      </w:r>
    </w:p>
    <w:p w:rsidR="00B92DC7" w:rsidRDefault="00B92DC7" w:rsidP="004C11F1">
      <w:pPr>
        <w:pStyle w:val="a3"/>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a3"/>
        <w:numPr>
          <w:ilvl w:val="0"/>
          <w:numId w:val="36"/>
        </w:numPr>
        <w:ind w:firstLineChars="0"/>
      </w:pPr>
      <w:r>
        <w:t>Technological development</w:t>
      </w:r>
    </w:p>
    <w:p w:rsidR="00B92DC7" w:rsidRDefault="00B92DC7" w:rsidP="004C11F1">
      <w:pPr>
        <w:pStyle w:val="a3"/>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a3"/>
        <w:numPr>
          <w:ilvl w:val="0"/>
          <w:numId w:val="37"/>
        </w:numPr>
        <w:ind w:firstLineChars="0"/>
      </w:pPr>
      <w:r>
        <w:rPr>
          <w:rFonts w:hint="eastAsia"/>
        </w:rPr>
        <w:t>Classical Growth theory</w:t>
      </w:r>
    </w:p>
    <w:p w:rsidR="00B92DC7" w:rsidRDefault="00B92DC7" w:rsidP="00B92DC7">
      <w:pPr>
        <w:pStyle w:val="a3"/>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a3"/>
        <w:numPr>
          <w:ilvl w:val="0"/>
          <w:numId w:val="37"/>
        </w:numPr>
        <w:ind w:firstLineChars="0"/>
      </w:pPr>
      <w:r>
        <w:rPr>
          <w:rFonts w:hint="eastAsia"/>
        </w:rPr>
        <w:t>Neoclassical Growth Theory</w:t>
      </w:r>
    </w:p>
    <w:p w:rsidR="004E4174" w:rsidRDefault="004E4174" w:rsidP="004E4174">
      <w:pPr>
        <w:pStyle w:val="a3"/>
        <w:ind w:left="420" w:firstLineChars="0" w:firstLine="0"/>
      </w:pPr>
      <w:r>
        <w:t>Neoclassical growth theory’s primary focus is on estimating the economy’s long-term steady state growth rate.</w:t>
      </w:r>
    </w:p>
    <w:p w:rsidR="004E4174" w:rsidRDefault="004E4174" w:rsidP="004E4174">
      <w:pPr>
        <w:pStyle w:val="a3"/>
        <w:ind w:left="420" w:firstLineChars="0" w:firstLine="0"/>
      </w:pPr>
    </w:p>
    <w:p w:rsidR="004E4174" w:rsidRPr="00CE4249" w:rsidRDefault="004E4174" w:rsidP="004E4174">
      <w:pPr>
        <w:pStyle w:val="a3"/>
        <w:ind w:left="420" w:firstLineChars="0" w:firstLine="0"/>
        <w:rPr>
          <w:b/>
        </w:rPr>
      </w:pPr>
      <w:r w:rsidRPr="00CE4249">
        <w:rPr>
          <w:rFonts w:hint="eastAsia"/>
          <w:b/>
        </w:rPr>
        <w:t>Sustainable growth of output per capita:</w:t>
      </w:r>
    </w:p>
    <w:p w:rsidR="004E4174" w:rsidRDefault="004E4174" w:rsidP="004E4174">
      <w:pPr>
        <w:pStyle w:val="a3"/>
        <w:ind w:left="420" w:firstLineChars="0" w:firstLine="0"/>
      </w:pPr>
      <w:r>
        <w:t>g* = θ / (1 – α)</w:t>
      </w:r>
      <w:r>
        <w:tab/>
      </w:r>
      <w:r>
        <w:tab/>
        <w:t>θ: growth rate in technology</w:t>
      </w:r>
    </w:p>
    <w:p w:rsidR="004E4174" w:rsidRDefault="00D23806" w:rsidP="004E4174">
      <w:pPr>
        <w:pStyle w:val="a3"/>
        <w:ind w:left="420" w:firstLineChars="0" w:firstLine="0"/>
      </w:pPr>
      <w:r>
        <w:rPr>
          <w:rFonts w:hint="eastAsia"/>
        </w:rPr>
        <w:t xml:space="preserve">Assume </w:t>
      </w:r>
      <w:r>
        <w:t>Δy/y=Δk/k</w:t>
      </w:r>
      <w:r w:rsidR="003D56C0">
        <w:t>H</w:t>
      </w:r>
    </w:p>
    <w:p w:rsidR="003B6E62" w:rsidRDefault="003B6E62" w:rsidP="004E4174">
      <w:pPr>
        <w:pStyle w:val="a3"/>
        <w:ind w:left="420" w:firstLineChars="0" w:firstLine="0"/>
      </w:pPr>
    </w:p>
    <w:p w:rsidR="004E4174" w:rsidRPr="00CE4249" w:rsidRDefault="004E4174" w:rsidP="004E4174">
      <w:pPr>
        <w:pStyle w:val="a3"/>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a3"/>
        <w:ind w:left="420" w:firstLineChars="0" w:firstLine="0"/>
      </w:pPr>
      <w:r>
        <w:t>G* = θ / (1 – α) + ΔL</w:t>
      </w:r>
      <w:r w:rsidR="00F43AAE">
        <w:t>/L</w:t>
      </w:r>
      <w:r>
        <w:tab/>
        <w:t>ΔL: growth rate of labor</w:t>
      </w:r>
    </w:p>
    <w:p w:rsidR="004E4174" w:rsidRDefault="004E4174" w:rsidP="004E4174">
      <w:pPr>
        <w:pStyle w:val="a3"/>
        <w:ind w:left="420" w:firstLineChars="0" w:firstLine="0"/>
      </w:pPr>
    </w:p>
    <w:p w:rsidR="004E4174" w:rsidRDefault="004E4174" w:rsidP="004E4174">
      <w:pPr>
        <w:pStyle w:val="a3"/>
        <w:ind w:left="420" w:firstLineChars="0" w:firstLine="0"/>
      </w:pPr>
      <w:r>
        <w:t>Under Neoclassical growth theory:</w:t>
      </w:r>
    </w:p>
    <w:p w:rsidR="004E4174" w:rsidRDefault="004E4174" w:rsidP="004C11F1">
      <w:pPr>
        <w:pStyle w:val="a3"/>
        <w:numPr>
          <w:ilvl w:val="0"/>
          <w:numId w:val="38"/>
        </w:numPr>
        <w:ind w:firstLineChars="0"/>
      </w:pPr>
      <w:r>
        <w:t>Capital deepening affects the level of output but not the growth rate in the long run.</w:t>
      </w:r>
    </w:p>
    <w:p w:rsidR="004E4174" w:rsidRDefault="004E4174" w:rsidP="004C11F1">
      <w:pPr>
        <w:pStyle w:val="a3"/>
        <w:numPr>
          <w:ilvl w:val="0"/>
          <w:numId w:val="38"/>
        </w:numPr>
        <w:ind w:firstLineChars="0"/>
      </w:pPr>
      <w:r>
        <w:t>In the steady state, marginal product of capital is constant, but marginal productivity is diminishing.</w:t>
      </w:r>
    </w:p>
    <w:p w:rsidR="004E4174" w:rsidRDefault="004E4174" w:rsidP="004C11F1">
      <w:pPr>
        <w:pStyle w:val="a3"/>
        <w:numPr>
          <w:ilvl w:val="0"/>
          <w:numId w:val="38"/>
        </w:numPr>
        <w:ind w:firstLineChars="0"/>
      </w:pPr>
      <w:r>
        <w:t>Increase in savings will only temporarily raise economic growth.</w:t>
      </w:r>
    </w:p>
    <w:p w:rsidR="004E4174" w:rsidRDefault="004E4174" w:rsidP="004C11F1">
      <w:pPr>
        <w:pStyle w:val="a3"/>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a3"/>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a3"/>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a3"/>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a3"/>
        <w:numPr>
          <w:ilvl w:val="0"/>
          <w:numId w:val="37"/>
        </w:numPr>
        <w:ind w:firstLineChars="0"/>
      </w:pPr>
      <w:r>
        <w:t>S</w:t>
      </w:r>
      <w:r>
        <w:rPr>
          <w:rFonts w:hint="eastAsia"/>
        </w:rPr>
        <w:t>tatutes</w:t>
      </w:r>
      <w:r>
        <w:t>: laws made by legislative bodies</w:t>
      </w:r>
    </w:p>
    <w:p w:rsidR="00CA474F" w:rsidRDefault="00CA474F" w:rsidP="004C11F1">
      <w:pPr>
        <w:pStyle w:val="a3"/>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a3"/>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lang w:eastAsia="en-US"/>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03270"/>
                    </a:xfrm>
                    <a:prstGeom prst="rect">
                      <a:avLst/>
                    </a:prstGeom>
                  </pic:spPr>
                </pic:pic>
              </a:graphicData>
            </a:graphic>
          </wp:inline>
        </w:drawing>
      </w:r>
    </w:p>
    <w:p w:rsidR="00CA474F" w:rsidRDefault="00CA474F" w:rsidP="004C11F1">
      <w:pPr>
        <w:pStyle w:val="a3"/>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a3"/>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a3"/>
        <w:numPr>
          <w:ilvl w:val="0"/>
          <w:numId w:val="40"/>
        </w:numPr>
        <w:ind w:firstLineChars="0"/>
      </w:pPr>
      <w:r>
        <w:rPr>
          <w:rFonts w:hint="eastAsia"/>
        </w:rPr>
        <w:t>Information frictions occur when information is not equally available or distributed.</w:t>
      </w:r>
    </w:p>
    <w:p w:rsidR="003E459D" w:rsidRDefault="003E459D" w:rsidP="004C11F1">
      <w:pPr>
        <w:pStyle w:val="a3"/>
        <w:numPr>
          <w:ilvl w:val="0"/>
          <w:numId w:val="40"/>
        </w:numPr>
        <w:ind w:firstLineChars="0"/>
      </w:pPr>
      <w:r>
        <w:t>Externalities are costs or benefits that affect a party that did not choose to incur that cost or benefit.</w:t>
      </w:r>
    </w:p>
    <w:p w:rsidR="00BD39A6" w:rsidRDefault="00BD39A6" w:rsidP="00BD39A6">
      <w:pPr>
        <w:pStyle w:val="a3"/>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a3"/>
        <w:numPr>
          <w:ilvl w:val="0"/>
          <w:numId w:val="41"/>
        </w:numPr>
        <w:ind w:firstLineChars="0"/>
      </w:pPr>
      <w:r>
        <w:rPr>
          <w:rFonts w:hint="eastAsia"/>
        </w:rPr>
        <w:t>Price mechanisms</w:t>
      </w:r>
      <w:r>
        <w:t>, such as taxes and subsidies.</w:t>
      </w:r>
    </w:p>
    <w:p w:rsidR="00AF5F44" w:rsidRDefault="00AF5F44" w:rsidP="004C11F1">
      <w:pPr>
        <w:pStyle w:val="a3"/>
        <w:numPr>
          <w:ilvl w:val="0"/>
          <w:numId w:val="41"/>
        </w:numPr>
        <w:ind w:firstLineChars="0"/>
      </w:pPr>
      <w:r>
        <w:t>Restricting/requiring certain activities.</w:t>
      </w:r>
    </w:p>
    <w:p w:rsidR="00AF5F44" w:rsidRDefault="00AF5F44" w:rsidP="004C11F1">
      <w:pPr>
        <w:pStyle w:val="a3"/>
        <w:numPr>
          <w:ilvl w:val="0"/>
          <w:numId w:val="41"/>
        </w:numPr>
        <w:ind w:firstLineChars="0"/>
      </w:pPr>
      <w:r>
        <w:t>Provision of public goods or financing of private projects.</w:t>
      </w:r>
    </w:p>
    <w:p w:rsidR="002A6141" w:rsidRDefault="002A6141" w:rsidP="004C11F1">
      <w:pPr>
        <w:pStyle w:val="a3"/>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AA4B45">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r>
      <w:r w:rsidR="006202E6">
        <w:t>(</w:t>
      </w:r>
      <w:r>
        <w:t>20X6 reserve – 20X5 reserve</w:t>
      </w:r>
      <w:r w:rsidR="006202E6">
        <w:t>)</w:t>
      </w:r>
      <w:r>
        <w:t xml:space="p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a3"/>
        <w:numPr>
          <w:ilvl w:val="0"/>
          <w:numId w:val="45"/>
        </w:numPr>
        <w:ind w:firstLineChars="0"/>
      </w:pPr>
      <w:r>
        <w:rPr>
          <w:rFonts w:hint="eastAsia"/>
        </w:rPr>
        <w:t>Interest that was capitalized should be added to interest expense.</w:t>
      </w:r>
    </w:p>
    <w:p w:rsidR="00101A99" w:rsidRDefault="00101A99" w:rsidP="00CC1FC6">
      <w:pPr>
        <w:pStyle w:val="a3"/>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a3"/>
        <w:numPr>
          <w:ilvl w:val="0"/>
          <w:numId w:val="45"/>
        </w:numPr>
        <w:ind w:firstLineChars="0"/>
      </w:pPr>
      <w:r>
        <w:t>Interest that was capitalized is classified as a cash outflow from investing.</w:t>
      </w:r>
    </w:p>
    <w:p w:rsidR="003F64BE" w:rsidRDefault="003F64BE" w:rsidP="003F64BE">
      <w:pPr>
        <w:pStyle w:val="a3"/>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a3"/>
        <w:numPr>
          <w:ilvl w:val="0"/>
          <w:numId w:val="46"/>
        </w:numPr>
        <w:ind w:firstLineChars="0"/>
      </w:pPr>
      <w:r>
        <w:rPr>
          <w:rFonts w:hint="eastAsia"/>
        </w:rPr>
        <w:t>Average age</w:t>
      </w:r>
      <w:r>
        <w:t>:</w:t>
      </w:r>
    </w:p>
    <w:p w:rsidR="00B71486" w:rsidRDefault="00B71486" w:rsidP="00B71486">
      <w:pPr>
        <w:pStyle w:val="a3"/>
        <w:ind w:left="360" w:firstLineChars="0" w:firstLine="0"/>
      </w:pPr>
      <w:r>
        <w:t>Accumulated depreciation / annual depreciation expense</w:t>
      </w:r>
    </w:p>
    <w:p w:rsidR="00B71486" w:rsidRDefault="00B71486" w:rsidP="00CC1FC6">
      <w:pPr>
        <w:pStyle w:val="a3"/>
        <w:numPr>
          <w:ilvl w:val="0"/>
          <w:numId w:val="46"/>
        </w:numPr>
        <w:ind w:firstLineChars="0"/>
      </w:pPr>
      <w:r>
        <w:t>Average depreciable life:</w:t>
      </w:r>
    </w:p>
    <w:p w:rsidR="00B71486" w:rsidRDefault="00B71486" w:rsidP="00B71486">
      <w:pPr>
        <w:pStyle w:val="a3"/>
        <w:ind w:left="360" w:firstLineChars="0" w:firstLine="0"/>
      </w:pPr>
      <w:r>
        <w:t>Ending gross investment / annual depreciation expense</w:t>
      </w:r>
    </w:p>
    <w:p w:rsidR="00B71486" w:rsidRDefault="00B71486" w:rsidP="00CC1FC6">
      <w:pPr>
        <w:pStyle w:val="a3"/>
        <w:numPr>
          <w:ilvl w:val="0"/>
          <w:numId w:val="46"/>
        </w:numPr>
        <w:ind w:firstLineChars="0"/>
      </w:pPr>
      <w:r>
        <w:t>Remaining useful life:</w:t>
      </w:r>
    </w:p>
    <w:p w:rsidR="00B71486" w:rsidRDefault="00B71486" w:rsidP="00B71486">
      <w:pPr>
        <w:pStyle w:val="a3"/>
        <w:ind w:left="360" w:firstLineChars="0" w:firstLine="0"/>
      </w:pPr>
      <w:r>
        <w:t>Ending net investment / annual depreciation expense</w:t>
      </w:r>
    </w:p>
    <w:p w:rsidR="00B71486" w:rsidRDefault="00B71486" w:rsidP="00B71486">
      <w:pPr>
        <w:pStyle w:val="a3"/>
        <w:ind w:left="360" w:firstLineChars="0" w:firstLine="0"/>
      </w:pPr>
      <w:r>
        <w:rPr>
          <w:rFonts w:hint="eastAsia"/>
        </w:rPr>
        <w:t>Ending gross investment = ending net investment + accumulated depreciation</w:t>
      </w:r>
    </w:p>
    <w:p w:rsidR="00515653" w:rsidRPr="008B5167" w:rsidRDefault="00EA3930" w:rsidP="00EA3930">
      <w:pPr>
        <w:rPr>
          <w:b/>
        </w:rPr>
      </w:pPr>
      <w:r w:rsidRPr="008B5167">
        <w:rPr>
          <w:b/>
        </w:rPr>
        <w:t>* Remember to exclude land value in the gross investment.</w:t>
      </w:r>
    </w:p>
    <w:p w:rsidR="00EA3930" w:rsidRDefault="00EA3930" w:rsidP="00EA3930"/>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a3"/>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a5"/>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a5"/>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a3"/>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a3"/>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a3"/>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a3"/>
        <w:numPr>
          <w:ilvl w:val="0"/>
          <w:numId w:val="49"/>
        </w:numPr>
        <w:ind w:firstLineChars="0"/>
      </w:pPr>
      <w:r>
        <w:t>In the period, the proportionate share of investee’s dividends reduce investor’s ‘investment’ account.</w:t>
      </w:r>
    </w:p>
    <w:p w:rsidR="00B17D53" w:rsidRDefault="00B17D53" w:rsidP="00CC1FC6">
      <w:pPr>
        <w:pStyle w:val="a3"/>
        <w:numPr>
          <w:ilvl w:val="0"/>
          <w:numId w:val="49"/>
        </w:numPr>
        <w:ind w:firstLineChars="0"/>
      </w:pPr>
      <w:r>
        <w:t>If investment account is reduced to 0, equity method is not used until the loss is reversed.</w:t>
      </w:r>
    </w:p>
    <w:p w:rsidR="00600C54" w:rsidRDefault="00AA6F1F" w:rsidP="00CC1FC6">
      <w:pPr>
        <w:pStyle w:val="a3"/>
        <w:numPr>
          <w:ilvl w:val="0"/>
          <w:numId w:val="49"/>
        </w:numPr>
        <w:ind w:firstLineChars="0"/>
      </w:pPr>
      <w:r>
        <w:t xml:space="preserve">Both IFRS and </w:t>
      </w:r>
      <w:r w:rsidR="00B17D53">
        <w:t xml:space="preserve">US GAAP allows fair value option. </w:t>
      </w:r>
    </w:p>
    <w:p w:rsidR="00600C54" w:rsidRDefault="00600C54" w:rsidP="00600C54">
      <w:pPr>
        <w:pStyle w:val="a3"/>
        <w:ind w:left="360" w:firstLineChars="0" w:firstLine="0"/>
      </w:pPr>
      <w:r>
        <w:lastRenderedPageBreak/>
        <w:t>Under US GAAP, this option is available to all entities;</w:t>
      </w:r>
    </w:p>
    <w:p w:rsidR="00600C54" w:rsidRDefault="00600C54" w:rsidP="00600C54">
      <w:pPr>
        <w:pStyle w:val="a3"/>
        <w:ind w:left="360" w:firstLineChars="0" w:firstLine="0"/>
      </w:pPr>
      <w:r>
        <w:t>Under IFRS, its use is restricted to venture capital organizations, mutual funds, unit trusts…</w:t>
      </w:r>
    </w:p>
    <w:p w:rsidR="00B17D53" w:rsidRDefault="00B17D53" w:rsidP="00600C54">
      <w:pPr>
        <w:pStyle w:val="a3"/>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a3"/>
        <w:numPr>
          <w:ilvl w:val="0"/>
          <w:numId w:val="53"/>
        </w:numPr>
        <w:ind w:firstLineChars="0"/>
      </w:pPr>
      <w:r>
        <w:t>‘Investment account’ = Purchase price.</w:t>
      </w:r>
    </w:p>
    <w:p w:rsidR="00B17D53" w:rsidRDefault="00B17D53" w:rsidP="00CC1FC6">
      <w:pPr>
        <w:pStyle w:val="a3"/>
        <w:numPr>
          <w:ilvl w:val="0"/>
          <w:numId w:val="53"/>
        </w:numPr>
        <w:ind w:firstLineChars="0"/>
      </w:pPr>
      <w:r>
        <w:t>Excess of purchase price = purchase price – x% * BV (investee’s net identifiable asset)</w:t>
      </w:r>
    </w:p>
    <w:p w:rsidR="00B17D53" w:rsidRDefault="00B17D53" w:rsidP="00CC1FC6">
      <w:pPr>
        <w:pStyle w:val="a3"/>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a3"/>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a3"/>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a3"/>
        <w:numPr>
          <w:ilvl w:val="1"/>
          <w:numId w:val="48"/>
        </w:numPr>
        <w:ind w:firstLineChars="0"/>
      </w:pPr>
      <w:r>
        <w:rPr>
          <w:rFonts w:hint="eastAsia"/>
        </w:rPr>
        <w:t xml:space="preserve">Merger: </w:t>
      </w:r>
      <w:r w:rsidR="00B47A19">
        <w:t>The acquired firm ceases to exist.</w:t>
      </w:r>
    </w:p>
    <w:p w:rsidR="00B47A19" w:rsidRDefault="00B47A19" w:rsidP="00CC1FC6">
      <w:pPr>
        <w:pStyle w:val="a3"/>
        <w:numPr>
          <w:ilvl w:val="1"/>
          <w:numId w:val="48"/>
        </w:numPr>
        <w:ind w:firstLineChars="0"/>
      </w:pPr>
      <w:r>
        <w:t>Acquisition: Both entities continue to exist in a parent-subsidiary relationship.</w:t>
      </w:r>
    </w:p>
    <w:p w:rsidR="00B47A19" w:rsidRDefault="00B47A19" w:rsidP="00CC1FC6">
      <w:pPr>
        <w:pStyle w:val="a3"/>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a3"/>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rsidRPr="00E81632">
        <w:rPr>
          <w:b/>
        </w:rPr>
        <w:t>100</w:t>
      </w:r>
      <w:r w:rsidR="001C1432">
        <w:t xml:space="preserve">% * </w:t>
      </w:r>
      <w:r>
        <w:t>FV(investee’s account)</w:t>
      </w:r>
    </w:p>
    <w:p w:rsidR="00994E5F" w:rsidRDefault="00994E5F" w:rsidP="00CC1FC6">
      <w:pPr>
        <w:pStyle w:val="a3"/>
        <w:numPr>
          <w:ilvl w:val="0"/>
          <w:numId w:val="50"/>
        </w:numPr>
        <w:ind w:firstLineChars="0"/>
      </w:pPr>
      <w:r>
        <w:t>Equity is not combined.</w:t>
      </w:r>
    </w:p>
    <w:p w:rsidR="00AF0484" w:rsidRDefault="00AF0484" w:rsidP="00CC1FC6">
      <w:pPr>
        <w:pStyle w:val="a3"/>
        <w:numPr>
          <w:ilvl w:val="0"/>
          <w:numId w:val="50"/>
        </w:numPr>
        <w:ind w:firstLineChars="0"/>
      </w:pPr>
      <w:r>
        <w:t>Partial minority interest = (1-x)% * FV (investee’s equity)</w:t>
      </w:r>
    </w:p>
    <w:p w:rsidR="00AF0484" w:rsidRPr="006F35DD" w:rsidRDefault="00AF0484" w:rsidP="00AF0484">
      <w:pPr>
        <w:pStyle w:val="a3"/>
        <w:ind w:left="360" w:firstLineChars="0" w:firstLine="0"/>
        <w:rPr>
          <w:b/>
        </w:rPr>
      </w:pPr>
      <w:r w:rsidRPr="006F35DD">
        <w:rPr>
          <w:b/>
        </w:rPr>
        <w:t xml:space="preserve">(1-x)% * </w:t>
      </w:r>
      <w:r w:rsidR="00023ADB">
        <w:rPr>
          <w:b/>
        </w:rPr>
        <w:t>subsidiary’s net income</w:t>
      </w:r>
      <w:r w:rsidRPr="006F35DD">
        <w:rPr>
          <w:b/>
        </w:rPr>
        <w:t xml:space="preserve"> reduces investor’s income statement</w:t>
      </w:r>
    </w:p>
    <w:p w:rsidR="00AF0484" w:rsidRDefault="00AF0484" w:rsidP="00AF0484">
      <w:pPr>
        <w:pStyle w:val="a3"/>
        <w:ind w:left="360" w:firstLineChars="0" w:firstLine="0"/>
      </w:pPr>
      <w:r>
        <w:t>Minority interest can be classified as equity, liability or mezzanine.</w:t>
      </w:r>
    </w:p>
    <w:p w:rsidR="00AF0484" w:rsidRDefault="00AF0484" w:rsidP="00CC1FC6">
      <w:pPr>
        <w:pStyle w:val="a3"/>
        <w:numPr>
          <w:ilvl w:val="0"/>
          <w:numId w:val="50"/>
        </w:numPr>
        <w:ind w:firstLineChars="0"/>
      </w:pPr>
      <w:r>
        <w:t>Partial goodwill = Purchase price – x% * FV (investee’s net identifiable assets)</w:t>
      </w:r>
    </w:p>
    <w:p w:rsidR="00AF0484" w:rsidRDefault="00AF0484" w:rsidP="00CC1FC6">
      <w:pPr>
        <w:pStyle w:val="a3"/>
        <w:numPr>
          <w:ilvl w:val="0"/>
          <w:numId w:val="50"/>
        </w:numPr>
        <w:ind w:firstLineChars="0"/>
      </w:pPr>
      <w:r>
        <w:t>Full goodwill = partial goodwill / x%</w:t>
      </w:r>
    </w:p>
    <w:p w:rsidR="00AF0484" w:rsidRDefault="00AF0484" w:rsidP="00CC1FC6">
      <w:pPr>
        <w:pStyle w:val="a3"/>
        <w:numPr>
          <w:ilvl w:val="0"/>
          <w:numId w:val="50"/>
        </w:numPr>
        <w:ind w:firstLineChars="0"/>
      </w:pPr>
      <w:r>
        <w:t xml:space="preserve">Full minority interest = Partial </w:t>
      </w:r>
      <w:r w:rsidR="00D97FB5">
        <w:t>minority interest</w:t>
      </w:r>
      <w:r>
        <w:t xml:space="preserve">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a3"/>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a3"/>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a3"/>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a3"/>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a3"/>
        <w:numPr>
          <w:ilvl w:val="0"/>
          <w:numId w:val="52"/>
        </w:numPr>
        <w:ind w:firstLineChars="0"/>
      </w:pPr>
      <w:r>
        <w:t>I</w:t>
      </w:r>
      <w:r>
        <w:rPr>
          <w:rFonts w:hint="eastAsia"/>
        </w:rPr>
        <w:t>nvestor</w:t>
      </w:r>
      <w:r>
        <w:t xml:space="preserve">’s new account on balance sheet/income statement = BV(investor’s old account) + </w:t>
      </w:r>
      <w:r w:rsidRPr="00E81632">
        <w:rPr>
          <w:b/>
        </w:rPr>
        <w:t>x</w:t>
      </w:r>
      <w:r>
        <w:t>% * FV(investee’s account)</w:t>
      </w:r>
    </w:p>
    <w:p w:rsidR="00215022" w:rsidRDefault="00215022" w:rsidP="00CC1FC6">
      <w:pPr>
        <w:pStyle w:val="a3"/>
        <w:numPr>
          <w:ilvl w:val="0"/>
          <w:numId w:val="52"/>
        </w:numPr>
        <w:ind w:firstLineChars="0"/>
      </w:pPr>
      <w:r>
        <w:t>Equity is not combined.</w:t>
      </w:r>
    </w:p>
    <w:p w:rsidR="00215022" w:rsidRDefault="00215022" w:rsidP="00CC1FC6">
      <w:pPr>
        <w:pStyle w:val="a3"/>
        <w:numPr>
          <w:ilvl w:val="0"/>
          <w:numId w:val="52"/>
        </w:numPr>
        <w:ind w:firstLineChars="0"/>
      </w:pPr>
      <w:r>
        <w:rPr>
          <w:rFonts w:hint="eastAsia"/>
        </w:rPr>
        <w:t>No minority interest</w:t>
      </w:r>
    </w:p>
    <w:p w:rsidR="004C11F1" w:rsidRDefault="004C11F1" w:rsidP="004C11F1"/>
    <w:p w:rsidR="004C11F1" w:rsidRDefault="004C11F1" w:rsidP="00CC1FC6">
      <w:pPr>
        <w:pStyle w:val="a3"/>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a5"/>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a3"/>
        <w:numPr>
          <w:ilvl w:val="0"/>
          <w:numId w:val="48"/>
        </w:numPr>
        <w:ind w:firstLineChars="0"/>
      </w:pPr>
      <w:r>
        <w:rPr>
          <w:rFonts w:hint="eastAsia"/>
        </w:rPr>
        <w:t>Current service cost is the PV of benefits earned by the employees during the current period.</w:t>
      </w:r>
    </w:p>
    <w:p w:rsidR="007A0DAE" w:rsidRDefault="007A0DAE" w:rsidP="00CC1FC6">
      <w:pPr>
        <w:pStyle w:val="a3"/>
        <w:numPr>
          <w:ilvl w:val="0"/>
          <w:numId w:val="48"/>
        </w:numPr>
        <w:ind w:firstLineChars="0"/>
      </w:pPr>
      <w:r>
        <w:t>Interest cost is PBO at the beginning of the year * discount rate</w:t>
      </w:r>
    </w:p>
    <w:p w:rsidR="007A0DAE" w:rsidRDefault="007A0DAE" w:rsidP="00CC1FC6">
      <w:pPr>
        <w:pStyle w:val="a3"/>
        <w:numPr>
          <w:ilvl w:val="0"/>
          <w:numId w:val="48"/>
        </w:numPr>
        <w:ind w:firstLineChars="0"/>
      </w:pPr>
      <w:r>
        <w:t>Past service cost are retroactive benefits when a plan is initiated or amended.</w:t>
      </w:r>
    </w:p>
    <w:p w:rsidR="007A0DAE" w:rsidRDefault="007A0DAE" w:rsidP="00CC1FC6">
      <w:pPr>
        <w:pStyle w:val="a3"/>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a3"/>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a3"/>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0B1E39">
      <w:r>
        <w:t xml:space="preserve">Periodic pension cost </w:t>
      </w:r>
      <w:r w:rsidR="00956EB5">
        <w:t>= Current service cost + Interest cost (r * (PBO – asset))</w:t>
      </w:r>
      <w:bookmarkStart w:id="0" w:name="_GoBack"/>
      <w:bookmarkEnd w:id="0"/>
      <w:r w:rsidR="00956EB5">
        <w:rPr>
          <w:rFonts w:hint="eastAsia"/>
        </w:rPr>
        <w:t xml:space="preserve"> </w:t>
      </w:r>
      <w:r w:rsidR="00565E18">
        <w:t>+</w:t>
      </w:r>
      <w:r w:rsidR="00956EB5">
        <w:rPr>
          <w:rFonts w:hint="eastAsia"/>
        </w:rPr>
        <w:t xml:space="preserve"> Past </w:t>
      </w:r>
      <w:r w:rsidR="00956EB5">
        <w:t xml:space="preserve">service cost </w:t>
      </w:r>
    </w:p>
    <w:p w:rsidR="00C571C1" w:rsidRDefault="00C571C1" w:rsidP="00C571C1"/>
    <w:p w:rsidR="00956EB5" w:rsidRDefault="00956EB5" w:rsidP="00BB5883">
      <w:r>
        <w:t>Actuarial gains/losses are recorded in OCI. No amortization.</w:t>
      </w:r>
    </w:p>
    <w:p w:rsidR="00877FEF" w:rsidRDefault="00877FEF" w:rsidP="00BB5883">
      <w:r>
        <w:t>Difference between actual return and r*asset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Default="003267A7" w:rsidP="00BB5883">
      <w:r>
        <w:t>Total Periodic pension cost = Periodic pension cost (in P/L) + Periodic pension cost in OCI</w:t>
      </w:r>
    </w:p>
    <w:p w:rsidR="00033CF9" w:rsidRPr="003267A7" w:rsidRDefault="00033CF9" w:rsidP="00BB5883"/>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a3"/>
        <w:numPr>
          <w:ilvl w:val="0"/>
          <w:numId w:val="58"/>
        </w:numPr>
        <w:ind w:firstLineChars="0"/>
      </w:pPr>
      <w:r>
        <w:rPr>
          <w:rFonts w:hint="eastAsia"/>
        </w:rPr>
        <w:t>Characteristics: No cash transaction; Increase expense and reduce earnings.</w:t>
      </w:r>
    </w:p>
    <w:p w:rsidR="00E700CC" w:rsidRDefault="00E700CC" w:rsidP="00CC1FC6">
      <w:pPr>
        <w:pStyle w:val="a3"/>
        <w:numPr>
          <w:ilvl w:val="0"/>
          <w:numId w:val="58"/>
        </w:numPr>
        <w:ind w:firstLineChars="0"/>
      </w:pPr>
      <w:r>
        <w:t>Disadvantages:</w:t>
      </w:r>
    </w:p>
    <w:p w:rsidR="00E700CC" w:rsidRDefault="00E700CC" w:rsidP="00CC1FC6">
      <w:pPr>
        <w:pStyle w:val="a3"/>
        <w:numPr>
          <w:ilvl w:val="1"/>
          <w:numId w:val="58"/>
        </w:numPr>
        <w:ind w:firstLineChars="0"/>
      </w:pPr>
      <w:r>
        <w:t>Employee has limited influence over share price.</w:t>
      </w:r>
    </w:p>
    <w:p w:rsidR="00E700CC" w:rsidRDefault="00E700CC" w:rsidP="00CC1FC6">
      <w:pPr>
        <w:pStyle w:val="a3"/>
        <w:numPr>
          <w:ilvl w:val="1"/>
          <w:numId w:val="58"/>
        </w:numPr>
        <w:ind w:firstLineChars="0"/>
      </w:pPr>
      <w:r>
        <w:t>Increase employee’s share ownership.</w:t>
      </w:r>
    </w:p>
    <w:p w:rsidR="00E700CC" w:rsidRDefault="00E700CC" w:rsidP="00CC1FC6">
      <w:pPr>
        <w:pStyle w:val="a3"/>
        <w:numPr>
          <w:ilvl w:val="1"/>
          <w:numId w:val="58"/>
        </w:numPr>
        <w:ind w:firstLineChars="0"/>
      </w:pPr>
      <w:r>
        <w:t>Existing shareholder’s ownership is diluted.</w:t>
      </w:r>
    </w:p>
    <w:p w:rsidR="00E700CC" w:rsidRDefault="00E700CC" w:rsidP="00CC1FC6">
      <w:pPr>
        <w:pStyle w:val="a3"/>
        <w:numPr>
          <w:ilvl w:val="1"/>
          <w:numId w:val="58"/>
        </w:numPr>
        <w:ind w:firstLineChars="0"/>
      </w:pPr>
      <w:r>
        <w:t>Disclosures are required.</w:t>
      </w:r>
    </w:p>
    <w:p w:rsidR="00E700CC" w:rsidRDefault="00E700CC" w:rsidP="00CC1FC6">
      <w:pPr>
        <w:pStyle w:val="a3"/>
        <w:numPr>
          <w:ilvl w:val="0"/>
          <w:numId w:val="59"/>
        </w:numPr>
        <w:ind w:firstLineChars="0"/>
      </w:pPr>
      <w:r>
        <w:rPr>
          <w:rFonts w:hint="eastAsia"/>
        </w:rPr>
        <w:t>Valuation method:</w:t>
      </w:r>
    </w:p>
    <w:p w:rsidR="00E700CC" w:rsidRDefault="00E700CC" w:rsidP="00CC1FC6">
      <w:pPr>
        <w:pStyle w:val="a3"/>
        <w:numPr>
          <w:ilvl w:val="1"/>
          <w:numId w:val="59"/>
        </w:numPr>
        <w:ind w:firstLineChars="0"/>
      </w:pPr>
      <w:r>
        <w:t>Market value</w:t>
      </w:r>
    </w:p>
    <w:p w:rsidR="00E700CC" w:rsidRDefault="00E700CC" w:rsidP="00CC1FC6">
      <w:pPr>
        <w:pStyle w:val="a3"/>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a3"/>
        <w:numPr>
          <w:ilvl w:val="1"/>
          <w:numId w:val="59"/>
        </w:numPr>
        <w:ind w:firstLineChars="0"/>
      </w:pPr>
      <w:r>
        <w:t>Binominal model</w:t>
      </w:r>
    </w:p>
    <w:p w:rsidR="00E700CC" w:rsidRDefault="00E700CC" w:rsidP="00CC1FC6">
      <w:pPr>
        <w:pStyle w:val="a3"/>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a3"/>
        <w:numPr>
          <w:ilvl w:val="0"/>
          <w:numId w:val="59"/>
        </w:numPr>
        <w:ind w:firstLineChars="0"/>
      </w:pPr>
      <w:r>
        <w:rPr>
          <w:rFonts w:hint="eastAsia"/>
        </w:rPr>
        <w:t>Advantages: Avoid dilution; Less risk aversion</w:t>
      </w:r>
    </w:p>
    <w:p w:rsidR="009050FA" w:rsidRDefault="009050FA" w:rsidP="00CC1FC6">
      <w:pPr>
        <w:pStyle w:val="a3"/>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a3"/>
        <w:numPr>
          <w:ilvl w:val="0"/>
          <w:numId w:val="60"/>
        </w:numPr>
        <w:ind w:firstLineChars="0"/>
      </w:pPr>
      <w:r>
        <w:rPr>
          <w:rFonts w:hint="eastAsia"/>
        </w:rPr>
        <w:t>The local currency is the currency of the country being referred to.</w:t>
      </w:r>
    </w:p>
    <w:p w:rsidR="00FE0080" w:rsidRDefault="00FE0080" w:rsidP="00CC1FC6">
      <w:pPr>
        <w:pStyle w:val="a3"/>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a3"/>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a3"/>
        <w:numPr>
          <w:ilvl w:val="0"/>
          <w:numId w:val="61"/>
        </w:numPr>
        <w:ind w:firstLineChars="0"/>
      </w:pPr>
      <w:r>
        <w:rPr>
          <w:rFonts w:hint="eastAsia"/>
        </w:rPr>
        <w:t>Balance sheet: all assets and liabilities are translated at the current rate.</w:t>
      </w:r>
    </w:p>
    <w:p w:rsidR="00D02223" w:rsidRDefault="00D02223" w:rsidP="00CC1FC6">
      <w:pPr>
        <w:pStyle w:val="a3"/>
        <w:numPr>
          <w:ilvl w:val="0"/>
          <w:numId w:val="61"/>
        </w:numPr>
        <w:ind w:firstLineChars="0"/>
      </w:pPr>
      <w:r>
        <w:t>Balance sheet: common stocks, beginning retained earnings are translated at the historical rate.</w:t>
      </w:r>
    </w:p>
    <w:p w:rsidR="006E6824" w:rsidRDefault="006E6824" w:rsidP="00CC1FC6">
      <w:pPr>
        <w:pStyle w:val="a3"/>
        <w:numPr>
          <w:ilvl w:val="0"/>
          <w:numId w:val="61"/>
        </w:numPr>
        <w:ind w:firstLineChars="0"/>
      </w:pPr>
      <w:r>
        <w:t>Income statement: all accounts are translated at the average rate.</w:t>
      </w:r>
    </w:p>
    <w:p w:rsidR="00D02223" w:rsidRDefault="00A93803" w:rsidP="00CC1FC6">
      <w:pPr>
        <w:pStyle w:val="a3"/>
        <w:numPr>
          <w:ilvl w:val="0"/>
          <w:numId w:val="61"/>
        </w:numPr>
        <w:ind w:firstLineChars="0"/>
      </w:pPr>
      <w:r>
        <w:t>Dividends are translated at the historical rate.</w:t>
      </w:r>
    </w:p>
    <w:p w:rsidR="00A93803" w:rsidRDefault="00A93803" w:rsidP="00CC1FC6">
      <w:pPr>
        <w:pStyle w:val="a3"/>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a3"/>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a3"/>
        <w:numPr>
          <w:ilvl w:val="0"/>
          <w:numId w:val="62"/>
        </w:numPr>
        <w:ind w:firstLineChars="0"/>
      </w:pPr>
      <w:r>
        <w:t>Balance sheet: Non-monetary assets and liabilities are re-measured at the historical rate</w:t>
      </w:r>
    </w:p>
    <w:p w:rsidR="00A93803" w:rsidRDefault="00A93803" w:rsidP="00CC1FC6">
      <w:pPr>
        <w:pStyle w:val="a3"/>
        <w:numPr>
          <w:ilvl w:val="0"/>
          <w:numId w:val="62"/>
        </w:numPr>
        <w:ind w:firstLineChars="0"/>
      </w:pPr>
      <w:r>
        <w:t>Balance sheet: Non-monetary assets and liabilities at fair value are remeasured at current rate.</w:t>
      </w:r>
    </w:p>
    <w:p w:rsidR="006E6824" w:rsidRDefault="006E6824" w:rsidP="00CC1FC6">
      <w:pPr>
        <w:pStyle w:val="a3"/>
        <w:numPr>
          <w:ilvl w:val="0"/>
          <w:numId w:val="62"/>
        </w:numPr>
        <w:ind w:firstLineChars="0"/>
      </w:pPr>
      <w:r>
        <w:t>Balance sheet: common stocks, beginning retained earnings are translated at the historical rate.</w:t>
      </w:r>
    </w:p>
    <w:p w:rsidR="006E6824" w:rsidRDefault="006E6824" w:rsidP="00CC1FC6">
      <w:pPr>
        <w:pStyle w:val="a3"/>
        <w:numPr>
          <w:ilvl w:val="0"/>
          <w:numId w:val="62"/>
        </w:numPr>
        <w:ind w:firstLineChars="0"/>
      </w:pPr>
      <w:r>
        <w:rPr>
          <w:rFonts w:hint="eastAsia"/>
        </w:rPr>
        <w:t>Income statement: expenses related to non-monetary assets are remeasured at historical rates.</w:t>
      </w:r>
    </w:p>
    <w:p w:rsidR="006E6824" w:rsidRDefault="006E6824" w:rsidP="00CC1FC6">
      <w:pPr>
        <w:pStyle w:val="a3"/>
        <w:numPr>
          <w:ilvl w:val="0"/>
          <w:numId w:val="62"/>
        </w:numPr>
        <w:ind w:firstLineChars="0"/>
      </w:pPr>
      <w:r>
        <w:t>Income statement: Revenues and all other expenses are remeasured at average rate.</w:t>
      </w:r>
    </w:p>
    <w:p w:rsidR="006E6824" w:rsidRDefault="006E6824" w:rsidP="00CC1FC6">
      <w:pPr>
        <w:pStyle w:val="a3"/>
        <w:numPr>
          <w:ilvl w:val="0"/>
          <w:numId w:val="62"/>
        </w:numPr>
        <w:ind w:firstLineChars="0"/>
      </w:pPr>
      <w:r>
        <w:t>Dividends are translated at the historical rate.</w:t>
      </w:r>
    </w:p>
    <w:p w:rsidR="006E6824" w:rsidRDefault="006E6824" w:rsidP="00CC1FC6">
      <w:pPr>
        <w:pStyle w:val="a3"/>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2E02EC">
      <w:pPr>
        <w:pStyle w:val="Level1"/>
      </w:pPr>
      <w:r>
        <w:lastRenderedPageBreak/>
        <w:t>Corporate Finance</w:t>
      </w:r>
    </w:p>
    <w:p w:rsidR="009B0460" w:rsidRDefault="009B0460" w:rsidP="007C3137">
      <w:pPr>
        <w:pStyle w:val="Level2"/>
        <w:numPr>
          <w:ilvl w:val="1"/>
          <w:numId w:val="107"/>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7C3137">
      <w:pPr>
        <w:pStyle w:val="a3"/>
        <w:numPr>
          <w:ilvl w:val="0"/>
          <w:numId w:val="108"/>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7C3137">
      <w:pPr>
        <w:pStyle w:val="a3"/>
        <w:numPr>
          <w:ilvl w:val="0"/>
          <w:numId w:val="108"/>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7C3137">
      <w:pPr>
        <w:pStyle w:val="a3"/>
        <w:numPr>
          <w:ilvl w:val="0"/>
          <w:numId w:val="108"/>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7C3137">
      <w:pPr>
        <w:pStyle w:val="Level3"/>
        <w:numPr>
          <w:ilvl w:val="2"/>
          <w:numId w:val="124"/>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lang w:eastAsia="en-US"/>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p w:rsidR="00F9560C" w:rsidRDefault="00F9560C" w:rsidP="00F9560C">
      <w:r>
        <w:t>Economic profit = EBIT * (1 – tax) - $WACC</w:t>
      </w:r>
    </w:p>
    <w:p w:rsidR="00F9560C" w:rsidRP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BF0C5C"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BF0C5C"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BF0C5C"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P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7C3137">
      <w:pPr>
        <w:pStyle w:val="Level3"/>
        <w:numPr>
          <w:ilvl w:val="2"/>
          <w:numId w:val="109"/>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7C3137">
      <w:pPr>
        <w:pStyle w:val="Level3"/>
        <w:numPr>
          <w:ilvl w:val="2"/>
          <w:numId w:val="110"/>
        </w:numPr>
        <w:spacing w:after="156"/>
      </w:pPr>
      <w:r>
        <w:rPr>
          <w:rFonts w:hint="eastAsia"/>
        </w:rPr>
        <w:t>Compare stable dividend, constant dividend payout ratio, and RI payout policies, and calculate the dividend under each policy</w:t>
      </w:r>
      <w:r>
        <w:t>.</w:t>
      </w:r>
    </w:p>
    <w:p w:rsidR="002913E7" w:rsidRDefault="002913E7" w:rsidP="007C3137">
      <w:pPr>
        <w:pStyle w:val="a3"/>
        <w:numPr>
          <w:ilvl w:val="0"/>
          <w:numId w:val="125"/>
        </w:numPr>
        <w:ind w:firstLineChars="0"/>
      </w:pPr>
      <w:r>
        <w:t>Stable Dividend policy</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222734" w:rsidRDefault="00222734" w:rsidP="007C3137">
      <w:pPr>
        <w:pStyle w:val="a3"/>
        <w:numPr>
          <w:ilvl w:val="0"/>
          <w:numId w:val="125"/>
        </w:numPr>
        <w:ind w:firstLineChars="0"/>
      </w:pPr>
      <w:r>
        <w:rPr>
          <w:rFonts w:hint="eastAsia"/>
        </w:rPr>
        <w:t>Constant Dividend Payout Ratio policy</w:t>
      </w:r>
    </w:p>
    <w:p w:rsidR="00DF7B58" w:rsidRDefault="00DF7B58" w:rsidP="007C3137">
      <w:pPr>
        <w:pStyle w:val="a3"/>
        <w:numPr>
          <w:ilvl w:val="0"/>
          <w:numId w:val="125"/>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7C3137">
      <w:pPr>
        <w:pStyle w:val="Level3"/>
        <w:numPr>
          <w:ilvl w:val="2"/>
          <w:numId w:val="111"/>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7C3137">
      <w:pPr>
        <w:pStyle w:val="Level3"/>
        <w:numPr>
          <w:ilvl w:val="2"/>
          <w:numId w:val="112"/>
        </w:numPr>
        <w:spacing w:after="156"/>
      </w:pPr>
      <w:r>
        <w:rPr>
          <w:rFonts w:hint="eastAsia"/>
        </w:rPr>
        <w:t>Compare the Friedman doctrine, Utilitarianism, Kantian Ethics, and Rights and Justice Theories as approaches to ethical decision making.</w:t>
      </w:r>
    </w:p>
    <w:p w:rsidR="00A34699" w:rsidRDefault="00A34699" w:rsidP="007C3137">
      <w:pPr>
        <w:pStyle w:val="a3"/>
        <w:numPr>
          <w:ilvl w:val="0"/>
          <w:numId w:val="113"/>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7C3137">
      <w:pPr>
        <w:pStyle w:val="a3"/>
        <w:numPr>
          <w:ilvl w:val="0"/>
          <w:numId w:val="113"/>
        </w:numPr>
        <w:ind w:firstLineChars="0"/>
      </w:pPr>
      <w:r>
        <w:t>Utilitarianism argues that business must weigh the consequences to society of each of their actions and to seek to produce the highest good for the largest number of people.</w:t>
      </w:r>
    </w:p>
    <w:p w:rsidR="00A34699" w:rsidRDefault="00A34699" w:rsidP="007C3137">
      <w:pPr>
        <w:pStyle w:val="a3"/>
        <w:numPr>
          <w:ilvl w:val="0"/>
          <w:numId w:val="113"/>
        </w:numPr>
        <w:ind w:firstLineChars="0"/>
      </w:pPr>
      <w:r>
        <w:t>Kantian ethics argue that people are different from other factors of production and deserve dignity and respect.</w:t>
      </w:r>
    </w:p>
    <w:p w:rsidR="00A34699" w:rsidRDefault="00A34699" w:rsidP="007C3137">
      <w:pPr>
        <w:pStyle w:val="a3"/>
        <w:numPr>
          <w:ilvl w:val="0"/>
          <w:numId w:val="113"/>
        </w:numPr>
        <w:ind w:firstLineChars="0"/>
      </w:pPr>
      <w:r>
        <w:t>Rights theories argue that all individuals have fundamental rights and privileges.</w:t>
      </w:r>
    </w:p>
    <w:p w:rsidR="00A34699" w:rsidRDefault="00A34699" w:rsidP="007C3137">
      <w:pPr>
        <w:pStyle w:val="a3"/>
        <w:numPr>
          <w:ilvl w:val="0"/>
          <w:numId w:val="113"/>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7C3137">
      <w:pPr>
        <w:pStyle w:val="a3"/>
        <w:numPr>
          <w:ilvl w:val="0"/>
          <w:numId w:val="126"/>
        </w:numPr>
        <w:ind w:firstLineChars="0"/>
      </w:pPr>
      <w:r>
        <w:t>T</w:t>
      </w:r>
      <w:r>
        <w:rPr>
          <w:rFonts w:hint="eastAsia"/>
        </w:rPr>
        <w:t xml:space="preserve">o </w:t>
      </w:r>
      <w:r>
        <w:t>eliminate or mitigate conflicts of interest, particularly those between managers and shareholders.</w:t>
      </w:r>
    </w:p>
    <w:p w:rsidR="00B8053F" w:rsidRDefault="00B8053F" w:rsidP="007C3137">
      <w:pPr>
        <w:pStyle w:val="a3"/>
        <w:numPr>
          <w:ilvl w:val="0"/>
          <w:numId w:val="126"/>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7C3137">
      <w:pPr>
        <w:pStyle w:val="a3"/>
        <w:numPr>
          <w:ilvl w:val="0"/>
          <w:numId w:val="127"/>
        </w:numPr>
        <w:ind w:firstLineChars="0"/>
      </w:pPr>
      <w:r>
        <w:t>D</w:t>
      </w:r>
      <w:r>
        <w:rPr>
          <w:rFonts w:hint="eastAsia"/>
        </w:rPr>
        <w:t xml:space="preserve">elineation </w:t>
      </w:r>
      <w:r>
        <w:t>of the rights of shareholders and other core stake holders.</w:t>
      </w:r>
    </w:p>
    <w:p w:rsidR="00B8053F" w:rsidRDefault="00B8053F" w:rsidP="007C3137">
      <w:pPr>
        <w:pStyle w:val="a3"/>
        <w:numPr>
          <w:ilvl w:val="0"/>
          <w:numId w:val="127"/>
        </w:numPr>
        <w:ind w:firstLineChars="0"/>
      </w:pPr>
      <w:r>
        <w:t>Clearly defined manager and director governance responsibilities to stakeholders.</w:t>
      </w:r>
    </w:p>
    <w:p w:rsidR="00B8053F" w:rsidRDefault="00B8053F" w:rsidP="007C3137">
      <w:pPr>
        <w:pStyle w:val="a3"/>
        <w:numPr>
          <w:ilvl w:val="0"/>
          <w:numId w:val="127"/>
        </w:numPr>
        <w:ind w:firstLineChars="0"/>
      </w:pPr>
      <w:r>
        <w:t>Identifiable and measurable accountabilities for the performance of the responsibilities.</w:t>
      </w:r>
    </w:p>
    <w:p w:rsidR="00B8053F" w:rsidRDefault="00B8053F" w:rsidP="007C3137">
      <w:pPr>
        <w:pStyle w:val="a3"/>
        <w:numPr>
          <w:ilvl w:val="0"/>
          <w:numId w:val="127"/>
        </w:numPr>
        <w:ind w:firstLineChars="0"/>
      </w:pPr>
      <w:r>
        <w:t>Fairness and equitable treatment in all dealings between managers, directors and shareholders.</w:t>
      </w:r>
    </w:p>
    <w:p w:rsidR="00B8053F" w:rsidRPr="00B8053F" w:rsidRDefault="00B8053F" w:rsidP="007C3137">
      <w:pPr>
        <w:pStyle w:val="a3"/>
        <w:numPr>
          <w:ilvl w:val="0"/>
          <w:numId w:val="127"/>
        </w:numPr>
        <w:ind w:firstLineChars="0"/>
      </w:pPr>
      <w:r>
        <w:t>Complete transparency and accuracy in disclosures regarding operations, performance, risk and financial position.</w:t>
      </w:r>
    </w:p>
    <w:p w:rsidR="00221DB9" w:rsidRDefault="00221DB9" w:rsidP="00221DB9"/>
    <w:p w:rsidR="00221DB9" w:rsidRDefault="00221DB9" w:rsidP="007C3137">
      <w:pPr>
        <w:pStyle w:val="Level2"/>
        <w:numPr>
          <w:ilvl w:val="1"/>
          <w:numId w:val="115"/>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7C3137">
      <w:pPr>
        <w:pStyle w:val="a3"/>
        <w:numPr>
          <w:ilvl w:val="0"/>
          <w:numId w:val="114"/>
        </w:numPr>
        <w:ind w:firstLineChars="0"/>
      </w:pPr>
      <w:r>
        <w:rPr>
          <w:rFonts w:hint="eastAsia"/>
        </w:rPr>
        <w:t xml:space="preserve">In a statutory </w:t>
      </w:r>
      <w:r>
        <w:t>merger, the acquiring company acquires all of the target’s assets and liabilities.</w:t>
      </w:r>
    </w:p>
    <w:p w:rsidR="00221DB9" w:rsidRDefault="00221DB9" w:rsidP="007C3137">
      <w:pPr>
        <w:pStyle w:val="a3"/>
        <w:numPr>
          <w:ilvl w:val="0"/>
          <w:numId w:val="114"/>
        </w:numPr>
        <w:ind w:firstLineChars="0"/>
      </w:pPr>
      <w:r>
        <w:t>In a subsidiary merger, the target company becomes a subsidiary of the purchaser.</w:t>
      </w:r>
    </w:p>
    <w:p w:rsidR="00221DB9" w:rsidRDefault="00221DB9" w:rsidP="007C3137">
      <w:pPr>
        <w:pStyle w:val="a3"/>
        <w:numPr>
          <w:ilvl w:val="0"/>
          <w:numId w:val="114"/>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a5"/>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7C3137">
      <w:pPr>
        <w:pStyle w:val="Level3"/>
        <w:numPr>
          <w:ilvl w:val="2"/>
          <w:numId w:val="116"/>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7C3137">
      <w:pPr>
        <w:pStyle w:val="a3"/>
        <w:numPr>
          <w:ilvl w:val="0"/>
          <w:numId w:val="117"/>
        </w:numPr>
        <w:ind w:firstLineChars="0"/>
      </w:pPr>
      <w:r>
        <w:rPr>
          <w:rFonts w:hint="eastAsia"/>
        </w:rPr>
        <w:t>Poison Pill: It gives current shareholders the right to purchases additional shares of stock at extre</w:t>
      </w:r>
      <w:r>
        <w:t>mely attractive prices.</w:t>
      </w:r>
    </w:p>
    <w:p w:rsidR="00701DF4" w:rsidRDefault="00701DF4" w:rsidP="007C3137">
      <w:pPr>
        <w:pStyle w:val="a3"/>
        <w:numPr>
          <w:ilvl w:val="0"/>
          <w:numId w:val="117"/>
        </w:numPr>
        <w:ind w:firstLineChars="0"/>
      </w:pPr>
      <w:r>
        <w:t>Poison put. These puts give bondholders the option to demand immediate repayment of their bonds if there is a hostile takeover.</w:t>
      </w:r>
    </w:p>
    <w:p w:rsidR="00701DF4" w:rsidRDefault="00701DF4" w:rsidP="007C3137">
      <w:pPr>
        <w:pStyle w:val="a3"/>
        <w:numPr>
          <w:ilvl w:val="0"/>
          <w:numId w:val="117"/>
        </w:numPr>
        <w:ind w:firstLineChars="0"/>
      </w:pPr>
      <w:r>
        <w:t>Restrictive takeover laws</w:t>
      </w:r>
    </w:p>
    <w:p w:rsidR="00701DF4" w:rsidRDefault="00701DF4" w:rsidP="007C3137">
      <w:pPr>
        <w:pStyle w:val="a3"/>
        <w:numPr>
          <w:ilvl w:val="0"/>
          <w:numId w:val="117"/>
        </w:numPr>
        <w:ind w:firstLineChars="0"/>
      </w:pPr>
      <w:r>
        <w:t>Staggered board: In any particular year, a bidder can win at most one-third of the board seat</w:t>
      </w:r>
      <w:r w:rsidR="00077C4E">
        <w:t>s.</w:t>
      </w:r>
    </w:p>
    <w:p w:rsidR="00747A63" w:rsidRDefault="00747A63" w:rsidP="007C3137">
      <w:pPr>
        <w:pStyle w:val="a3"/>
        <w:numPr>
          <w:ilvl w:val="0"/>
          <w:numId w:val="117"/>
        </w:numPr>
        <w:ind w:firstLineChars="0"/>
      </w:pPr>
      <w:r>
        <w:lastRenderedPageBreak/>
        <w:t>Restricted voting rights: Equity ownership above some threshold level triggers a loss of voting rights.</w:t>
      </w:r>
    </w:p>
    <w:p w:rsidR="00747A63" w:rsidRDefault="00747A63" w:rsidP="007C3137">
      <w:pPr>
        <w:pStyle w:val="a3"/>
        <w:numPr>
          <w:ilvl w:val="0"/>
          <w:numId w:val="117"/>
        </w:numPr>
        <w:ind w:firstLineChars="0"/>
      </w:pPr>
      <w:r>
        <w:t>Supermajority voting provision for mergers.</w:t>
      </w:r>
    </w:p>
    <w:p w:rsidR="00747A63" w:rsidRDefault="00747A63" w:rsidP="007C3137">
      <w:pPr>
        <w:pStyle w:val="a3"/>
        <w:numPr>
          <w:ilvl w:val="0"/>
          <w:numId w:val="117"/>
        </w:numPr>
        <w:ind w:firstLineChars="0"/>
      </w:pPr>
      <w:r>
        <w:t>Fair price amendment restricts a merger offer unless a fair price is offered.</w:t>
      </w:r>
    </w:p>
    <w:p w:rsidR="00747A63" w:rsidRDefault="00747A63" w:rsidP="007C3137">
      <w:pPr>
        <w:pStyle w:val="a3"/>
        <w:numPr>
          <w:ilvl w:val="0"/>
          <w:numId w:val="117"/>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7C3137">
      <w:pPr>
        <w:pStyle w:val="a3"/>
        <w:numPr>
          <w:ilvl w:val="0"/>
          <w:numId w:val="118"/>
        </w:numPr>
        <w:ind w:firstLineChars="0"/>
      </w:pPr>
      <w:r>
        <w:t>“Just say no” defense.</w:t>
      </w:r>
    </w:p>
    <w:p w:rsidR="00747A63" w:rsidRDefault="00747A63" w:rsidP="007C3137">
      <w:pPr>
        <w:pStyle w:val="a3"/>
        <w:numPr>
          <w:ilvl w:val="0"/>
          <w:numId w:val="118"/>
        </w:numPr>
        <w:ind w:firstLineChars="0"/>
      </w:pPr>
      <w:r>
        <w:t>Litigation</w:t>
      </w:r>
    </w:p>
    <w:p w:rsidR="00747A63" w:rsidRDefault="00747A63" w:rsidP="007C3137">
      <w:pPr>
        <w:pStyle w:val="a3"/>
        <w:numPr>
          <w:ilvl w:val="0"/>
          <w:numId w:val="118"/>
        </w:numPr>
        <w:ind w:firstLineChars="0"/>
      </w:pPr>
      <w:r>
        <w:t>Greenmail is a payoff to the potential acquirer to terminate the hostile takeover attempt.</w:t>
      </w:r>
    </w:p>
    <w:p w:rsidR="00184E34" w:rsidRDefault="00184E34" w:rsidP="007C3137">
      <w:pPr>
        <w:pStyle w:val="a3"/>
        <w:numPr>
          <w:ilvl w:val="0"/>
          <w:numId w:val="118"/>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7C3137">
      <w:pPr>
        <w:pStyle w:val="a3"/>
        <w:numPr>
          <w:ilvl w:val="0"/>
          <w:numId w:val="118"/>
        </w:numPr>
        <w:ind w:firstLineChars="0"/>
      </w:pPr>
      <w:r>
        <w:t>Crown jewel defense. A target may decide to sell its major asset (attractive to the acquirer) to a neutral third party.</w:t>
      </w:r>
    </w:p>
    <w:p w:rsidR="00184E34" w:rsidRDefault="008D74D9" w:rsidP="007C3137">
      <w:pPr>
        <w:pStyle w:val="a3"/>
        <w:numPr>
          <w:ilvl w:val="0"/>
          <w:numId w:val="118"/>
        </w:numPr>
        <w:ind w:firstLineChars="0"/>
      </w:pPr>
      <w:r>
        <w:t>Pac-Man defense. After a hostile takeover offer, the target can defend itself by making a counteroffer to acquire the acquirer.</w:t>
      </w:r>
    </w:p>
    <w:p w:rsidR="008D74D9" w:rsidRDefault="008D74D9" w:rsidP="007C3137">
      <w:pPr>
        <w:pStyle w:val="a3"/>
        <w:numPr>
          <w:ilvl w:val="0"/>
          <w:numId w:val="118"/>
        </w:numPr>
        <w:ind w:firstLineChars="0"/>
      </w:pPr>
      <w:r>
        <w:t>White knight defense. A white knight is a friendly third party that comes to the rescue of the target company. The tendency for the winner to overpay is called the winner’s curse.</w:t>
      </w:r>
    </w:p>
    <w:p w:rsidR="008D74D9" w:rsidRDefault="008D74D9" w:rsidP="007C3137">
      <w:pPr>
        <w:pStyle w:val="a3"/>
        <w:numPr>
          <w:ilvl w:val="0"/>
          <w:numId w:val="118"/>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a5"/>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7C3137">
      <w:pPr>
        <w:pStyle w:val="a3"/>
        <w:numPr>
          <w:ilvl w:val="0"/>
          <w:numId w:val="119"/>
        </w:numPr>
        <w:ind w:firstLineChars="0"/>
      </w:pPr>
      <w:r>
        <w:t xml:space="preserve">Comparable company analysis uses market data from similar firms </w:t>
      </w:r>
      <w:r w:rsidRPr="00BF713A">
        <w:rPr>
          <w:b/>
        </w:rPr>
        <w:t>plus a takeover premiums</w:t>
      </w:r>
      <w:r>
        <w:t>.</w:t>
      </w:r>
    </w:p>
    <w:p w:rsidR="00EB7E52" w:rsidRDefault="00EB7E52" w:rsidP="00EB7E52">
      <w:pPr>
        <w:pStyle w:val="a3"/>
        <w:ind w:left="420" w:firstLineChars="0" w:firstLine="0"/>
      </w:pPr>
      <w:r>
        <w:t>Takeover premium is calculated as (acquiring price – stock price) / stock price * 100%</w:t>
      </w:r>
    </w:p>
    <w:p w:rsidR="00BF713A" w:rsidRDefault="00BF713A" w:rsidP="007C3137">
      <w:pPr>
        <w:pStyle w:val="a3"/>
        <w:numPr>
          <w:ilvl w:val="0"/>
          <w:numId w:val="119"/>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7C3137">
      <w:pPr>
        <w:pStyle w:val="Level3"/>
        <w:numPr>
          <w:ilvl w:val="2"/>
          <w:numId w:val="120"/>
        </w:numPr>
        <w:spacing w:after="156"/>
      </w:pPr>
      <w:r>
        <w:rPr>
          <w:rFonts w:hint="eastAsia"/>
        </w:rPr>
        <w:t>Distinguish among equity carve-outs, spin-offs, split-offs, and liquidation.</w:t>
      </w:r>
    </w:p>
    <w:p w:rsidR="005C7C79" w:rsidRDefault="005C7C79" w:rsidP="007C3137">
      <w:pPr>
        <w:pStyle w:val="a3"/>
        <w:numPr>
          <w:ilvl w:val="0"/>
          <w:numId w:val="121"/>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7C3137">
      <w:pPr>
        <w:pStyle w:val="a3"/>
        <w:numPr>
          <w:ilvl w:val="0"/>
          <w:numId w:val="121"/>
        </w:numPr>
        <w:ind w:firstLineChars="0"/>
      </w:pPr>
      <w:r>
        <w:t>Spin-offs are like carve-outs. The difference is that shares are distributed to the parent company’s shareholders.</w:t>
      </w:r>
    </w:p>
    <w:p w:rsidR="00A96461" w:rsidRDefault="005C7C79" w:rsidP="007C3137">
      <w:pPr>
        <w:pStyle w:val="a3"/>
        <w:numPr>
          <w:ilvl w:val="0"/>
          <w:numId w:val="121"/>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7C3137">
      <w:pPr>
        <w:pStyle w:val="Level1"/>
        <w:numPr>
          <w:ilvl w:val="0"/>
          <w:numId w:val="120"/>
        </w:numPr>
      </w:pPr>
      <w:r>
        <w:rPr>
          <w:rFonts w:hint="eastAsia"/>
        </w:rPr>
        <w:lastRenderedPageBreak/>
        <w:t>Equity Investment</w:t>
      </w:r>
    </w:p>
    <w:p w:rsidR="0017338F" w:rsidRDefault="0017338F" w:rsidP="007C3137">
      <w:pPr>
        <w:pStyle w:val="Level2"/>
        <w:numPr>
          <w:ilvl w:val="1"/>
          <w:numId w:val="84"/>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7C3137">
      <w:pPr>
        <w:pStyle w:val="Level3"/>
        <w:numPr>
          <w:ilvl w:val="2"/>
          <w:numId w:val="88"/>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7C3137">
      <w:pPr>
        <w:pStyle w:val="Level3"/>
        <w:numPr>
          <w:ilvl w:val="2"/>
          <w:numId w:val="87"/>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7C3137">
      <w:pPr>
        <w:pStyle w:val="a3"/>
        <w:numPr>
          <w:ilvl w:val="0"/>
          <w:numId w:val="85"/>
        </w:numPr>
        <w:ind w:firstLineChars="0"/>
      </w:pPr>
      <w:r>
        <w:rPr>
          <w:rFonts w:hint="eastAsia"/>
        </w:rPr>
        <w:t>Bargaining p</w:t>
      </w:r>
      <w:r>
        <w:t>ower of buyer</w:t>
      </w:r>
    </w:p>
    <w:p w:rsidR="0017338F" w:rsidRDefault="0017338F" w:rsidP="007C3137">
      <w:pPr>
        <w:pStyle w:val="a3"/>
        <w:numPr>
          <w:ilvl w:val="0"/>
          <w:numId w:val="85"/>
        </w:numPr>
        <w:ind w:firstLineChars="0"/>
      </w:pPr>
      <w:r>
        <w:rPr>
          <w:rFonts w:hint="eastAsia"/>
        </w:rPr>
        <w:t>Bargaining p</w:t>
      </w:r>
      <w:r>
        <w:t>ower of supplier</w:t>
      </w:r>
    </w:p>
    <w:p w:rsidR="0017338F" w:rsidRDefault="0017338F" w:rsidP="007C3137">
      <w:pPr>
        <w:pStyle w:val="a3"/>
        <w:numPr>
          <w:ilvl w:val="0"/>
          <w:numId w:val="85"/>
        </w:numPr>
        <w:ind w:firstLineChars="0"/>
      </w:pPr>
      <w:r>
        <w:t>Threat of new entrants</w:t>
      </w:r>
    </w:p>
    <w:p w:rsidR="0017338F" w:rsidRDefault="0017338F" w:rsidP="007C3137">
      <w:pPr>
        <w:pStyle w:val="a3"/>
        <w:numPr>
          <w:ilvl w:val="0"/>
          <w:numId w:val="85"/>
        </w:numPr>
        <w:ind w:firstLineChars="0"/>
      </w:pPr>
      <w:r>
        <w:t>Threat of substitutes</w:t>
      </w:r>
    </w:p>
    <w:p w:rsidR="0017338F" w:rsidRDefault="0017338F" w:rsidP="007C3137">
      <w:pPr>
        <w:pStyle w:val="a3"/>
        <w:numPr>
          <w:ilvl w:val="0"/>
          <w:numId w:val="85"/>
        </w:numPr>
        <w:ind w:firstLineChars="0"/>
      </w:pPr>
      <w:r>
        <w:t>Rivalry among existing competitors</w:t>
      </w:r>
    </w:p>
    <w:p w:rsidR="0017338F" w:rsidRDefault="0017338F" w:rsidP="0017338F"/>
    <w:p w:rsidR="0017338F" w:rsidRDefault="0017338F" w:rsidP="007C3137">
      <w:pPr>
        <w:pStyle w:val="Level3"/>
        <w:numPr>
          <w:ilvl w:val="2"/>
          <w:numId w:val="86"/>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7C3137">
      <w:pPr>
        <w:pStyle w:val="Level3"/>
        <w:numPr>
          <w:ilvl w:val="2"/>
          <w:numId w:val="89"/>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7C3137">
      <w:pPr>
        <w:pStyle w:val="a3"/>
        <w:numPr>
          <w:ilvl w:val="0"/>
          <w:numId w:val="123"/>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BF0C5C"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7C3137">
      <w:pPr>
        <w:pStyle w:val="a3"/>
        <w:numPr>
          <w:ilvl w:val="0"/>
          <w:numId w:val="123"/>
        </w:numPr>
        <w:ind w:firstLineChars="0"/>
      </w:pPr>
      <w:r>
        <w:rPr>
          <w:rFonts w:hint="eastAsia"/>
        </w:rPr>
        <w:t>Pastor-Stambaugh Model adds a liquidity factor to the Fama-French model.</w:t>
      </w:r>
    </w:p>
    <w:p w:rsidR="0017338F" w:rsidRDefault="0017338F" w:rsidP="007C3137">
      <w:pPr>
        <w:pStyle w:val="a3"/>
        <w:numPr>
          <w:ilvl w:val="0"/>
          <w:numId w:val="123"/>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7C3137">
      <w:pPr>
        <w:pStyle w:val="Level3"/>
        <w:numPr>
          <w:ilvl w:val="2"/>
          <w:numId w:val="122"/>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7C3137">
      <w:pPr>
        <w:pStyle w:val="Level2"/>
        <w:numPr>
          <w:ilvl w:val="1"/>
          <w:numId w:val="90"/>
        </w:numPr>
      </w:pPr>
      <w:r>
        <w:rPr>
          <w:rFonts w:hint="eastAsia"/>
        </w:rPr>
        <w:t xml:space="preserve">Your </w:t>
      </w:r>
      <w:r>
        <w:t>S</w:t>
      </w:r>
      <w:r>
        <w:rPr>
          <w:rFonts w:hint="eastAsia"/>
        </w:rPr>
        <w:t>trategy Needs a Strategy</w:t>
      </w:r>
    </w:p>
    <w:p w:rsidR="0017338F" w:rsidRDefault="0017338F" w:rsidP="007C3137">
      <w:pPr>
        <w:pStyle w:val="Level3"/>
        <w:numPr>
          <w:ilvl w:val="2"/>
          <w:numId w:val="90"/>
        </w:numPr>
        <w:spacing w:after="156"/>
      </w:pPr>
      <w:r>
        <w:rPr>
          <w:rFonts w:hint="eastAsia"/>
        </w:rPr>
        <w:t>De</w:t>
      </w:r>
      <w:r>
        <w:t>scribe how an industry’s predictability and malleability are expected to affect the choice of an appropriate corporate strategy.</w:t>
      </w:r>
    </w:p>
    <w:tbl>
      <w:tblPr>
        <w:tblStyle w:val="a5"/>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7C3137">
      <w:pPr>
        <w:pStyle w:val="Level3"/>
        <w:numPr>
          <w:ilvl w:val="2"/>
          <w:numId w:val="91"/>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7C3137">
      <w:pPr>
        <w:pStyle w:val="Level3"/>
        <w:numPr>
          <w:ilvl w:val="2"/>
          <w:numId w:val="92"/>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7C3137">
      <w:pPr>
        <w:pStyle w:val="Level3"/>
        <w:numPr>
          <w:ilvl w:val="2"/>
          <w:numId w:val="93"/>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BF0C5C"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7C3137">
      <w:pPr>
        <w:pStyle w:val="Level3"/>
        <w:numPr>
          <w:ilvl w:val="2"/>
          <w:numId w:val="94"/>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7C3137">
      <w:pPr>
        <w:pStyle w:val="a3"/>
        <w:numPr>
          <w:ilvl w:val="0"/>
          <w:numId w:val="95"/>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7C3137">
      <w:pPr>
        <w:pStyle w:val="a3"/>
        <w:numPr>
          <w:ilvl w:val="0"/>
          <w:numId w:val="95"/>
        </w:numPr>
        <w:ind w:firstLineChars="0"/>
      </w:pPr>
      <w:r>
        <w:t xml:space="preserve">Assume there’s no PP&amp;E sold, </w:t>
      </w:r>
    </w:p>
    <w:p w:rsidR="0017338F" w:rsidRDefault="0017338F" w:rsidP="0017338F">
      <w:pPr>
        <w:pStyle w:val="a3"/>
        <w:ind w:left="420" w:firstLineChars="0"/>
      </w:pPr>
      <w:r>
        <w:t>Begin net BV PP&amp;E</w:t>
      </w:r>
    </w:p>
    <w:p w:rsidR="0017338F" w:rsidRDefault="0017338F" w:rsidP="0017338F">
      <w:pPr>
        <w:pStyle w:val="a3"/>
        <w:ind w:left="420" w:firstLineChars="0" w:firstLine="0"/>
      </w:pPr>
      <w:r>
        <w:t>-</w:t>
      </w:r>
      <w:r>
        <w:tab/>
        <w:t>Depreciation</w:t>
      </w:r>
    </w:p>
    <w:p w:rsidR="0017338F" w:rsidRDefault="0017338F" w:rsidP="0017338F">
      <w:pPr>
        <w:pStyle w:val="a3"/>
        <w:ind w:left="420" w:firstLineChars="0" w:firstLine="0"/>
      </w:pPr>
      <w:r>
        <w:t>+</w:t>
      </w:r>
      <w:r>
        <w:tab/>
        <w:t>FCInv</w:t>
      </w:r>
    </w:p>
    <w:p w:rsidR="0017338F" w:rsidRDefault="0017338F" w:rsidP="0017338F">
      <w:pPr>
        <w:pStyle w:val="a3"/>
        <w:ind w:left="420" w:firstLineChars="0" w:firstLine="0"/>
      </w:pPr>
      <w:r>
        <w:t>=</w:t>
      </w:r>
      <w:r>
        <w:tab/>
        <w:t>End net BV PP&amp;E</w:t>
      </w:r>
    </w:p>
    <w:p w:rsidR="0017338F" w:rsidRDefault="0017338F" w:rsidP="0017338F">
      <w:pPr>
        <w:pStyle w:val="a3"/>
        <w:ind w:left="420" w:firstLineChars="0" w:firstLine="0"/>
      </w:pPr>
      <w:r>
        <w:t>FCInv = End gross BV PP&amp;E – begin gross VB PP&amp;E</w:t>
      </w:r>
    </w:p>
    <w:p w:rsidR="0017338F" w:rsidRDefault="0017338F" w:rsidP="007C3137">
      <w:pPr>
        <w:pStyle w:val="a3"/>
        <w:numPr>
          <w:ilvl w:val="0"/>
          <w:numId w:val="95"/>
        </w:numPr>
        <w:ind w:firstLineChars="0"/>
      </w:pPr>
      <w:r>
        <w:rPr>
          <w:rFonts w:hint="eastAsia"/>
        </w:rPr>
        <w:t>Notes payable is not included in WCInv, but in net borrowing.</w:t>
      </w:r>
    </w:p>
    <w:p w:rsidR="0017338F" w:rsidRDefault="0017338F" w:rsidP="0017338F"/>
    <w:p w:rsidR="0017338F" w:rsidRDefault="0017338F" w:rsidP="007C3137">
      <w:pPr>
        <w:pStyle w:val="Level3"/>
        <w:numPr>
          <w:ilvl w:val="2"/>
          <w:numId w:val="96"/>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7C3137">
      <w:pPr>
        <w:pStyle w:val="a3"/>
        <w:numPr>
          <w:ilvl w:val="0"/>
          <w:numId w:val="95"/>
        </w:numPr>
        <w:ind w:firstLineChars="0"/>
      </w:pPr>
      <w:r>
        <w:t>T</w:t>
      </w:r>
      <w:r>
        <w:rPr>
          <w:rFonts w:hint="eastAsia"/>
        </w:rPr>
        <w:t xml:space="preserve">railing </w:t>
      </w:r>
      <w:r>
        <w:t>P/E = market price per share / EPS over previous 12 months</w:t>
      </w:r>
    </w:p>
    <w:p w:rsidR="0017338F" w:rsidRDefault="0017338F" w:rsidP="007C3137">
      <w:pPr>
        <w:pStyle w:val="a3"/>
        <w:numPr>
          <w:ilvl w:val="0"/>
          <w:numId w:val="95"/>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7C3137">
      <w:pPr>
        <w:pStyle w:val="a3"/>
        <w:numPr>
          <w:ilvl w:val="0"/>
          <w:numId w:val="98"/>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7C3137">
      <w:pPr>
        <w:pStyle w:val="a3"/>
        <w:numPr>
          <w:ilvl w:val="0"/>
          <w:numId w:val="98"/>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7C3137">
      <w:pPr>
        <w:pStyle w:val="Level3"/>
        <w:numPr>
          <w:ilvl w:val="2"/>
          <w:numId w:val="99"/>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7C3137">
      <w:pPr>
        <w:pStyle w:val="a3"/>
        <w:numPr>
          <w:ilvl w:val="0"/>
          <w:numId w:val="100"/>
        </w:numPr>
        <w:ind w:firstLineChars="0"/>
      </w:pPr>
      <w:r>
        <w:rPr>
          <w:rFonts w:hint="eastAsia"/>
        </w:rPr>
        <w:t>Under the method of historical average EPS, it is estimated as the average EPS over some recent period.</w:t>
      </w:r>
    </w:p>
    <w:p w:rsidR="0017338F" w:rsidRDefault="0017338F" w:rsidP="007C3137">
      <w:pPr>
        <w:pStyle w:val="a3"/>
        <w:numPr>
          <w:ilvl w:val="0"/>
          <w:numId w:val="100"/>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7C3137">
      <w:pPr>
        <w:pStyle w:val="Level3"/>
        <w:numPr>
          <w:ilvl w:val="2"/>
          <w:numId w:val="101"/>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7C3137">
      <w:pPr>
        <w:pStyle w:val="Level3"/>
        <w:numPr>
          <w:ilvl w:val="2"/>
          <w:numId w:val="102"/>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7C3137">
      <w:pPr>
        <w:pStyle w:val="Level3"/>
        <w:numPr>
          <w:ilvl w:val="2"/>
          <w:numId w:val="103"/>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A56D5C" w:rsidRDefault="00A56D5C" w:rsidP="0017338F"/>
    <w:p w:rsidR="00A56D5C" w:rsidRDefault="00A56D5C" w:rsidP="0017338F"/>
    <w:p w:rsidR="00A56D5C" w:rsidRDefault="00A56D5C" w:rsidP="0017338F"/>
    <w:p w:rsidR="0017338F" w:rsidRDefault="0017338F" w:rsidP="0017338F">
      <w:pPr>
        <w:pStyle w:val="Level3"/>
        <w:spacing w:after="156"/>
      </w:pPr>
      <w:r>
        <w:lastRenderedPageBreak/>
        <w:t>Calculate the intrinsic value of a common stock using the RI model and compare value recognition in RI and other PV models.</w:t>
      </w:r>
    </w:p>
    <w:p w:rsidR="0017338F" w:rsidRDefault="0017338F" w:rsidP="0017338F">
      <w:r>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A56D5C" w:rsidRPr="00FA4B4D" w:rsidRDefault="00A56D5C" w:rsidP="0017338F"/>
    <w:p w:rsidR="0017338F" w:rsidRDefault="0017338F" w:rsidP="007C3137">
      <w:pPr>
        <w:pStyle w:val="Level3"/>
        <w:numPr>
          <w:ilvl w:val="2"/>
          <w:numId w:val="104"/>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7C3137">
      <w:pPr>
        <w:pStyle w:val="Level3"/>
        <w:numPr>
          <w:ilvl w:val="2"/>
          <w:numId w:val="105"/>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7C3137">
      <w:pPr>
        <w:pStyle w:val="Level3"/>
        <w:numPr>
          <w:ilvl w:val="2"/>
          <w:numId w:val="106"/>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4A23CD">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a3"/>
        <w:numPr>
          <w:ilvl w:val="0"/>
          <w:numId w:val="71"/>
        </w:numPr>
        <w:ind w:firstLineChars="0"/>
      </w:pPr>
      <w:r>
        <w:rPr>
          <w:rFonts w:hint="eastAsia"/>
        </w:rPr>
        <w:t>Exemption from taxation.</w:t>
      </w:r>
    </w:p>
    <w:p w:rsidR="004413B8" w:rsidRDefault="004413B8" w:rsidP="002A6A88">
      <w:pPr>
        <w:pStyle w:val="a3"/>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1461A9" w:rsidRDefault="001461A9" w:rsidP="00AD3A2D"/>
    <w:p w:rsidR="00AD3A2D" w:rsidRDefault="000E068F" w:rsidP="001A3CC1">
      <w:pPr>
        <w:pStyle w:val="Level3"/>
        <w:spacing w:after="156"/>
      </w:pPr>
      <w:r>
        <w:rPr>
          <w:rFonts w:hint="eastAsia"/>
        </w:rPr>
        <w:lastRenderedPageBreak/>
        <w:t xml:space="preserve">Interpret and compare financial performance of PE funds </w:t>
      </w:r>
      <w:r>
        <w:t>from</w:t>
      </w:r>
      <w:r>
        <w:rPr>
          <w:rFonts w:hint="eastAsia"/>
        </w:rPr>
        <w:t xml:space="preserve"> the perspective of an investor.</w:t>
      </w:r>
    </w:p>
    <w:p w:rsidR="000E068F" w:rsidRDefault="000E068F" w:rsidP="000E068F">
      <w:r>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spacing w:after="156"/>
      </w:pPr>
      <w:r>
        <w:rPr>
          <w:rFonts w:hint="eastAsia"/>
        </w:rPr>
        <w:t>Describe the components of return to a commodity futures and a portfolio of commodity futures.</w:t>
      </w:r>
    </w:p>
    <w:p w:rsidR="00CE599D" w:rsidRDefault="00CE599D" w:rsidP="007C3137">
      <w:pPr>
        <w:pStyle w:val="a3"/>
        <w:numPr>
          <w:ilvl w:val="0"/>
          <w:numId w:val="77"/>
        </w:numPr>
        <w:ind w:firstLineChars="0"/>
      </w:pPr>
      <w:r>
        <w:rPr>
          <w:rFonts w:hint="eastAsia"/>
        </w:rPr>
        <w:t>Spot return</w:t>
      </w:r>
    </w:p>
    <w:p w:rsidR="00CE599D" w:rsidRDefault="00CE599D" w:rsidP="007C3137">
      <w:pPr>
        <w:pStyle w:val="a3"/>
        <w:numPr>
          <w:ilvl w:val="0"/>
          <w:numId w:val="77"/>
        </w:numPr>
        <w:ind w:firstLineChars="0"/>
      </w:pPr>
      <w:r>
        <w:t>Roll return is the income generated as we close out maturing futures contracts and replace them with newer futures contracts.</w:t>
      </w:r>
    </w:p>
    <w:p w:rsidR="00BB79D2" w:rsidRDefault="00BB79D2" w:rsidP="00BB79D2">
      <w:pPr>
        <w:pStyle w:val="a3"/>
        <w:ind w:left="360" w:firstLineChars="0" w:firstLine="0"/>
      </w:pPr>
      <w:r>
        <w:t>When the term structure is in backwardation, roll return will be positive.</w:t>
      </w:r>
    </w:p>
    <w:p w:rsidR="00CE599D" w:rsidRDefault="00CE599D" w:rsidP="007C3137">
      <w:pPr>
        <w:pStyle w:val="a3"/>
        <w:numPr>
          <w:ilvl w:val="0"/>
          <w:numId w:val="77"/>
        </w:numPr>
        <w:ind w:firstLineChars="0"/>
      </w:pPr>
      <w:r>
        <w:t>Collateral return</w:t>
      </w:r>
    </w:p>
    <w:p w:rsidR="00CD5943" w:rsidRDefault="00CE599D" w:rsidP="007C3137">
      <w:pPr>
        <w:pStyle w:val="a3"/>
        <w:numPr>
          <w:ilvl w:val="0"/>
          <w:numId w:val="77"/>
        </w:numPr>
        <w:ind w:firstLineChars="0"/>
      </w:pPr>
      <w:r>
        <w:t>Rebalancing return</w:t>
      </w:r>
    </w:p>
    <w:p w:rsidR="002F23A1" w:rsidRPr="002F23A1" w:rsidRDefault="00CD5943" w:rsidP="002F23A1">
      <w:r>
        <w:br w:type="page"/>
      </w:r>
    </w:p>
    <w:p w:rsidR="002F23A1" w:rsidRDefault="002F23A1" w:rsidP="004A23CD">
      <w:pPr>
        <w:pStyle w:val="Level1"/>
      </w:pPr>
      <w:r>
        <w:rPr>
          <w:rFonts w:hint="eastAsia"/>
        </w:rPr>
        <w:lastRenderedPageBreak/>
        <w:t>Fixed income</w:t>
      </w:r>
    </w:p>
    <w:p w:rsidR="002F23A1" w:rsidRDefault="002F23A1" w:rsidP="007C3137">
      <w:pPr>
        <w:pStyle w:val="Level2"/>
        <w:numPr>
          <w:ilvl w:val="1"/>
          <w:numId w:val="130"/>
        </w:numPr>
      </w:pPr>
      <w:r>
        <w:rPr>
          <w:rFonts w:hint="eastAsia"/>
        </w:rPr>
        <w:t>The Term Structure and Interest Rate Dynamics</w:t>
      </w:r>
    </w:p>
    <w:p w:rsidR="002F23A1" w:rsidRDefault="002F23A1" w:rsidP="007C3137">
      <w:pPr>
        <w:pStyle w:val="Level3"/>
        <w:numPr>
          <w:ilvl w:val="2"/>
          <w:numId w:val="131"/>
        </w:numPr>
        <w:spacing w:after="156"/>
      </w:pPr>
      <w:r>
        <w:rPr>
          <w:rFonts w:hint="eastAsia"/>
        </w:rPr>
        <w:t>Describe the strategy of riding the yield curve</w:t>
      </w:r>
    </w:p>
    <w:p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w:t>
      </w:r>
      <w:r w:rsidR="00E3539A">
        <w:t xml:space="preserve"> is</w:t>
      </w:r>
      <w:r>
        <w:t xml:space="preserve"> valued using lower yields.</w:t>
      </w:r>
    </w:p>
    <w:p w:rsidR="00AA32A4" w:rsidRDefault="00AA32A4" w:rsidP="002F23A1"/>
    <w:p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rsidR="00AA32A4" w:rsidRDefault="00AA32A4" w:rsidP="00AA32A4">
      <w:r>
        <w:t>Market participants prefer the swap rate curve as a benchmark interest rate curve for the following reasons:</w:t>
      </w:r>
    </w:p>
    <w:p w:rsidR="00AA32A4" w:rsidRDefault="00AA32A4" w:rsidP="007C3137">
      <w:pPr>
        <w:pStyle w:val="a3"/>
        <w:numPr>
          <w:ilvl w:val="0"/>
          <w:numId w:val="132"/>
        </w:numPr>
        <w:ind w:firstLineChars="0"/>
      </w:pPr>
      <w:r>
        <w:rPr>
          <w:rFonts w:hint="eastAsia"/>
        </w:rPr>
        <w:t>Swap rates reflect the credit risk of commercial banks rather than the credit risk of governments.</w:t>
      </w:r>
    </w:p>
    <w:p w:rsidR="00AA32A4" w:rsidRDefault="00AA32A4" w:rsidP="007C3137">
      <w:pPr>
        <w:pStyle w:val="a3"/>
        <w:numPr>
          <w:ilvl w:val="0"/>
          <w:numId w:val="132"/>
        </w:numPr>
        <w:ind w:firstLineChars="0"/>
      </w:pPr>
      <w:r>
        <w:t>The swap market is not regulated, which makes swap rates in different countries more comparable.</w:t>
      </w:r>
    </w:p>
    <w:p w:rsidR="00AA32A4" w:rsidRDefault="00AA32A4" w:rsidP="007C3137">
      <w:pPr>
        <w:pStyle w:val="a3"/>
        <w:numPr>
          <w:ilvl w:val="0"/>
          <w:numId w:val="132"/>
        </w:numPr>
        <w:ind w:firstLineChars="0"/>
      </w:pPr>
      <w:r>
        <w:t>The swap curve typically has yield quotes at many maturities, while the government bond yield curve has on-the-run issues trading at only a small number of maturities.</w:t>
      </w:r>
    </w:p>
    <w:p w:rsidR="008601BF" w:rsidRDefault="008601BF" w:rsidP="008601BF"/>
    <w:p w:rsidR="008601BF" w:rsidRDefault="008601BF" w:rsidP="008601BF">
      <w:pPr>
        <w:pStyle w:val="Level3"/>
        <w:spacing w:after="156"/>
      </w:pPr>
      <w:r>
        <w:rPr>
          <w:rFonts w:hint="eastAsia"/>
        </w:rPr>
        <w:t>Calculate and interpret the swap spread for a given maturity.</w:t>
      </w:r>
    </w:p>
    <w:p w:rsidR="008601BF" w:rsidRDefault="008601BF" w:rsidP="008601BF">
      <w:r>
        <w:t xml:space="preserve">Swap spread = swap rate – treasury </w:t>
      </w:r>
      <w:r w:rsidR="00B53392">
        <w:t>yield</w:t>
      </w:r>
    </w:p>
    <w:p w:rsidR="001A6FCE" w:rsidRDefault="001A6FCE" w:rsidP="008601BF">
      <w:r>
        <w:t xml:space="preserve">I-spread = yield on the bond – swap </w:t>
      </w:r>
      <w:r w:rsidR="0035663F">
        <w:t>rate</w:t>
      </w:r>
    </w:p>
    <w:p w:rsidR="00B53392" w:rsidRDefault="00B53392" w:rsidP="008601BF"/>
    <w:p w:rsidR="00B53392" w:rsidRDefault="00B53392" w:rsidP="007C3137">
      <w:pPr>
        <w:pStyle w:val="Level3"/>
        <w:numPr>
          <w:ilvl w:val="2"/>
          <w:numId w:val="133"/>
        </w:numPr>
        <w:spacing w:after="156"/>
      </w:pPr>
      <w:r>
        <w:rPr>
          <w:rFonts w:hint="eastAsia"/>
        </w:rPr>
        <w:t>Describe the TED and Libor-OIS spread</w:t>
      </w:r>
    </w:p>
    <w:p w:rsidR="00B53392" w:rsidRDefault="00B53392" w:rsidP="00B53392">
      <w:r>
        <w:t>TED spread = 3-month LIBOR rate – 3-month T-bill rate</w:t>
      </w:r>
    </w:p>
    <w:p w:rsidR="00F71D0E" w:rsidRDefault="00F71D0E" w:rsidP="00B53392">
      <w:r>
        <w:t>OIS stands for overnight indexed swap.</w:t>
      </w:r>
      <w:r w:rsidR="001F4145">
        <w:t xml:space="preserve"> The OIS rate roughly reflects the federal funds rate.</w:t>
      </w:r>
    </w:p>
    <w:p w:rsidR="001F4145" w:rsidRDefault="001F4145" w:rsidP="00B53392">
      <w:r>
        <w:t>Libor-OIS spread = LIBOR rate – OIS rate</w:t>
      </w:r>
    </w:p>
    <w:p w:rsidR="00A16BF1" w:rsidRDefault="00A16BF1" w:rsidP="00B53392"/>
    <w:p w:rsidR="00A16BF1" w:rsidRDefault="00A16BF1" w:rsidP="00A16BF1">
      <w:pPr>
        <w:pStyle w:val="Level3"/>
        <w:spacing w:after="156"/>
      </w:pPr>
      <w:r>
        <w:rPr>
          <w:rFonts w:hint="eastAsia"/>
        </w:rPr>
        <w:t>Explain traditional theories of the term structure of interest rates and describe the implications of each theory for forward rates and the shape of yield curve.</w:t>
      </w:r>
    </w:p>
    <w:p w:rsidR="00A16BF1" w:rsidRDefault="00A16BF1" w:rsidP="007C3137">
      <w:pPr>
        <w:pStyle w:val="a3"/>
        <w:numPr>
          <w:ilvl w:val="0"/>
          <w:numId w:val="134"/>
        </w:numPr>
        <w:ind w:firstLineChars="0"/>
      </w:pPr>
      <w:r>
        <w:rPr>
          <w:rFonts w:hint="eastAsia"/>
        </w:rPr>
        <w:t>Unbiased Expectations Theory</w:t>
      </w:r>
    </w:p>
    <w:p w:rsidR="00A16BF1" w:rsidRDefault="00A16BF1" w:rsidP="00A16BF1">
      <w:pPr>
        <w:pStyle w:val="a3"/>
        <w:ind w:left="420" w:firstLineChars="0" w:firstLine="0"/>
      </w:pPr>
      <w:r>
        <w:t>This theory suggests that forward rates are solely a function of expected future spot rates.</w:t>
      </w:r>
    </w:p>
    <w:p w:rsidR="0059407F" w:rsidRDefault="0059407F" w:rsidP="007C3137">
      <w:pPr>
        <w:pStyle w:val="a3"/>
        <w:numPr>
          <w:ilvl w:val="0"/>
          <w:numId w:val="134"/>
        </w:numPr>
        <w:ind w:firstLineChars="0"/>
      </w:pPr>
      <w:r>
        <w:rPr>
          <w:rFonts w:hint="eastAsia"/>
        </w:rPr>
        <w:t>Local expectations Theory</w:t>
      </w:r>
    </w:p>
    <w:p w:rsidR="0059407F" w:rsidRDefault="0059407F" w:rsidP="0059407F">
      <w:pPr>
        <w:pStyle w:val="a3"/>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r w:rsidR="007927D1">
        <w:t xml:space="preserve"> This means the short-term return for every bond should be the same.</w:t>
      </w:r>
    </w:p>
    <w:p w:rsidR="00FA0D7F" w:rsidRDefault="00FA0D7F" w:rsidP="007C3137">
      <w:pPr>
        <w:pStyle w:val="a3"/>
        <w:numPr>
          <w:ilvl w:val="0"/>
          <w:numId w:val="134"/>
        </w:numPr>
        <w:ind w:firstLineChars="0"/>
      </w:pPr>
      <w:r>
        <w:rPr>
          <w:rFonts w:hint="eastAsia"/>
        </w:rPr>
        <w:t>Liquidity Preference Theory</w:t>
      </w:r>
    </w:p>
    <w:p w:rsidR="00FA0D7F" w:rsidRDefault="00FA0D7F" w:rsidP="00FA0D7F">
      <w:pPr>
        <w:pStyle w:val="a3"/>
        <w:ind w:left="420" w:firstLineChars="0" w:firstLine="0"/>
      </w:pPr>
      <w:r>
        <w:t>Forward rates reflect investors’ expectations of future spot rates, plus a liquidity premium to compensate investors for exposure to interest rate risk.</w:t>
      </w:r>
    </w:p>
    <w:p w:rsidR="00C84613" w:rsidRDefault="00C84613" w:rsidP="00FA0D7F">
      <w:pPr>
        <w:pStyle w:val="a3"/>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rsidR="00C84613" w:rsidRDefault="00C84613" w:rsidP="00FA0D7F">
      <w:pPr>
        <w:pStyle w:val="a3"/>
        <w:ind w:left="420" w:firstLineChars="0" w:firstLine="0"/>
      </w:pPr>
      <w:r>
        <w:t xml:space="preserve">Thus, a positive-sloping yield curve may indicate 1) the market expects future interest rates </w:t>
      </w:r>
      <w:r>
        <w:lastRenderedPageBreak/>
        <w:t xml:space="preserve">to rise. 2) </w:t>
      </w:r>
      <w:r w:rsidR="00C6344B">
        <w:t>Rates</w:t>
      </w:r>
      <w:r>
        <w:t xml:space="preserve"> are expected to remain constant or even fall, but addition of the liquidity premium results in a positive slop</w:t>
      </w:r>
      <w:r w:rsidR="00C6344B">
        <w:t>e</w:t>
      </w:r>
      <w:r>
        <w:t>.</w:t>
      </w:r>
    </w:p>
    <w:p w:rsidR="00C6344B" w:rsidRDefault="00457AD1" w:rsidP="007C3137">
      <w:pPr>
        <w:pStyle w:val="a3"/>
        <w:numPr>
          <w:ilvl w:val="0"/>
          <w:numId w:val="134"/>
        </w:numPr>
        <w:ind w:firstLineChars="0"/>
      </w:pPr>
      <w:r>
        <w:rPr>
          <w:rFonts w:hint="eastAsia"/>
        </w:rPr>
        <w:t>Segmented markets theory</w:t>
      </w:r>
    </w:p>
    <w:p w:rsidR="00C6344B" w:rsidRDefault="00C6344B" w:rsidP="00C6344B">
      <w:pPr>
        <w:pStyle w:val="a3"/>
        <w:ind w:left="420" w:firstLineChars="0" w:firstLine="0"/>
      </w:pPr>
      <w:r>
        <w:t>The shape of the yield curve is determined by the preferences of borrowers and lenders, which drives the balance between supply of and demand for loans of different maturities.</w:t>
      </w:r>
    </w:p>
    <w:p w:rsidR="00C6344B" w:rsidRDefault="00457AD1" w:rsidP="00C6344B">
      <w:pPr>
        <w:pStyle w:val="a3"/>
        <w:ind w:left="420" w:firstLineChars="0" w:firstLine="0"/>
      </w:pPr>
      <w:r>
        <w:t>The theory also suggests that the yield at each maturity is determined independently of the yields at other maturities.</w:t>
      </w:r>
    </w:p>
    <w:p w:rsidR="00457AD1" w:rsidRDefault="00457AD1" w:rsidP="007C3137">
      <w:pPr>
        <w:pStyle w:val="a3"/>
        <w:numPr>
          <w:ilvl w:val="0"/>
          <w:numId w:val="134"/>
        </w:numPr>
        <w:ind w:firstLineChars="0"/>
      </w:pPr>
      <w:r>
        <w:rPr>
          <w:rFonts w:hint="eastAsia"/>
        </w:rPr>
        <w:t>Preferred Habitat Theory</w:t>
      </w:r>
    </w:p>
    <w:p w:rsidR="00457AD1" w:rsidRDefault="00457AD1" w:rsidP="00457AD1">
      <w:pPr>
        <w:pStyle w:val="a3"/>
        <w:ind w:left="420" w:firstLineChars="0" w:firstLine="0"/>
      </w:pPr>
      <w:r>
        <w:rPr>
          <w:rFonts w:hint="eastAsia"/>
        </w:rPr>
        <w:t>It proposes that forward rates represent expected future sport rates plus a premium, but it does not support the view that this premium is directly related to maturity.</w:t>
      </w:r>
    </w:p>
    <w:p w:rsidR="004A6794" w:rsidRDefault="004A6794" w:rsidP="00457AD1">
      <w:pPr>
        <w:pStyle w:val="a3"/>
        <w:ind w:left="420" w:firstLineChars="0" w:firstLine="0"/>
      </w:pPr>
      <w:r>
        <w:t>Under this theory, premiums are related to supply and demand for funds at various maturities.</w:t>
      </w:r>
    </w:p>
    <w:p w:rsidR="00F63A7B" w:rsidRDefault="00F63A7B" w:rsidP="00F63A7B"/>
    <w:p w:rsidR="00F63A7B" w:rsidRDefault="00F63A7B" w:rsidP="00F63A7B">
      <w:pPr>
        <w:pStyle w:val="Level3"/>
        <w:spacing w:after="156"/>
      </w:pPr>
      <w:r>
        <w:t>Describe</w:t>
      </w:r>
      <w:r>
        <w:rPr>
          <w:rFonts w:hint="eastAsia"/>
        </w:rPr>
        <w:t xml:space="preserve"> </w:t>
      </w:r>
      <w:r>
        <w:t>modern term structure models and how they are used.</w:t>
      </w:r>
    </w:p>
    <w:p w:rsidR="00F63A7B" w:rsidRDefault="001B396D" w:rsidP="007C3137">
      <w:pPr>
        <w:pStyle w:val="a3"/>
        <w:numPr>
          <w:ilvl w:val="0"/>
          <w:numId w:val="134"/>
        </w:numPr>
        <w:ind w:firstLineChars="0"/>
      </w:pPr>
      <w:r>
        <w:rPr>
          <w:rFonts w:hint="eastAsia"/>
        </w:rPr>
        <w:t>The Cox-Ingersoll-Ross Model</w:t>
      </w:r>
    </w:p>
    <w:p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1B396D" w:rsidRDefault="001B396D" w:rsidP="001B396D">
      <w:r>
        <w:rPr>
          <w:rFonts w:hint="eastAsia"/>
        </w:rPr>
        <w:t>The a(b-r)dt term forces the interest rate to mean-revert toward the long-run value (b) at a speed determined by parameter a.</w:t>
      </w:r>
    </w:p>
    <w:p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rsidR="00B505F5" w:rsidRPr="00B505F5" w:rsidRDefault="00B505F5" w:rsidP="007C3137">
      <w:pPr>
        <w:pStyle w:val="a3"/>
        <w:numPr>
          <w:ilvl w:val="0"/>
          <w:numId w:val="134"/>
        </w:numPr>
        <w:ind w:firstLineChars="0"/>
      </w:pPr>
      <w:r>
        <w:rPr>
          <w:rFonts w:hint="eastAsia"/>
        </w:rPr>
        <w:t>The Vasicek Model</w:t>
      </w:r>
    </w:p>
    <w:p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B505F5" w:rsidP="00B505F5">
      <w:r>
        <w:rPr>
          <w:rFonts w:hint="eastAsia"/>
        </w:rPr>
        <w:t>The main disadvantages of this model is that it does not force interest rates to be non-negative.</w:t>
      </w:r>
    </w:p>
    <w:p w:rsidR="00B505F5" w:rsidRPr="00B505F5" w:rsidRDefault="00B505F5" w:rsidP="007C3137">
      <w:pPr>
        <w:pStyle w:val="a3"/>
        <w:numPr>
          <w:ilvl w:val="0"/>
          <w:numId w:val="134"/>
        </w:numPr>
        <w:ind w:firstLineChars="0"/>
      </w:pPr>
      <w:r>
        <w:rPr>
          <w:rFonts w:hint="eastAsia"/>
        </w:rPr>
        <w:t>The Ho-Lee Model</w:t>
      </w:r>
    </w:p>
    <w:p w:rsidR="00B505F5" w:rsidRPr="00B505F5" w:rsidRDefault="00B505F5" w:rsidP="00B505F5">
      <m:oMathPara>
        <m:oMathParaPr>
          <m:jc m:val="left"/>
        </m:oMathParaPr>
        <m:oMath>
          <m:r>
            <m:rPr>
              <m:sty m:val="p"/>
            </m:rPr>
            <w:rPr>
              <w:rFonts w:ascii="Cambria Math" w:hAnsi="Cambria Math"/>
            </w:rPr>
            <m:t>dr=θdt+σ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rsidR="00457A59" w:rsidRPr="00B505F5" w:rsidRDefault="00457A59" w:rsidP="00B505F5"/>
    <w:p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rsidR="00457A59" w:rsidRDefault="00457A59" w:rsidP="00457A59">
      <w:r>
        <w:rPr>
          <w:rFonts w:hint="eastAsia"/>
        </w:rPr>
        <w:t>Sensitivity to Parallel, Steepness, and Curvature Movements</w:t>
      </w:r>
    </w:p>
    <w:p w:rsidR="00457A59" w:rsidRDefault="00457A59" w:rsidP="00457A59">
      <w:r>
        <w:t>Level – A parallel increase of decrease of interest rates.</w:t>
      </w:r>
    </w:p>
    <w:p w:rsidR="00457A59" w:rsidRDefault="00457A59" w:rsidP="00457A59">
      <w:r>
        <w:t>Steepness – Long-term interest rates increase while short-term rates decrease.</w:t>
      </w:r>
    </w:p>
    <w:p w:rsidR="00457A59" w:rsidRDefault="00457A59" w:rsidP="00457A59">
      <w:r>
        <w:t>Curvature – Increasing curvature means short- and long-term interest rates increase while intermediate rates do not change.</w:t>
      </w:r>
    </w:p>
    <w:p w:rsidR="00830DA7" w:rsidRDefault="00830DA7" w:rsidP="00457A59"/>
    <w:p w:rsidR="00830DA7" w:rsidRDefault="00830DA7" w:rsidP="00830DA7">
      <w:pPr>
        <w:pStyle w:val="Level3"/>
        <w:spacing w:after="156"/>
      </w:pPr>
      <w:r>
        <w:rPr>
          <w:rFonts w:hint="eastAsia"/>
        </w:rPr>
        <w:t>Explain the maturity structure of yield volatilities and their effect on price volatility.</w:t>
      </w:r>
    </w:p>
    <w:p w:rsidR="00830DA7" w:rsidRDefault="00830DA7" w:rsidP="00830DA7">
      <w:r>
        <w:t>Short-term interest rates are generally more volatile than long-term rates.</w:t>
      </w:r>
    </w:p>
    <w:p w:rsidR="00830DA7" w:rsidRDefault="00830DA7" w:rsidP="00830DA7">
      <w:r>
        <w:t>Volatility at the long-maturity end is thought to be associated with uncertainty regarding the real economy and inflation, while volatility at the short-maturity end reflects risks regarding monetary policy.</w:t>
      </w:r>
    </w:p>
    <w:p w:rsidR="0090284A" w:rsidRDefault="0090284A" w:rsidP="00830DA7"/>
    <w:p w:rsidR="0076163C" w:rsidRDefault="0076163C" w:rsidP="00830DA7"/>
    <w:p w:rsidR="0076163C" w:rsidRDefault="0076163C" w:rsidP="00830DA7"/>
    <w:p w:rsidR="0076163C" w:rsidRDefault="0076163C" w:rsidP="00830DA7"/>
    <w:p w:rsidR="0090284A" w:rsidRDefault="002706A2" w:rsidP="0090284A">
      <w:pPr>
        <w:pStyle w:val="Level2"/>
      </w:pPr>
      <w:r>
        <w:rPr>
          <w:rFonts w:hint="eastAsia"/>
        </w:rPr>
        <w:lastRenderedPageBreak/>
        <w:t>The Arbitrage-free Valuation Framework</w:t>
      </w:r>
    </w:p>
    <w:p w:rsidR="002706A2" w:rsidRDefault="002706A2" w:rsidP="002706A2">
      <w:pPr>
        <w:pStyle w:val="Level3"/>
        <w:spacing w:after="156"/>
      </w:pPr>
      <w:r>
        <w:rPr>
          <w:rFonts w:hint="eastAsia"/>
        </w:rPr>
        <w:t>Explain what is meant by arbitrage-free valuation of a fixed-income instrument</w:t>
      </w:r>
    </w:p>
    <w:p w:rsidR="002706A2" w:rsidRDefault="002706A2" w:rsidP="002706A2">
      <w:r>
        <w:t>There’re 2 types of arbitrage opportunities: value additivity and dominance (law of one price).</w:t>
      </w:r>
    </w:p>
    <w:p w:rsidR="002706A2" w:rsidRDefault="002706A2" w:rsidP="002706A2">
      <w:r>
        <w:t xml:space="preserve">If the principle of value additivity does not hold, arbitrage profits can be earned by </w:t>
      </w:r>
      <w:r w:rsidRPr="0024310C">
        <w:rPr>
          <w:b/>
        </w:rPr>
        <w:t>stripping</w:t>
      </w:r>
      <w:r>
        <w:t xml:space="preserve"> or </w:t>
      </w:r>
      <w:r w:rsidRPr="0024310C">
        <w:rPr>
          <w:b/>
        </w:rPr>
        <w:t>reconstitution</w:t>
      </w:r>
      <w:r>
        <w:t>.</w:t>
      </w:r>
    </w:p>
    <w:p w:rsidR="00631132" w:rsidRDefault="00631132" w:rsidP="002706A2"/>
    <w:p w:rsidR="00631132" w:rsidRDefault="00631132" w:rsidP="007C3137">
      <w:pPr>
        <w:pStyle w:val="Level3"/>
        <w:numPr>
          <w:ilvl w:val="2"/>
          <w:numId w:val="135"/>
        </w:numPr>
        <w:spacing w:after="156"/>
      </w:pPr>
      <w:r>
        <w:rPr>
          <w:rFonts w:hint="eastAsia"/>
        </w:rPr>
        <w:t>Describe the process of calibrating a binomial interest rate tree to match a specific term structure.</w:t>
      </w:r>
    </w:p>
    <w:p w:rsidR="00631132" w:rsidRPr="00631132" w:rsidRDefault="00631132" w:rsidP="007C3137">
      <w:pPr>
        <w:pStyle w:val="a3"/>
        <w:numPr>
          <w:ilvl w:val="0"/>
          <w:numId w:val="134"/>
        </w:numPr>
        <w:ind w:firstLineChars="0"/>
      </w:pPr>
      <w:r>
        <w:rPr>
          <w:rFonts w:hint="eastAsia"/>
        </w:rPr>
        <w:t>Adjacent forward rates for the same period are two standard deviations apart.</w:t>
      </w:r>
    </w:p>
    <w:p w:rsidR="00631132" w:rsidRPr="007A60D8" w:rsidRDefault="00631132" w:rsidP="007C3137">
      <w:pPr>
        <w:pStyle w:val="a3"/>
        <w:numPr>
          <w:ilvl w:val="0"/>
          <w:numId w:val="134"/>
        </w:numPr>
        <w:ind w:firstLineChars="0"/>
      </w:pPr>
      <w:r>
        <w:t>The middle forward rate in a period is approximately equal to the implied one-period forward rate for that period.</w:t>
      </w:r>
    </w:p>
    <w:p w:rsidR="007A60D8" w:rsidRDefault="007A60D8" w:rsidP="007A60D8"/>
    <w:p w:rsidR="007A60D8" w:rsidRDefault="007A60D8" w:rsidP="007C3137">
      <w:pPr>
        <w:pStyle w:val="Level3"/>
        <w:numPr>
          <w:ilvl w:val="2"/>
          <w:numId w:val="136"/>
        </w:numPr>
        <w:spacing w:after="156"/>
      </w:pPr>
      <w:r>
        <w:rPr>
          <w:rFonts w:hint="eastAsia"/>
        </w:rPr>
        <w:t xml:space="preserve">Describe a Monte Carlo forward-rate simulation and its </w:t>
      </w:r>
      <w:r w:rsidR="00B135A8">
        <w:t>application</w:t>
      </w:r>
      <w:r>
        <w:rPr>
          <w:rFonts w:hint="eastAsia"/>
        </w:rPr>
        <w:t>.</w:t>
      </w:r>
    </w:p>
    <w:p w:rsidR="007A60D8" w:rsidRDefault="00B135A8" w:rsidP="007A60D8">
      <w:r>
        <w:rPr>
          <w:rFonts w:hint="eastAsia"/>
        </w:rPr>
        <w:t xml:space="preserve">Because of path dependency of cash flows of MBS, the binomial tree backward induction process cannot be used to value such securities. </w:t>
      </w:r>
      <w:r>
        <w:t>We use the Monte Carlo simulation method to value MBS.</w:t>
      </w:r>
    </w:p>
    <w:p w:rsidR="00B65148" w:rsidRDefault="00B65148" w:rsidP="007A60D8"/>
    <w:p w:rsidR="00B65148" w:rsidRDefault="00B65148" w:rsidP="00B65148">
      <w:pPr>
        <w:pStyle w:val="Level2"/>
      </w:pPr>
      <w:r>
        <w:rPr>
          <w:rFonts w:hint="eastAsia"/>
        </w:rPr>
        <w:t>Valuation and Analysis: Bonds with Embedded Options</w:t>
      </w:r>
    </w:p>
    <w:p w:rsidR="00B65148" w:rsidRDefault="00B65148" w:rsidP="00B65148">
      <w:pPr>
        <w:pStyle w:val="Level3"/>
        <w:spacing w:after="156"/>
      </w:pPr>
      <w:r>
        <w:t>Describe fixed-income securities with embedded options.</w:t>
      </w:r>
    </w:p>
    <w:p w:rsidR="00A776DF" w:rsidRDefault="00A776DF" w:rsidP="00A776DF">
      <w:r>
        <w:rPr>
          <w:rFonts w:hint="eastAsia"/>
        </w:rPr>
        <w:t>An estate put which includes a p</w:t>
      </w:r>
      <w:r>
        <w:t>rovision that allows the heirs of an investor to put the bond back to the issuer upon the death of the investor.</w:t>
      </w:r>
    </w:p>
    <w:p w:rsidR="005B7BA7" w:rsidRDefault="005B7BA7" w:rsidP="00A776DF"/>
    <w:p w:rsidR="005B7BA7" w:rsidRDefault="005B7BA7" w:rsidP="007C3137">
      <w:pPr>
        <w:pStyle w:val="Level3"/>
        <w:numPr>
          <w:ilvl w:val="2"/>
          <w:numId w:val="137"/>
        </w:numPr>
        <w:spacing w:after="156"/>
      </w:pPr>
      <w:r>
        <w:rPr>
          <w:rFonts w:hint="eastAsia"/>
        </w:rPr>
        <w:t>Explain the calculation and use of OAS</w:t>
      </w:r>
    </w:p>
    <w:p w:rsidR="005B7BA7" w:rsidRDefault="005B7BA7" w:rsidP="005B7BA7">
      <w:r>
        <w:t>A constant spread must be added to all one-period rates in the tree such that the calculated value equals the market price of the risky bond. This spread is called the OAS.</w:t>
      </w:r>
    </w:p>
    <w:p w:rsidR="005C064F" w:rsidRDefault="005C064F" w:rsidP="005B7BA7"/>
    <w:p w:rsidR="005C064F" w:rsidRDefault="005C064F" w:rsidP="005C064F">
      <w:pPr>
        <w:pStyle w:val="Level3"/>
        <w:spacing w:after="156"/>
      </w:pPr>
      <w:r>
        <w:rPr>
          <w:rFonts w:hint="eastAsia"/>
        </w:rPr>
        <w:t>Explain how interest rate volatility affects OAS</w:t>
      </w:r>
    </w:p>
    <w:p w:rsidR="005C064F" w:rsidRPr="005C064F" w:rsidRDefault="005C064F" w:rsidP="005C064F">
      <w:r>
        <w:t>When interest rate volatility is high -&gt; value of call option is high -&gt; value of callable bonds is low -&gt; the spread needed to adjust the value is low.</w:t>
      </w:r>
    </w:p>
    <w:p w:rsidR="005C064F" w:rsidRDefault="005C064F" w:rsidP="005B7BA7"/>
    <w:p w:rsidR="005C064F" w:rsidRDefault="005C064F" w:rsidP="007C3137">
      <w:pPr>
        <w:pStyle w:val="Level3"/>
        <w:numPr>
          <w:ilvl w:val="2"/>
          <w:numId w:val="138"/>
        </w:numPr>
        <w:spacing w:after="156"/>
      </w:pPr>
      <w:r>
        <w:rPr>
          <w:rFonts w:hint="eastAsia"/>
        </w:rPr>
        <w:t>Describe the use of one-sided durations and key rate durations to evaluate the interest rate sensitivity of bonds with embedded options.</w:t>
      </w:r>
    </w:p>
    <w:p w:rsidR="00DD2056" w:rsidRDefault="00DD2056" w:rsidP="00DD2056">
      <w:r>
        <w:rPr>
          <w:rFonts w:hint="eastAsia"/>
        </w:rPr>
        <w:t>Key rate duration</w:t>
      </w:r>
    </w:p>
    <w:p w:rsidR="00DD2056" w:rsidRPr="00DD2056" w:rsidRDefault="00DD2056" w:rsidP="007C3137">
      <w:pPr>
        <w:pStyle w:val="a3"/>
        <w:numPr>
          <w:ilvl w:val="0"/>
          <w:numId w:val="139"/>
        </w:numPr>
        <w:ind w:firstLineChars="0"/>
      </w:pPr>
      <w:r>
        <w:rPr>
          <w:rFonts w:hint="eastAsia"/>
        </w:rPr>
        <w:t>For option-free bonds not trading at par, the maturity-matched rate is still the most important rate.</w:t>
      </w:r>
    </w:p>
    <w:p w:rsidR="00DD2056" w:rsidRPr="00DD2056" w:rsidRDefault="00DD2056" w:rsidP="007C3137">
      <w:pPr>
        <w:pStyle w:val="a3"/>
        <w:numPr>
          <w:ilvl w:val="0"/>
          <w:numId w:val="139"/>
        </w:numPr>
        <w:ind w:firstLineChars="0"/>
      </w:pPr>
      <w:r>
        <w:t>A bond with a low coupon rate may have negative key rate durations.</w:t>
      </w:r>
    </w:p>
    <w:p w:rsidR="00DD2056" w:rsidRPr="002E5FA5" w:rsidRDefault="00DD2056" w:rsidP="007C3137">
      <w:pPr>
        <w:pStyle w:val="a3"/>
        <w:numPr>
          <w:ilvl w:val="0"/>
          <w:numId w:val="139"/>
        </w:numPr>
        <w:ind w:firstLineChars="0"/>
      </w:pPr>
      <w:r>
        <w:t>Callable bonds with low coupon rates are unlikely to be called; their maturity-matched rate is their most critical rate.</w:t>
      </w:r>
    </w:p>
    <w:p w:rsidR="002E5FA5" w:rsidRPr="00AB256C" w:rsidRDefault="002E5FA5" w:rsidP="007C3137">
      <w:pPr>
        <w:pStyle w:val="a3"/>
        <w:numPr>
          <w:ilvl w:val="0"/>
          <w:numId w:val="139"/>
        </w:numPr>
        <w:ind w:firstLineChars="0"/>
      </w:pPr>
      <w:r>
        <w:t>Callable bonds with high coupon rate are likely to be called; their time-to-exercise rate will tend to dominate the time-to-maturity rate.</w:t>
      </w:r>
    </w:p>
    <w:p w:rsidR="00AB256C" w:rsidRDefault="00AB256C" w:rsidP="00AB256C"/>
    <w:p w:rsidR="0076163C" w:rsidRDefault="0076163C" w:rsidP="00AB256C"/>
    <w:p w:rsidR="00AB256C" w:rsidRDefault="00AB256C" w:rsidP="007C3137">
      <w:pPr>
        <w:pStyle w:val="Level3"/>
        <w:numPr>
          <w:ilvl w:val="2"/>
          <w:numId w:val="140"/>
        </w:numPr>
        <w:spacing w:after="156"/>
      </w:pPr>
      <w:r>
        <w:rPr>
          <w:rFonts w:hint="eastAsia"/>
        </w:rPr>
        <w:lastRenderedPageBreak/>
        <w:t>Calculate and interpret the components of a convertible bond</w:t>
      </w:r>
      <w:r>
        <w:t>’s value</w:t>
      </w:r>
    </w:p>
    <w:p w:rsidR="00AB256C" w:rsidRDefault="00AB256C" w:rsidP="00AB256C">
      <w:r>
        <w:t>E.g.: A convertible bonds is selling at 985 with a conversion ratio of 25 and a straight value of 950. The stock is currently selling at 35 per share.</w:t>
      </w:r>
    </w:p>
    <w:p w:rsidR="001E26E4" w:rsidRDefault="001E26E4" w:rsidP="00AB256C"/>
    <w:p w:rsidR="001E26E4" w:rsidRDefault="001E26E4" w:rsidP="00AB256C">
      <w:r>
        <w:t>*</w:t>
      </w:r>
      <w:r w:rsidRPr="001E26E4">
        <w:t xml:space="preserve"> </w:t>
      </w:r>
      <w:r w:rsidR="00E96FF3">
        <w:t>Straight</w:t>
      </w:r>
      <w:r>
        <w:t xml:space="preserve"> value is the value of an equivalent bond without conversion option.</w:t>
      </w:r>
    </w:p>
    <w:p w:rsidR="00AB256C" w:rsidRDefault="00AB256C" w:rsidP="00AB256C"/>
    <w:p w:rsidR="00AB256C" w:rsidRDefault="00AB256C" w:rsidP="00AB256C">
      <w:r>
        <w:rPr>
          <w:rFonts w:hint="eastAsia"/>
        </w:rPr>
        <w:t xml:space="preserve">Minimum value = </w:t>
      </w:r>
      <w:r>
        <w:t>max (</w:t>
      </w:r>
      <w:r>
        <w:rPr>
          <w:rFonts w:hint="eastAsia"/>
        </w:rPr>
        <w:t xml:space="preserve">straight value, conversion value) = </w:t>
      </w:r>
      <w:r>
        <w:t>max (</w:t>
      </w:r>
      <w:r>
        <w:rPr>
          <w:rFonts w:hint="eastAsia"/>
        </w:rPr>
        <w:t>950, 25*35)</w:t>
      </w:r>
    </w:p>
    <w:p w:rsidR="00AB256C" w:rsidRDefault="00AB256C" w:rsidP="00AB256C">
      <w:r>
        <w:t>M</w:t>
      </w:r>
      <w:r>
        <w:rPr>
          <w:rFonts w:hint="eastAsia"/>
        </w:rPr>
        <w:t xml:space="preserve">arket </w:t>
      </w:r>
      <w:r>
        <w:t>conversion price = 985 / 25 = 39.4</w:t>
      </w:r>
    </w:p>
    <w:p w:rsidR="00AB256C" w:rsidRDefault="00AB256C" w:rsidP="00AB256C">
      <w:r>
        <w:t>Market conversion premium per share = 39.4 – 35 = 4.4</w:t>
      </w:r>
    </w:p>
    <w:p w:rsidR="00AB256C" w:rsidRDefault="00AB256C" w:rsidP="00AB256C">
      <w:r>
        <w:t>Market conversion premium ratio = 4.4/35 = 12.57%</w:t>
      </w:r>
    </w:p>
    <w:p w:rsidR="00AB256C" w:rsidRDefault="00AB256C" w:rsidP="00AB256C">
      <w:r>
        <w:t>Premium over straight value = 985 / 950 – 1 = 3.68%. This measures the downside risk because the value cannot fall below straight value.</w:t>
      </w:r>
    </w:p>
    <w:p w:rsidR="00DC0C96" w:rsidRDefault="00DC0C96" w:rsidP="00AB256C"/>
    <w:p w:rsidR="00DC0C96" w:rsidRDefault="00DC0C96" w:rsidP="007C3137">
      <w:pPr>
        <w:pStyle w:val="Level3"/>
        <w:numPr>
          <w:ilvl w:val="2"/>
          <w:numId w:val="141"/>
        </w:numPr>
        <w:spacing w:after="156"/>
      </w:pPr>
      <w:r>
        <w:rPr>
          <w:rFonts w:hint="eastAsia"/>
        </w:rPr>
        <w:t>Compare the risk-return characteristics of a convertible bond with the risk-return characteristics of a straight bond and of the underlying common stock.</w:t>
      </w:r>
    </w:p>
    <w:p w:rsidR="00DC0C96" w:rsidRDefault="00DC0C96" w:rsidP="00DC0C96">
      <w:r>
        <w:t>When the price of the common stock is low, there is no effect on the convertible’s market price and it’s referred to as a fixed-income equivalent or a busted convertible.</w:t>
      </w:r>
    </w:p>
    <w:p w:rsidR="002D4253" w:rsidRDefault="002D4253" w:rsidP="00DC0C96"/>
    <w:p w:rsidR="002D4253" w:rsidRDefault="002D4253" w:rsidP="002D4253">
      <w:pPr>
        <w:pStyle w:val="Level2"/>
      </w:pPr>
      <w:r>
        <w:rPr>
          <w:rFonts w:hint="eastAsia"/>
        </w:rPr>
        <w:t>Credit Analysis Models</w:t>
      </w:r>
    </w:p>
    <w:p w:rsidR="002D4253" w:rsidRDefault="002D4253" w:rsidP="007C3137">
      <w:pPr>
        <w:pStyle w:val="Level3"/>
        <w:numPr>
          <w:ilvl w:val="2"/>
          <w:numId w:val="142"/>
        </w:numPr>
        <w:spacing w:after="156"/>
      </w:pPr>
      <w:r>
        <w:rPr>
          <w:rFonts w:hint="eastAsia"/>
        </w:rPr>
        <w:t xml:space="preserve">Explain structural models of corporate credit risk, including why equity can be viewed as a call option on the </w:t>
      </w:r>
      <w:r>
        <w:t>company’s</w:t>
      </w:r>
      <w:r>
        <w:rPr>
          <w:rFonts w:hint="eastAsia"/>
        </w:rPr>
        <w:t xml:space="preserve"> </w:t>
      </w:r>
      <w:r>
        <w:t>assets.</w:t>
      </w:r>
    </w:p>
    <w:p w:rsidR="00D33AA7" w:rsidRDefault="00D33AA7" w:rsidP="00D33AA7">
      <w:r>
        <w:t>V</w:t>
      </w:r>
      <w:r>
        <w:rPr>
          <w:rFonts w:hint="eastAsia"/>
        </w:rPr>
        <w:t xml:space="preserve">alue </w:t>
      </w:r>
      <w:r>
        <w:t xml:space="preserve">of corporate asset = long </w:t>
      </w:r>
      <w:r w:rsidR="009C39DF">
        <w:t>call (</w:t>
      </w:r>
      <w:r>
        <w:t>value of stock) + (risk-free bond – put</w:t>
      </w:r>
      <w:r w:rsidR="009C39DF">
        <w:t>) (</w:t>
      </w:r>
      <w:r>
        <w:t>value of debt)</w:t>
      </w:r>
    </w:p>
    <w:p w:rsidR="009C39DF" w:rsidRDefault="007102A2" w:rsidP="00D33AA7">
      <w:r>
        <w:rPr>
          <w:rFonts w:hint="eastAsia"/>
        </w:rPr>
        <w:t>Expected loss = long the put</w:t>
      </w:r>
    </w:p>
    <w:p w:rsidR="007102A2" w:rsidRDefault="007102A2" w:rsidP="00D33AA7">
      <w:r>
        <w:t xml:space="preserve">Probability of default = </w:t>
      </w:r>
      <w:r w:rsidR="00CE2A5B">
        <w:t>N (</w:t>
      </w:r>
      <w:r>
        <w:t>-d2)</w:t>
      </w:r>
    </w:p>
    <w:p w:rsidR="00CE2A5B" w:rsidRDefault="00CE2A5B" w:rsidP="00D33AA7"/>
    <w:p w:rsidR="00CE2A5B" w:rsidRDefault="00CE2A5B" w:rsidP="00CE2A5B">
      <w:pPr>
        <w:pStyle w:val="Level3"/>
        <w:spacing w:after="156"/>
      </w:pPr>
      <w:r>
        <w:rPr>
          <w:rFonts w:hint="eastAsia"/>
        </w:rPr>
        <w:t xml:space="preserve">Explain reduced form models of corporate credit risk, including why debt can </w:t>
      </w:r>
      <w:r w:rsidR="00F339F7">
        <w:t>be valued</w:t>
      </w:r>
      <w:r>
        <w:rPr>
          <w:rFonts w:hint="eastAsia"/>
        </w:rPr>
        <w:t xml:space="preserve"> as the sum of expected discounted cash flows after adjusting for risk.</w:t>
      </w:r>
    </w:p>
    <w:p w:rsidR="00CE2A5B" w:rsidRDefault="00F339F7" w:rsidP="00CE2A5B">
      <w:r>
        <w:rPr>
          <w:rFonts w:hint="eastAsia"/>
        </w:rPr>
        <w:t>The risk-free rate is no longer constant under the reduced form model.</w:t>
      </w:r>
    </w:p>
    <w:p w:rsidR="00F339F7" w:rsidRDefault="00F339F7" w:rsidP="00CE2A5B">
      <w:r>
        <w:t>The recovery rate is also stochastic and depends on the state of the economy (business cycle).</w:t>
      </w:r>
    </w:p>
    <w:p w:rsidR="00B250B2" w:rsidRDefault="00B250B2" w:rsidP="00CE2A5B"/>
    <w:p w:rsidR="00B250B2" w:rsidRDefault="00B250B2" w:rsidP="007C3137">
      <w:pPr>
        <w:pStyle w:val="Level3"/>
        <w:numPr>
          <w:ilvl w:val="2"/>
          <w:numId w:val="143"/>
        </w:numPr>
        <w:spacing w:after="156"/>
      </w:pPr>
      <w:r>
        <w:rPr>
          <w:rFonts w:hint="eastAsia"/>
        </w:rPr>
        <w:t>Explain the determinants of the term structure of credit spreads.</w:t>
      </w:r>
    </w:p>
    <w:p w:rsidR="00B250B2" w:rsidRDefault="00B250B2" w:rsidP="00B250B2">
      <w:r>
        <w:t>The credit spread is the difference in spot rates for credit-risky bonds and risk-free bonds. However, it includes a premium for liquidity risk in addition to credit risk.</w:t>
      </w:r>
    </w:p>
    <w:p w:rsidR="00D66872" w:rsidRDefault="00D66872" w:rsidP="00B250B2"/>
    <w:p w:rsidR="00D66872" w:rsidRDefault="00D66872" w:rsidP="007C3137">
      <w:pPr>
        <w:pStyle w:val="Level3"/>
        <w:numPr>
          <w:ilvl w:val="2"/>
          <w:numId w:val="144"/>
        </w:numPr>
        <w:spacing w:after="156"/>
      </w:pPr>
      <w:r>
        <w:rPr>
          <w:rFonts w:hint="eastAsia"/>
        </w:rPr>
        <w:t>Compare the credit analysis required for ABS to analysis of corporate debt.</w:t>
      </w:r>
    </w:p>
    <w:p w:rsidR="00D66872" w:rsidRDefault="00D66872" w:rsidP="00D66872">
      <w:r>
        <w:t>To value an ABS, either a reduced form or a structural model can be used. However, the valuation must incorporate the distribution waterfall of the ABS.</w:t>
      </w:r>
    </w:p>
    <w:p w:rsidR="00D66872" w:rsidRPr="00D66872" w:rsidRDefault="00D66872" w:rsidP="00D66872">
      <w:r>
        <w:rPr>
          <w:rFonts w:hint="eastAsia"/>
        </w:rPr>
        <w:t>The credit risk metric of probability of default doesn</w:t>
      </w:r>
      <w:r>
        <w:t>’t apply to an ABS; we instead use the probability of loss.</w:t>
      </w:r>
    </w:p>
    <w:p w:rsidR="002F23A1" w:rsidRDefault="002F23A1" w:rsidP="002F23A1">
      <w:pPr>
        <w:pStyle w:val="Level2"/>
        <w:rPr>
          <w:kern w:val="44"/>
          <w:szCs w:val="44"/>
        </w:rPr>
      </w:pPr>
      <w:r>
        <w:br w:type="page"/>
      </w:r>
    </w:p>
    <w:p w:rsidR="00E15F84" w:rsidRDefault="00E15F84" w:rsidP="002F23A1">
      <w:pPr>
        <w:pStyle w:val="Level1"/>
      </w:pPr>
      <w:r>
        <w:lastRenderedPageBreak/>
        <w:t>Derivatives</w:t>
      </w:r>
    </w:p>
    <w:p w:rsidR="00E15F84" w:rsidRDefault="002C7EC9" w:rsidP="007C3137">
      <w:pPr>
        <w:pStyle w:val="Level2"/>
        <w:numPr>
          <w:ilvl w:val="1"/>
          <w:numId w:val="145"/>
        </w:numPr>
      </w:pPr>
      <w:r>
        <w:rPr>
          <w:rFonts w:hint="eastAsia"/>
        </w:rPr>
        <w:t>Forward Markets and Contracts</w:t>
      </w:r>
    </w:p>
    <w:p w:rsidR="002C7EC9" w:rsidRDefault="002C7EC9" w:rsidP="002C7EC9">
      <w:r>
        <w:rPr>
          <w:rFonts w:hint="eastAsia"/>
        </w:rPr>
        <w:t xml:space="preserve">Day count and compounding </w:t>
      </w:r>
      <w:r>
        <w:t>conventions</w:t>
      </w:r>
      <w:r>
        <w:rPr>
          <w:rFonts w:hint="eastAsia"/>
        </w:rPr>
        <w:t>:</w:t>
      </w:r>
    </w:p>
    <w:p w:rsidR="002C7EC9" w:rsidRDefault="002C7EC9" w:rsidP="007C3137">
      <w:pPr>
        <w:pStyle w:val="a3"/>
        <w:numPr>
          <w:ilvl w:val="0"/>
          <w:numId w:val="146"/>
        </w:numPr>
        <w:ind w:firstLineChars="0"/>
      </w:pPr>
      <w:r>
        <w:rPr>
          <w:rFonts w:hint="eastAsia"/>
        </w:rPr>
        <w:t>360 days per year and simple interest for LIBOR based contracts such as FRAs, swaps, caps and floors.</w:t>
      </w:r>
    </w:p>
    <w:p w:rsidR="002C7EC9" w:rsidRDefault="002C7EC9" w:rsidP="007C3137">
      <w:pPr>
        <w:pStyle w:val="a3"/>
        <w:numPr>
          <w:ilvl w:val="0"/>
          <w:numId w:val="146"/>
        </w:numPr>
        <w:ind w:firstLineChars="0"/>
      </w:pPr>
      <w:r>
        <w:t xml:space="preserve">365 days per year and </w:t>
      </w:r>
      <w:r w:rsidR="00A76A6D">
        <w:t>compound</w:t>
      </w:r>
      <w:r>
        <w:t xml:space="preserve"> interest for equities, bonds, currencies and stock options.</w:t>
      </w:r>
    </w:p>
    <w:p w:rsidR="001C5B69" w:rsidRDefault="001C5B69" w:rsidP="001C5B69"/>
    <w:p w:rsidR="001C5B69" w:rsidRDefault="001C5B69" w:rsidP="001C5B69">
      <w:pPr>
        <w:pStyle w:val="Level2"/>
      </w:pPr>
      <w:r>
        <w:rPr>
          <w:rFonts w:hint="eastAsia"/>
        </w:rPr>
        <w:t>Futures Markets and Contracts</w:t>
      </w:r>
    </w:p>
    <w:p w:rsidR="001C5B69" w:rsidRDefault="001C5B69" w:rsidP="007C3137">
      <w:pPr>
        <w:pStyle w:val="Level3"/>
        <w:numPr>
          <w:ilvl w:val="2"/>
          <w:numId w:val="147"/>
        </w:numPr>
        <w:spacing w:after="156"/>
      </w:pPr>
      <w:r>
        <w:rPr>
          <w:rFonts w:hint="eastAsia"/>
        </w:rPr>
        <w:t>Explain why forward and futures prices differ.</w:t>
      </w:r>
    </w:p>
    <w:p w:rsidR="001C5B69" w:rsidRDefault="001C5B69" w:rsidP="001C5B69">
      <w:r>
        <w:t>Future arbitrage</w:t>
      </w:r>
    </w:p>
    <w:p w:rsidR="001C5B69" w:rsidRDefault="001C5B69" w:rsidP="001C5B69">
      <w:r>
        <w:t>If the futures contract is overpriced, a cash-and-carry arbitrage can generate a riskless profit, which consists of buying the assets and short the future contract.</w:t>
      </w:r>
    </w:p>
    <w:p w:rsidR="00E849DC" w:rsidRDefault="00E849DC" w:rsidP="001C5B69"/>
    <w:p w:rsidR="005441A0" w:rsidRDefault="005441A0" w:rsidP="007C3137">
      <w:pPr>
        <w:pStyle w:val="Level3"/>
        <w:numPr>
          <w:ilvl w:val="2"/>
          <w:numId w:val="148"/>
        </w:numPr>
        <w:spacing w:after="156"/>
      </w:pPr>
      <w:r>
        <w:rPr>
          <w:rFonts w:hint="eastAsia"/>
        </w:rPr>
        <w:t>Explain the relation between futures prices and expected spot prices.</w:t>
      </w:r>
    </w:p>
    <w:p w:rsidR="005441A0" w:rsidRDefault="005441A0" w:rsidP="005441A0">
      <w:r>
        <w:t>If future price is lower than expected future spot price, normal backwardation occurs.</w:t>
      </w:r>
    </w:p>
    <w:p w:rsidR="00E27E74" w:rsidRDefault="00E27E74" w:rsidP="005441A0"/>
    <w:p w:rsidR="00E27E74" w:rsidRDefault="00E27E74" w:rsidP="00E27E74">
      <w:pPr>
        <w:pStyle w:val="Level2"/>
      </w:pPr>
      <w:r>
        <w:rPr>
          <w:rFonts w:hint="eastAsia"/>
        </w:rPr>
        <w:t>Option Markets and Contracts</w:t>
      </w:r>
    </w:p>
    <w:p w:rsidR="00E27E74" w:rsidRDefault="00E27E74" w:rsidP="007C3137">
      <w:pPr>
        <w:pStyle w:val="Level3"/>
        <w:numPr>
          <w:ilvl w:val="2"/>
          <w:numId w:val="149"/>
        </w:numPr>
        <w:spacing w:after="156"/>
      </w:pPr>
      <w:r>
        <w:rPr>
          <w:rFonts w:hint="eastAsia"/>
        </w:rPr>
        <w:t>Calculate and interpret prices of interest rate options and options on assets using one- and two-period binomial models.</w:t>
      </w:r>
    </w:p>
    <w:p w:rsidR="00E27E74" w:rsidRDefault="00E27E74" w:rsidP="00E27E74">
      <w:r>
        <w:t>π</w:t>
      </w:r>
      <w:r w:rsidRPr="00E27E74">
        <w:rPr>
          <w:vertAlign w:val="subscript"/>
        </w:rPr>
        <w:t>u</w:t>
      </w:r>
      <w:r>
        <w:t xml:space="preserve"> = (1 + R</w:t>
      </w:r>
      <w:r w:rsidRPr="00E27E74">
        <w:rPr>
          <w:vertAlign w:val="subscript"/>
        </w:rPr>
        <w:t>f</w:t>
      </w:r>
      <w:r>
        <w:t xml:space="preserve"> – D) / (U – D)</w:t>
      </w:r>
    </w:p>
    <w:p w:rsidR="00E27E74" w:rsidRDefault="00E27E74" w:rsidP="00E27E74">
      <w:r>
        <w:t>c</w:t>
      </w:r>
      <w:r w:rsidRPr="00E27E74">
        <w:rPr>
          <w:vertAlign w:val="subscript"/>
        </w:rPr>
        <w:t>0</w:t>
      </w:r>
      <w:r>
        <w:t xml:space="preserve"> = (π</w:t>
      </w:r>
      <w:r w:rsidRPr="00E27E74">
        <w:rPr>
          <w:vertAlign w:val="subscript"/>
        </w:rPr>
        <w:t>u</w:t>
      </w:r>
      <w:r>
        <w:t>*c</w:t>
      </w:r>
      <w:r w:rsidRPr="00E27E74">
        <w:rPr>
          <w:vertAlign w:val="superscript"/>
        </w:rPr>
        <w:t>+</w:t>
      </w:r>
      <w:r>
        <w:t xml:space="preserve"> +π</w:t>
      </w:r>
      <w:r w:rsidRPr="00E27E74">
        <w:rPr>
          <w:vertAlign w:val="subscript"/>
        </w:rPr>
        <w:t>d</w:t>
      </w:r>
      <w:r>
        <w:t>*c</w:t>
      </w:r>
      <w:r w:rsidRPr="00E27E74">
        <w:rPr>
          <w:vertAlign w:val="superscript"/>
        </w:rPr>
        <w:t>-</w:t>
      </w:r>
      <w:r>
        <w:t>) / (1 + R</w:t>
      </w:r>
      <w:r w:rsidRPr="00E27E74">
        <w:rPr>
          <w:vertAlign w:val="subscript"/>
        </w:rPr>
        <w:t>f</w:t>
      </w:r>
      <w:r>
        <w:t>)</w:t>
      </w:r>
    </w:p>
    <w:p w:rsidR="008E06F4" w:rsidRDefault="008E06F4" w:rsidP="00E27E74"/>
    <w:p w:rsidR="008E06F4" w:rsidRDefault="008E06F4" w:rsidP="00E27E74">
      <w:r>
        <w:t>*Hedge Portfolio = nS – c.</w:t>
      </w:r>
    </w:p>
    <w:p w:rsidR="008E06F4" w:rsidRDefault="008E06F4" w:rsidP="00E27E74">
      <w:r>
        <w:t>n = Delta for call</w:t>
      </w:r>
    </w:p>
    <w:p w:rsidR="00E27E74" w:rsidRDefault="00E27E74" w:rsidP="00E27E74"/>
    <w:p w:rsidR="0070402B" w:rsidRDefault="0070402B" w:rsidP="0070402B">
      <w:pPr>
        <w:pStyle w:val="Level3"/>
        <w:spacing w:after="156"/>
      </w:pPr>
      <w:r>
        <w:rPr>
          <w:rFonts w:hint="eastAsia"/>
        </w:rPr>
        <w:t>Explain and evaluate the assumptions underlying the Black-Scholes-Merton model.</w:t>
      </w:r>
    </w:p>
    <w:tbl>
      <w:tblPr>
        <w:tblStyle w:val="a5"/>
        <w:tblW w:w="0" w:type="auto"/>
        <w:tblLook w:val="04A0" w:firstRow="1" w:lastRow="0" w:firstColumn="1" w:lastColumn="0" w:noHBand="0" w:noVBand="1"/>
      </w:tblPr>
      <w:tblGrid>
        <w:gridCol w:w="4148"/>
        <w:gridCol w:w="4148"/>
      </w:tblGrid>
      <w:tr w:rsidR="00D67F2C" w:rsidTr="00D67F2C">
        <w:tc>
          <w:tcPr>
            <w:tcW w:w="4148" w:type="dxa"/>
          </w:tcPr>
          <w:p w:rsidR="00D67F2C" w:rsidRDefault="00D67F2C" w:rsidP="00D67F2C">
            <w:r>
              <w:rPr>
                <w:rFonts w:hint="eastAsia"/>
              </w:rPr>
              <w:t>Assumption</w:t>
            </w:r>
          </w:p>
        </w:tc>
        <w:tc>
          <w:tcPr>
            <w:tcW w:w="4148" w:type="dxa"/>
          </w:tcPr>
          <w:p w:rsidR="00D67F2C" w:rsidRDefault="00D67F2C" w:rsidP="00D67F2C">
            <w:r>
              <w:rPr>
                <w:rFonts w:hint="eastAsia"/>
              </w:rPr>
              <w:t>Limitation</w:t>
            </w:r>
          </w:p>
        </w:tc>
      </w:tr>
      <w:tr w:rsidR="00D67F2C" w:rsidTr="00D67F2C">
        <w:tc>
          <w:tcPr>
            <w:tcW w:w="4148" w:type="dxa"/>
          </w:tcPr>
          <w:p w:rsidR="00D67F2C" w:rsidRDefault="00D67F2C" w:rsidP="00D67F2C">
            <w:r>
              <w:rPr>
                <w:rFonts w:hint="eastAsia"/>
              </w:rPr>
              <w:t>Price of the underlying asset follows a lognormal distribution</w:t>
            </w:r>
          </w:p>
        </w:tc>
        <w:tc>
          <w:tcPr>
            <w:tcW w:w="4148" w:type="dxa"/>
          </w:tcPr>
          <w:p w:rsidR="00D67F2C" w:rsidRPr="00D67F2C" w:rsidRDefault="00D67F2C" w:rsidP="00D67F2C">
            <w:r>
              <w:t>N/A</w:t>
            </w:r>
          </w:p>
        </w:tc>
      </w:tr>
      <w:tr w:rsidR="00D67F2C" w:rsidTr="00D67F2C">
        <w:tc>
          <w:tcPr>
            <w:tcW w:w="4148" w:type="dxa"/>
          </w:tcPr>
          <w:p w:rsidR="00D67F2C" w:rsidRDefault="00D67F2C" w:rsidP="00D67F2C">
            <w:r>
              <w:rPr>
                <w:rFonts w:hint="eastAsia"/>
              </w:rPr>
              <w:t>Risk-free rate is constant and known</w:t>
            </w:r>
          </w:p>
        </w:tc>
        <w:tc>
          <w:tcPr>
            <w:tcW w:w="4148" w:type="dxa"/>
          </w:tcPr>
          <w:p w:rsidR="00D67F2C" w:rsidRPr="00D67F2C" w:rsidRDefault="00D67F2C" w:rsidP="00D67F2C">
            <w:r>
              <w:t>Not useful for pricing options on bond prices and interest rates</w:t>
            </w:r>
          </w:p>
        </w:tc>
      </w:tr>
      <w:tr w:rsidR="00D67F2C" w:rsidTr="00D67F2C">
        <w:tc>
          <w:tcPr>
            <w:tcW w:w="4148" w:type="dxa"/>
          </w:tcPr>
          <w:p w:rsidR="00D67F2C" w:rsidRPr="00D67F2C" w:rsidRDefault="00D67F2C" w:rsidP="00D67F2C">
            <w:r>
              <w:t>The volatility of the underlying asset is constant and known.</w:t>
            </w:r>
          </w:p>
        </w:tc>
        <w:tc>
          <w:tcPr>
            <w:tcW w:w="4148" w:type="dxa"/>
          </w:tcPr>
          <w:p w:rsidR="00D67F2C" w:rsidRDefault="00A01D9D" w:rsidP="00D67F2C">
            <w:r>
              <w:rPr>
                <w:rFonts w:hint="eastAsia"/>
              </w:rPr>
              <w:t xml:space="preserve">Volatility is not known and must be estimated. </w:t>
            </w:r>
            <w:r>
              <w:t>Volatility is often not constant over time.</w:t>
            </w:r>
          </w:p>
        </w:tc>
      </w:tr>
      <w:tr w:rsidR="00D67F2C" w:rsidTr="00D67F2C">
        <w:tc>
          <w:tcPr>
            <w:tcW w:w="4148" w:type="dxa"/>
          </w:tcPr>
          <w:p w:rsidR="00D67F2C" w:rsidRDefault="003B4AEA" w:rsidP="00D67F2C">
            <w:r>
              <w:rPr>
                <w:rFonts w:hint="eastAsia"/>
              </w:rPr>
              <w:t xml:space="preserve">Markets are </w:t>
            </w:r>
            <w:r>
              <w:t>‘frictionless’.</w:t>
            </w:r>
          </w:p>
        </w:tc>
        <w:tc>
          <w:tcPr>
            <w:tcW w:w="4148" w:type="dxa"/>
          </w:tcPr>
          <w:p w:rsidR="00D67F2C" w:rsidRDefault="00D67F2C" w:rsidP="00D67F2C"/>
        </w:tc>
      </w:tr>
      <w:tr w:rsidR="00D67F2C" w:rsidTr="00D67F2C">
        <w:tc>
          <w:tcPr>
            <w:tcW w:w="4148" w:type="dxa"/>
          </w:tcPr>
          <w:p w:rsidR="00D67F2C" w:rsidRDefault="003B4AEA" w:rsidP="00D67F2C">
            <w:r>
              <w:rPr>
                <w:rFonts w:hint="eastAsia"/>
              </w:rPr>
              <w:t>The underlying asset has no cash flow</w:t>
            </w:r>
          </w:p>
        </w:tc>
        <w:tc>
          <w:tcPr>
            <w:tcW w:w="4148" w:type="dxa"/>
          </w:tcPr>
          <w:p w:rsidR="00D67F2C" w:rsidRPr="003B4AEA" w:rsidRDefault="00D67F2C" w:rsidP="00D67F2C"/>
        </w:tc>
      </w:tr>
      <w:tr w:rsidR="00D67F2C" w:rsidTr="00D67F2C">
        <w:tc>
          <w:tcPr>
            <w:tcW w:w="4148" w:type="dxa"/>
          </w:tcPr>
          <w:p w:rsidR="00D67F2C" w:rsidRDefault="003B4AEA" w:rsidP="00D67F2C">
            <w:r>
              <w:rPr>
                <w:rFonts w:hint="eastAsia"/>
              </w:rPr>
              <w:t>The options valued are European options</w:t>
            </w:r>
          </w:p>
        </w:tc>
        <w:tc>
          <w:tcPr>
            <w:tcW w:w="4148" w:type="dxa"/>
          </w:tcPr>
          <w:p w:rsidR="00D67F2C" w:rsidRPr="003B4AEA" w:rsidRDefault="003B4AEA" w:rsidP="00D67F2C">
            <w:r>
              <w:t>Binomial option pricing models are more appropriate for American options.</w:t>
            </w:r>
          </w:p>
        </w:tc>
      </w:tr>
    </w:tbl>
    <w:p w:rsidR="00D67F2C" w:rsidRDefault="00D67F2C" w:rsidP="00D67F2C"/>
    <w:p w:rsidR="00D15BE5" w:rsidRDefault="00D15BE5" w:rsidP="00D67F2C"/>
    <w:p w:rsidR="00D15BE5" w:rsidRDefault="00D15BE5" w:rsidP="00D67F2C"/>
    <w:p w:rsidR="00D15BE5" w:rsidRDefault="00D15BE5" w:rsidP="00D67F2C"/>
    <w:p w:rsidR="00D15BE5" w:rsidRDefault="00D15BE5" w:rsidP="00D67F2C"/>
    <w:p w:rsidR="00AD682D" w:rsidRDefault="00AD682D" w:rsidP="00AD682D">
      <w:pPr>
        <w:pStyle w:val="Level3"/>
        <w:spacing w:after="156"/>
      </w:pPr>
      <w:r>
        <w:rPr>
          <w:rFonts w:hint="eastAsia"/>
        </w:rPr>
        <w:lastRenderedPageBreak/>
        <w:t>Explain how an option price, as represented by the BSM model, is affected by a change in the value of each of the inputs.</w:t>
      </w:r>
    </w:p>
    <w:tbl>
      <w:tblPr>
        <w:tblStyle w:val="a5"/>
        <w:tblW w:w="0" w:type="auto"/>
        <w:tblLook w:val="04A0" w:firstRow="1" w:lastRow="0" w:firstColumn="1" w:lastColumn="0" w:noHBand="0" w:noVBand="1"/>
      </w:tblPr>
      <w:tblGrid>
        <w:gridCol w:w="2074"/>
        <w:gridCol w:w="2074"/>
        <w:gridCol w:w="2074"/>
        <w:gridCol w:w="2074"/>
      </w:tblGrid>
      <w:tr w:rsidR="00AD682D" w:rsidTr="00AD682D">
        <w:tc>
          <w:tcPr>
            <w:tcW w:w="2074" w:type="dxa"/>
          </w:tcPr>
          <w:p w:rsidR="00AD682D" w:rsidRDefault="00AD682D" w:rsidP="00AD682D">
            <w:r>
              <w:rPr>
                <w:rFonts w:hint="eastAsia"/>
              </w:rPr>
              <w:t>Greek</w:t>
            </w:r>
          </w:p>
        </w:tc>
        <w:tc>
          <w:tcPr>
            <w:tcW w:w="2074" w:type="dxa"/>
          </w:tcPr>
          <w:p w:rsidR="00AD682D" w:rsidRDefault="00AD682D" w:rsidP="00AD682D">
            <w:r>
              <w:rPr>
                <w:rFonts w:hint="eastAsia"/>
              </w:rPr>
              <w:t>Input</w:t>
            </w:r>
          </w:p>
        </w:tc>
        <w:tc>
          <w:tcPr>
            <w:tcW w:w="2074" w:type="dxa"/>
          </w:tcPr>
          <w:p w:rsidR="00AD682D" w:rsidRDefault="00AD682D" w:rsidP="00AD682D">
            <w:r>
              <w:rPr>
                <w:rFonts w:hint="eastAsia"/>
              </w:rPr>
              <w:t>Calls</w:t>
            </w:r>
          </w:p>
        </w:tc>
        <w:tc>
          <w:tcPr>
            <w:tcW w:w="2074" w:type="dxa"/>
          </w:tcPr>
          <w:p w:rsidR="00AD682D" w:rsidRDefault="00AD682D" w:rsidP="00AD682D">
            <w:r>
              <w:rPr>
                <w:rFonts w:hint="eastAsia"/>
              </w:rPr>
              <w:t>Puts</w:t>
            </w:r>
          </w:p>
        </w:tc>
      </w:tr>
      <w:tr w:rsidR="00AD682D" w:rsidTr="00AD682D">
        <w:tc>
          <w:tcPr>
            <w:tcW w:w="2074" w:type="dxa"/>
          </w:tcPr>
          <w:p w:rsidR="00AD682D" w:rsidRDefault="00AD682D" w:rsidP="00AD682D">
            <w:r>
              <w:rPr>
                <w:rFonts w:hint="eastAsia"/>
              </w:rPr>
              <w:t>Delta</w:t>
            </w:r>
          </w:p>
        </w:tc>
        <w:tc>
          <w:tcPr>
            <w:tcW w:w="2074" w:type="dxa"/>
          </w:tcPr>
          <w:p w:rsidR="00AD682D" w:rsidRDefault="00AD682D" w:rsidP="00AD682D">
            <w:r>
              <w:t>Underlying</w:t>
            </w:r>
            <w:r>
              <w:rPr>
                <w:rFonts w:hint="eastAsia"/>
              </w:rPr>
              <w:t xml:space="preserve"> asset</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Vega</w:t>
            </w:r>
          </w:p>
        </w:tc>
        <w:tc>
          <w:tcPr>
            <w:tcW w:w="2074" w:type="dxa"/>
          </w:tcPr>
          <w:p w:rsidR="00AD682D" w:rsidRDefault="00AD682D" w:rsidP="00AD682D">
            <w:r>
              <w:rPr>
                <w:rFonts w:hint="eastAsia"/>
              </w:rPr>
              <w:t>Volatility</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&gt;0</w:t>
            </w:r>
          </w:p>
        </w:tc>
      </w:tr>
      <w:tr w:rsidR="00AD682D" w:rsidTr="00AD682D">
        <w:tc>
          <w:tcPr>
            <w:tcW w:w="2074" w:type="dxa"/>
          </w:tcPr>
          <w:p w:rsidR="00AD682D" w:rsidRDefault="00AD682D" w:rsidP="00AD682D">
            <w:r>
              <w:rPr>
                <w:rFonts w:hint="eastAsia"/>
              </w:rPr>
              <w:t>Rho</w:t>
            </w:r>
          </w:p>
        </w:tc>
        <w:tc>
          <w:tcPr>
            <w:tcW w:w="2074" w:type="dxa"/>
          </w:tcPr>
          <w:p w:rsidR="00AD682D" w:rsidRDefault="00AD682D" w:rsidP="00AD682D">
            <w:r>
              <w:rPr>
                <w:rFonts w:hint="eastAsia"/>
              </w:rPr>
              <w:t>Risk-free rate</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Theta</w:t>
            </w:r>
          </w:p>
        </w:tc>
        <w:tc>
          <w:tcPr>
            <w:tcW w:w="2074" w:type="dxa"/>
          </w:tcPr>
          <w:p w:rsidR="00AD682D" w:rsidRDefault="00AD682D" w:rsidP="00AD682D">
            <w:r>
              <w:rPr>
                <w:rFonts w:hint="eastAsia"/>
              </w:rPr>
              <w:t>Time passed</w:t>
            </w:r>
          </w:p>
        </w:tc>
        <w:tc>
          <w:tcPr>
            <w:tcW w:w="2074" w:type="dxa"/>
          </w:tcPr>
          <w:p w:rsidR="00AD682D" w:rsidRDefault="00AD682D" w:rsidP="00AD682D">
            <w:r>
              <w:rPr>
                <w:rFonts w:hint="eastAsia"/>
              </w:rPr>
              <w:t>&lt;0</w:t>
            </w:r>
          </w:p>
        </w:tc>
        <w:tc>
          <w:tcPr>
            <w:tcW w:w="2074" w:type="dxa"/>
          </w:tcPr>
          <w:p w:rsidR="00AD682D" w:rsidRDefault="00AD682D" w:rsidP="00AD682D">
            <w:r>
              <w:rPr>
                <w:rFonts w:hint="eastAsia"/>
              </w:rPr>
              <w:t>&lt;0</w:t>
            </w:r>
          </w:p>
        </w:tc>
      </w:tr>
    </w:tbl>
    <w:p w:rsidR="00AD682D" w:rsidRDefault="00AD682D" w:rsidP="00AD682D"/>
    <w:p w:rsidR="00AD682D" w:rsidRDefault="00AD682D" w:rsidP="00AD682D">
      <w:pPr>
        <w:pStyle w:val="Level3"/>
        <w:spacing w:after="156"/>
      </w:pPr>
      <w:r>
        <w:rPr>
          <w:rFonts w:hint="eastAsia"/>
        </w:rPr>
        <w:t>Explain the delta of an option and demonstrate how it</w:t>
      </w:r>
      <w:r>
        <w:t>’s used in dynamic hedging.</w:t>
      </w:r>
    </w:p>
    <w:p w:rsidR="00AD682D" w:rsidRDefault="00AD682D" w:rsidP="00AD682D">
      <w:r>
        <w:t>Delta</w:t>
      </w:r>
      <w:r w:rsidR="0077386F">
        <w:t xml:space="preserve"> for call</w:t>
      </w:r>
      <w:r>
        <w:t xml:space="preserve"> = ΔC/ΔS = N(d1)</w:t>
      </w:r>
    </w:p>
    <w:p w:rsidR="00BF2D32" w:rsidRDefault="0077386F" w:rsidP="00AD682D">
      <w:r>
        <w:t xml:space="preserve">Delta for put = N(d1) </w:t>
      </w:r>
      <w:r w:rsidR="00BF2D32">
        <w:t>–</w:t>
      </w:r>
      <w:r>
        <w:t xml:space="preserve"> 1</w:t>
      </w:r>
    </w:p>
    <w:p w:rsidR="00BF2D32" w:rsidRDefault="00BF2D32" w:rsidP="00AD682D"/>
    <w:p w:rsidR="00BF2D32" w:rsidRDefault="00BF2D32" w:rsidP="00AD682D">
      <w:r>
        <w:t>Diagram for call</w:t>
      </w:r>
    </w:p>
    <w:p w:rsidR="00BF2D32" w:rsidRDefault="00BF2D32" w:rsidP="00AD682D">
      <w:r>
        <w:rPr>
          <w:rFonts w:hint="eastAsia"/>
          <w:noProof/>
          <w:lang w:eastAsia="en-US"/>
        </w:rPr>
        <w:drawing>
          <wp:inline distT="0" distB="0" distL="0" distR="0">
            <wp:extent cx="295275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466975"/>
                    </a:xfrm>
                    <a:prstGeom prst="rect">
                      <a:avLst/>
                    </a:prstGeom>
                    <a:noFill/>
                    <a:ln>
                      <a:noFill/>
                    </a:ln>
                  </pic:spPr>
                </pic:pic>
              </a:graphicData>
            </a:graphic>
          </wp:inline>
        </w:drawing>
      </w:r>
    </w:p>
    <w:p w:rsidR="00BF2D32" w:rsidRDefault="00BF2D32" w:rsidP="00AD682D">
      <w:r>
        <w:rPr>
          <w:rFonts w:hint="eastAsia"/>
        </w:rPr>
        <w:t>Diagram for put</w:t>
      </w:r>
    </w:p>
    <w:p w:rsidR="00BF2D32" w:rsidRDefault="00BF2D32" w:rsidP="00AD682D">
      <w:r>
        <w:rPr>
          <w:rFonts w:hint="eastAsia"/>
          <w:noProof/>
          <w:lang w:eastAsia="en-US"/>
        </w:rPr>
        <w:drawing>
          <wp:inline distT="0" distB="0" distL="0" distR="0">
            <wp:extent cx="289560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2305050"/>
                    </a:xfrm>
                    <a:prstGeom prst="rect">
                      <a:avLst/>
                    </a:prstGeom>
                    <a:noFill/>
                    <a:ln>
                      <a:noFill/>
                    </a:ln>
                  </pic:spPr>
                </pic:pic>
              </a:graphicData>
            </a:graphic>
          </wp:inline>
        </w:drawing>
      </w:r>
    </w:p>
    <w:p w:rsidR="009D142F" w:rsidRDefault="009D142F" w:rsidP="00AD682D"/>
    <w:p w:rsidR="009D142F" w:rsidRDefault="009D142F" w:rsidP="00AD682D">
      <w:r>
        <w:rPr>
          <w:rFonts w:hint="eastAsia"/>
        </w:rPr>
        <w:t>Dynamic Hedging</w:t>
      </w:r>
    </w:p>
    <w:p w:rsidR="009D142F" w:rsidRDefault="009D142F" w:rsidP="00AD682D">
      <w:r>
        <w:t>Number of call options needed to delta hedge = number of shares / delta of call</w:t>
      </w:r>
    </w:p>
    <w:p w:rsidR="00503ECC" w:rsidRDefault="00503ECC" w:rsidP="00AD682D"/>
    <w:p w:rsidR="00503ECC" w:rsidRDefault="00503ECC" w:rsidP="00503ECC">
      <w:pPr>
        <w:pStyle w:val="Level3"/>
        <w:spacing w:after="156"/>
      </w:pPr>
      <w:r>
        <w:rPr>
          <w:rFonts w:hint="eastAsia"/>
        </w:rPr>
        <w:lastRenderedPageBreak/>
        <w:t>Explain the gamma effect on an option</w:t>
      </w:r>
      <w:r>
        <w:t>’s delta and how gamma can affect a delta hedge.</w:t>
      </w:r>
    </w:p>
    <w:p w:rsidR="00503ECC" w:rsidRDefault="00503ECC" w:rsidP="00503ECC">
      <w:r>
        <w:t>Gamma measures the rate of change in delta as the underlying stock price changes.</w:t>
      </w:r>
    </w:p>
    <w:p w:rsidR="001E207A" w:rsidRDefault="001E207A" w:rsidP="00503ECC">
      <w:r>
        <w:t>Gamma is the largest when call/put is at the money. Hedges with at-the-money options will have higher gammas, and consequently frequent rebalancing.</w:t>
      </w:r>
    </w:p>
    <w:p w:rsidR="008A6DCB" w:rsidRDefault="008A6DCB" w:rsidP="00503ECC"/>
    <w:p w:rsidR="008A6DCB" w:rsidRDefault="008A6DCB" w:rsidP="007C3137">
      <w:pPr>
        <w:pStyle w:val="Level3"/>
        <w:numPr>
          <w:ilvl w:val="2"/>
          <w:numId w:val="150"/>
        </w:numPr>
        <w:spacing w:after="156"/>
      </w:pPr>
      <w:r>
        <w:rPr>
          <w:rFonts w:hint="eastAsia"/>
        </w:rPr>
        <w:t xml:space="preserve">Compare </w:t>
      </w:r>
      <w:r>
        <w:t>American</w:t>
      </w:r>
      <w:r>
        <w:rPr>
          <w:rFonts w:hint="eastAsia"/>
        </w:rPr>
        <w:t xml:space="preserve"> </w:t>
      </w:r>
      <w:r>
        <w:t>and European options on forwards and futures, and identify the appropriate pricing model for European options.</w:t>
      </w:r>
    </w:p>
    <w:p w:rsidR="008A6DCB" w:rsidRDefault="008A6DCB" w:rsidP="008A6DCB">
      <w:r>
        <w:t>American options on futures are more valuable than comparable European options.</w:t>
      </w:r>
    </w:p>
    <w:p w:rsidR="008A6DCB" w:rsidRDefault="008A6DCB" w:rsidP="008A6DCB">
      <w:r>
        <w:t>American options on forwards are the same as comparable European options.</w:t>
      </w:r>
    </w:p>
    <w:p w:rsidR="005F7BE1" w:rsidRDefault="005F7BE1" w:rsidP="008A6DCB"/>
    <w:p w:rsidR="005F7BE1" w:rsidRDefault="00623620" w:rsidP="00623620">
      <w:pPr>
        <w:pStyle w:val="Level2"/>
      </w:pPr>
      <w:r>
        <w:rPr>
          <w:rFonts w:hint="eastAsia"/>
        </w:rPr>
        <w:t>Swap Markets and Contracts</w:t>
      </w:r>
    </w:p>
    <w:p w:rsidR="00623620" w:rsidRDefault="00623620" w:rsidP="007C3137">
      <w:pPr>
        <w:pStyle w:val="Level3"/>
        <w:numPr>
          <w:ilvl w:val="2"/>
          <w:numId w:val="151"/>
        </w:numPr>
        <w:spacing w:after="156"/>
      </w:pPr>
      <w:r>
        <w:rPr>
          <w:rFonts w:hint="eastAsia"/>
        </w:rPr>
        <w:t>Calculate and interpret the fixed rate on a plain vanilla interest rate swap and the market value of the swap during its life.</w:t>
      </w:r>
    </w:p>
    <w:p w:rsidR="00623620" w:rsidRDefault="00623620" w:rsidP="00623620">
      <w:r>
        <w:t>C = (1 – Zn) / (Z1 + Z2 + … + Zn)</w:t>
      </w:r>
    </w:p>
    <w:p w:rsidR="00945D24" w:rsidRDefault="00945D24" w:rsidP="00623620"/>
    <w:p w:rsidR="00945D24" w:rsidRDefault="00945D24" w:rsidP="007C3137">
      <w:pPr>
        <w:pStyle w:val="Level3"/>
        <w:spacing w:after="156"/>
      </w:pPr>
      <w:r>
        <w:rPr>
          <w:rFonts w:hint="eastAsia"/>
        </w:rPr>
        <w:t>Explain and interpret the characteristics and uses of swaptions, including the difference between payer and receiver swaptions.</w:t>
      </w:r>
    </w:p>
    <w:p w:rsidR="006C4497" w:rsidRDefault="006C4497" w:rsidP="007C3137">
      <w:pPr>
        <w:pStyle w:val="Level3"/>
        <w:numPr>
          <w:ilvl w:val="2"/>
          <w:numId w:val="153"/>
        </w:numPr>
        <w:spacing w:after="156"/>
      </w:pPr>
      <w:r>
        <w:rPr>
          <w:rFonts w:hint="eastAsia"/>
        </w:rPr>
        <w:t xml:space="preserve">Calculate and interpret the value of an interest rate </w:t>
      </w:r>
      <w:r>
        <w:t>swaptions</w:t>
      </w:r>
      <w:r>
        <w:rPr>
          <w:rFonts w:hint="eastAsia"/>
        </w:rPr>
        <w:t xml:space="preserve"> </w:t>
      </w:r>
      <w:r>
        <w:t>at expiration.</w:t>
      </w:r>
    </w:p>
    <w:p w:rsidR="00484464" w:rsidRDefault="00484464" w:rsidP="00484464">
      <w:r>
        <w:rPr>
          <w:rFonts w:hint="eastAsia"/>
        </w:rPr>
        <w:t xml:space="preserve">A payer </w:t>
      </w:r>
      <w:r>
        <w:t>swaptions</w:t>
      </w:r>
      <w:r>
        <w:rPr>
          <w:rFonts w:hint="eastAsia"/>
        </w:rPr>
        <w:t xml:space="preserve"> </w:t>
      </w:r>
      <w:r>
        <w:t>is the right to enter into a specific swap in the future as the fixed-rate payer at a rate specified in the swaptions.</w:t>
      </w:r>
    </w:p>
    <w:p w:rsidR="006C4497" w:rsidRDefault="006C4497" w:rsidP="00484464">
      <w:r>
        <w:t>The value of an interest rate swaptions at expiration is the PV of the difference between the higher fixed payments received and the lower fixed payments made.</w:t>
      </w:r>
    </w:p>
    <w:p w:rsidR="006C4497" w:rsidRDefault="006C4497" w:rsidP="00484464"/>
    <w:p w:rsidR="006C4497" w:rsidRDefault="006C4497" w:rsidP="007C3137">
      <w:pPr>
        <w:pStyle w:val="Level2"/>
        <w:numPr>
          <w:ilvl w:val="1"/>
          <w:numId w:val="154"/>
        </w:numPr>
      </w:pPr>
      <w:r>
        <w:rPr>
          <w:rFonts w:hint="eastAsia"/>
        </w:rPr>
        <w:t>Credit Default Swaps</w:t>
      </w:r>
    </w:p>
    <w:p w:rsidR="006C4497" w:rsidRDefault="006C4497" w:rsidP="007C3137">
      <w:pPr>
        <w:pStyle w:val="Level3"/>
        <w:numPr>
          <w:ilvl w:val="2"/>
          <w:numId w:val="155"/>
        </w:numPr>
        <w:spacing w:after="156"/>
      </w:pPr>
      <w:r>
        <w:rPr>
          <w:rFonts w:hint="eastAsia"/>
        </w:rPr>
        <w:t>Describe</w:t>
      </w:r>
      <w:r w:rsidR="009D3411">
        <w:t xml:space="preserve"> CDS, single-name and index CDS, and the parameters that define a given CDS product.</w:t>
      </w:r>
    </w:p>
    <w:p w:rsidR="009D3411" w:rsidRDefault="00694192" w:rsidP="009D3411">
      <w:r>
        <w:t>The reference obligation is the fixed-income security on which the swap is written.</w:t>
      </w:r>
    </w:p>
    <w:p w:rsidR="00694192" w:rsidRDefault="00694192" w:rsidP="009D3411">
      <w:r>
        <w:t>The issuer of the reference obligation is called the reference entity.</w:t>
      </w:r>
    </w:p>
    <w:p w:rsidR="00694192" w:rsidRDefault="00694192" w:rsidP="009D3411">
      <w:r>
        <w:t>The CDS pays off not only when the reference entity defaults on the reference obligation but also when the reference entity defaults on any other issue that is ranked the same or higher.</w:t>
      </w:r>
    </w:p>
    <w:p w:rsidR="00694192" w:rsidRDefault="00694192" w:rsidP="009D3411">
      <w:r>
        <w:t>The CDS payoff is based on the market value of the cheapest-to-delver bond.</w:t>
      </w:r>
    </w:p>
    <w:p w:rsidR="00AA1592" w:rsidRDefault="00AA1592" w:rsidP="009D3411"/>
    <w:p w:rsidR="00AA1592" w:rsidRDefault="00AA1592" w:rsidP="00AA1592">
      <w:pPr>
        <w:pStyle w:val="Level3"/>
        <w:spacing w:after="156"/>
      </w:pPr>
      <w:r>
        <w:rPr>
          <w:rFonts w:hint="eastAsia"/>
        </w:rPr>
        <w:t>Describe credit events and settlement protocols with respect to CDS.</w:t>
      </w:r>
    </w:p>
    <w:p w:rsidR="00AA1592" w:rsidRDefault="00AA1592" w:rsidP="00AA1592">
      <w:r>
        <w:t>Common types of credit events specified include bankruptcy, failure to pay</w:t>
      </w:r>
      <w:r w:rsidR="00656507">
        <w:t xml:space="preserve"> (any debt)</w:t>
      </w:r>
      <w:r>
        <w:t xml:space="preserve"> and restructuring.</w:t>
      </w:r>
    </w:p>
    <w:p w:rsidR="00AA1592" w:rsidRDefault="00AA1592" w:rsidP="00AA1592">
      <w:r>
        <w:t>When there is a credit event, the swap will be settled in cash or by physical delivery.</w:t>
      </w:r>
    </w:p>
    <w:p w:rsidR="002771D3" w:rsidRDefault="002771D3" w:rsidP="00AA1592">
      <w:r>
        <w:t>One would</w:t>
      </w:r>
      <w:r w:rsidR="002F6EAB">
        <w:t xml:space="preserve"> prefer</w:t>
      </w:r>
      <w:r>
        <w:t xml:space="preserve"> cash settlement if he holds the bond which is not the cheapest-to-deliver bond.</w:t>
      </w:r>
    </w:p>
    <w:p w:rsidR="00560A48" w:rsidRDefault="00560A48" w:rsidP="00AA1592"/>
    <w:p w:rsidR="00560A48" w:rsidRDefault="00560A48" w:rsidP="00560A48">
      <w:pPr>
        <w:pStyle w:val="Level3"/>
        <w:spacing w:after="156"/>
      </w:pPr>
      <w:r>
        <w:rPr>
          <w:rFonts w:hint="eastAsia"/>
        </w:rPr>
        <w:t>Explain the principles underlying, and factors that influence, the market</w:t>
      </w:r>
      <w:r>
        <w:t>’s pricing of CDS.</w:t>
      </w:r>
    </w:p>
    <w:p w:rsidR="00560A48" w:rsidRDefault="00CC67FA" w:rsidP="00560A48">
      <w:r>
        <w:t>U</w:t>
      </w:r>
      <w:r>
        <w:rPr>
          <w:rFonts w:hint="eastAsia"/>
        </w:rPr>
        <w:t xml:space="preserve">pfront </w:t>
      </w:r>
      <w:r>
        <w:t>payment = (CDS spread – CDS coupon) * duration</w:t>
      </w:r>
    </w:p>
    <w:p w:rsidR="00BF0145" w:rsidRDefault="00BF0145" w:rsidP="00560A48">
      <w:r>
        <w:t>When CDS spread &gt; CDS coupon, the credit protection buyer pays the payment to the seller.</w:t>
      </w:r>
    </w:p>
    <w:p w:rsidR="00C826B4" w:rsidRDefault="00C826B4" w:rsidP="00C826B4">
      <w:pPr>
        <w:pStyle w:val="Level3"/>
        <w:spacing w:after="156"/>
      </w:pPr>
      <w:r>
        <w:rPr>
          <w:rFonts w:hint="eastAsia"/>
        </w:rPr>
        <w:lastRenderedPageBreak/>
        <w:t>Describe the use of CDS to manage credit exposures and to express views regarding changes in shape and/or level of the credit curve.</w:t>
      </w:r>
    </w:p>
    <w:p w:rsidR="00C826B4" w:rsidRDefault="00C826B4" w:rsidP="007C3137">
      <w:pPr>
        <w:pStyle w:val="a3"/>
        <w:numPr>
          <w:ilvl w:val="0"/>
          <w:numId w:val="156"/>
        </w:numPr>
        <w:ind w:firstLineChars="0"/>
      </w:pPr>
      <w:r>
        <w:rPr>
          <w:rFonts w:hint="eastAsia"/>
        </w:rPr>
        <w:t>In a naked CDS, an investor with no underlying exposure purchases protection in the CDS market.</w:t>
      </w:r>
    </w:p>
    <w:p w:rsidR="00C826B4" w:rsidRDefault="00C826B4" w:rsidP="007C3137">
      <w:pPr>
        <w:pStyle w:val="a3"/>
        <w:numPr>
          <w:ilvl w:val="0"/>
          <w:numId w:val="156"/>
        </w:numPr>
        <w:ind w:firstLineChars="0"/>
      </w:pPr>
      <w:r>
        <w:t>In a long/short trade, an investor purchases protection on one reference entity while selling protection on another. The investor is betting the difference in credit spreads will change to the investor’s advantage.</w:t>
      </w:r>
    </w:p>
    <w:p w:rsidR="00C826B4" w:rsidRDefault="00C826B4" w:rsidP="007C3137">
      <w:pPr>
        <w:pStyle w:val="a3"/>
        <w:numPr>
          <w:ilvl w:val="0"/>
          <w:numId w:val="156"/>
        </w:numPr>
        <w:ind w:firstLineChars="0"/>
      </w:pPr>
      <w:r>
        <w:t>A curve trade is a type of long/short trade where the investor is buying/selling protection on the same reference entity but with different maturity.</w:t>
      </w:r>
    </w:p>
    <w:p w:rsidR="00C826B4" w:rsidRDefault="00C010A6" w:rsidP="00C826B4">
      <w:pPr>
        <w:pStyle w:val="a3"/>
        <w:ind w:left="420" w:firstLineChars="0" w:firstLine="0"/>
      </w:pPr>
      <w:r>
        <w:t>An investor who believes the short-term outlook for the reference entity is better than the long-term outlook can use a curve-steepening trade.</w:t>
      </w:r>
    </w:p>
    <w:p w:rsidR="00F0797D" w:rsidRDefault="00F0797D" w:rsidP="00C826B4">
      <w:pPr>
        <w:pStyle w:val="a3"/>
        <w:ind w:left="420" w:firstLineChars="0" w:firstLine="0"/>
      </w:pPr>
    </w:p>
    <w:p w:rsidR="00F0797D" w:rsidRDefault="00F0797D" w:rsidP="00C826B4">
      <w:pPr>
        <w:pStyle w:val="a3"/>
        <w:ind w:left="420" w:firstLineChars="0" w:firstLine="0"/>
      </w:pPr>
      <w:r>
        <w:rPr>
          <w:rFonts w:hint="eastAsia"/>
          <w:noProof/>
          <w:lang w:eastAsia="en-US"/>
        </w:rPr>
        <w:drawing>
          <wp:inline distT="0" distB="0" distL="0" distR="0">
            <wp:extent cx="3343275" cy="2905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2905125"/>
                    </a:xfrm>
                    <a:prstGeom prst="rect">
                      <a:avLst/>
                    </a:prstGeom>
                    <a:noFill/>
                    <a:ln>
                      <a:noFill/>
                    </a:ln>
                  </pic:spPr>
                </pic:pic>
              </a:graphicData>
            </a:graphic>
          </wp:inline>
        </w:drawing>
      </w:r>
    </w:p>
    <w:p w:rsidR="009F4153" w:rsidRPr="00C826B4" w:rsidRDefault="009F4153" w:rsidP="007C3137">
      <w:pPr>
        <w:pStyle w:val="a3"/>
        <w:numPr>
          <w:ilvl w:val="0"/>
          <w:numId w:val="156"/>
        </w:numPr>
        <w:ind w:firstLineChars="0"/>
      </w:pPr>
      <w:r>
        <w:rPr>
          <w:rFonts w:hint="eastAsia"/>
        </w:rPr>
        <w:t xml:space="preserve">A basis trade is an attempt to exploit the difference in credit </w:t>
      </w:r>
      <w:r w:rsidR="007C3137">
        <w:t>spreads between bond markets and CDS markets.</w:t>
      </w:r>
    </w:p>
    <w:p w:rsidR="00E15F84" w:rsidRDefault="00E15F84" w:rsidP="00E15F84">
      <w:pPr>
        <w:pStyle w:val="Level2"/>
        <w:rPr>
          <w:kern w:val="44"/>
          <w:szCs w:val="44"/>
        </w:rPr>
      </w:pPr>
      <w:r>
        <w:br w:type="page"/>
      </w:r>
    </w:p>
    <w:p w:rsidR="00CE599D" w:rsidRDefault="00CD5943" w:rsidP="002F23A1">
      <w:pPr>
        <w:pStyle w:val="Level1"/>
      </w:pPr>
      <w:r>
        <w:lastRenderedPageBreak/>
        <w:t>Portfolio Management</w:t>
      </w:r>
    </w:p>
    <w:p w:rsidR="00CD5943" w:rsidRDefault="00CD5943" w:rsidP="007C3137">
      <w:pPr>
        <w:pStyle w:val="Level2"/>
        <w:numPr>
          <w:ilvl w:val="1"/>
          <w:numId w:val="78"/>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BF0C5C"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BF0C5C"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BF0C5C"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BF0C5C"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BF0C5C"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BF0C5C"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BF0C5C"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a3"/>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a3"/>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a3"/>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BF0C5C"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7C3137">
      <w:pPr>
        <w:pStyle w:val="a3"/>
        <w:numPr>
          <w:ilvl w:val="0"/>
          <w:numId w:val="79"/>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7C3137">
      <w:pPr>
        <w:pStyle w:val="a3"/>
        <w:numPr>
          <w:ilvl w:val="0"/>
          <w:numId w:val="79"/>
        </w:numPr>
        <w:ind w:firstLineChars="0"/>
      </w:pPr>
      <w:r>
        <w:t>Company share-related factors: These factors directly incorporate investors’ expectation, including earning/dividend yield, book-to-market.</w:t>
      </w:r>
    </w:p>
    <w:p w:rsidR="007249A8" w:rsidRPr="00220CB1" w:rsidRDefault="007249A8" w:rsidP="007C3137">
      <w:pPr>
        <w:pStyle w:val="a3"/>
        <w:numPr>
          <w:ilvl w:val="0"/>
          <w:numId w:val="79"/>
        </w:numPr>
        <w:ind w:firstLineChars="0"/>
      </w:pPr>
      <w:r>
        <w:t>Macroeconomic factors.</w:t>
      </w:r>
    </w:p>
    <w:p w:rsidR="00220CB1" w:rsidRDefault="00220CB1" w:rsidP="00220CB1"/>
    <w:p w:rsidR="00220CB1" w:rsidRPr="00220CB1" w:rsidRDefault="00220CB1" w:rsidP="00CC1FC6">
      <w:pPr>
        <w:pStyle w:val="a3"/>
        <w:numPr>
          <w:ilvl w:val="0"/>
          <w:numId w:val="55"/>
        </w:numPr>
        <w:ind w:firstLineChars="0"/>
      </w:pPr>
      <w:r>
        <w:rPr>
          <w:rFonts w:hint="eastAsia"/>
        </w:rPr>
        <w:t xml:space="preserve">Multifactor Models: </w:t>
      </w:r>
      <w:r>
        <w:t>Selected Application</w:t>
      </w:r>
    </w:p>
    <w:p w:rsidR="00220CB1" w:rsidRDefault="00220CB1" w:rsidP="00CC1FC6">
      <w:pPr>
        <w:pStyle w:val="a3"/>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a3"/>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F23A1">
      <w:pPr>
        <w:pStyle w:val="Level2"/>
      </w:pPr>
      <w:r>
        <w:t>Analysis of Active Portfolio Management</w:t>
      </w:r>
    </w:p>
    <w:p w:rsidR="00287645" w:rsidRDefault="00287645" w:rsidP="007C3137">
      <w:pPr>
        <w:pStyle w:val="Level3"/>
        <w:numPr>
          <w:ilvl w:val="0"/>
          <w:numId w:val="80"/>
        </w:numPr>
        <w:spacing w:after="156"/>
      </w:pPr>
      <w:r>
        <w:rPr>
          <w:rFonts w:hint="eastAsia"/>
        </w:rPr>
        <w:t xml:space="preserve">Active </w:t>
      </w:r>
      <w:r>
        <w:t>Management and Value Added</w:t>
      </w:r>
    </w:p>
    <w:p w:rsidR="00287645" w:rsidRDefault="00287645" w:rsidP="007C3137">
      <w:pPr>
        <w:pStyle w:val="a3"/>
        <w:numPr>
          <w:ilvl w:val="1"/>
          <w:numId w:val="80"/>
        </w:numPr>
        <w:ind w:firstLineChars="0"/>
      </w:pPr>
      <w:r>
        <w:rPr>
          <w:rFonts w:hint="eastAsia"/>
        </w:rPr>
        <w:t xml:space="preserve">Measuring Value </w:t>
      </w:r>
      <w:r>
        <w:t>Added</w:t>
      </w:r>
    </w:p>
    <w:p w:rsidR="00287645" w:rsidRPr="00287645" w:rsidRDefault="00BF0C5C"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BF0C5C"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7C3137">
      <w:pPr>
        <w:pStyle w:val="a3"/>
        <w:numPr>
          <w:ilvl w:val="1"/>
          <w:numId w:val="80"/>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BF0C5C"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BF0C5C"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7C3137">
      <w:pPr>
        <w:pStyle w:val="a3"/>
        <w:numPr>
          <w:ilvl w:val="0"/>
          <w:numId w:val="80"/>
        </w:numPr>
        <w:ind w:firstLineChars="0"/>
      </w:pPr>
      <w:r>
        <w:rPr>
          <w:rFonts w:hint="eastAsia"/>
        </w:rPr>
        <w:t>Comparing Risk</w:t>
      </w:r>
      <w:r>
        <w:t xml:space="preserve"> and Return</w:t>
      </w:r>
    </w:p>
    <w:p w:rsidR="00FB50C9" w:rsidRDefault="00FB50C9" w:rsidP="00FB50C9">
      <w:pPr>
        <w:pStyle w:val="a3"/>
        <w:numPr>
          <w:ilvl w:val="1"/>
          <w:numId w:val="52"/>
        </w:numPr>
        <w:ind w:firstLineChars="0"/>
      </w:pPr>
      <w:r>
        <w:rPr>
          <w:rFonts w:hint="eastAsia"/>
        </w:rPr>
        <w:t>The Sharpe Ratio</w:t>
      </w:r>
    </w:p>
    <w:p w:rsidR="00FB50C9" w:rsidRPr="00FB50C9" w:rsidRDefault="00FB50C9" w:rsidP="00FB50C9">
      <w:pPr>
        <w:pStyle w:val="a3"/>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a3"/>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BF0C5C"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BF0C5C"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a3"/>
        <w:numPr>
          <w:ilvl w:val="0"/>
          <w:numId w:val="52"/>
        </w:numPr>
        <w:ind w:firstLineChars="0"/>
      </w:pPr>
      <w:r>
        <w:rPr>
          <w:rFonts w:hint="eastAsia"/>
        </w:rPr>
        <w:t xml:space="preserve">The </w:t>
      </w:r>
      <w:r>
        <w:t>Fundamental Law of Active Management</w:t>
      </w:r>
    </w:p>
    <w:p w:rsidR="007936C4" w:rsidRDefault="007936C4" w:rsidP="007936C4">
      <w:pPr>
        <w:pStyle w:val="a3"/>
        <w:numPr>
          <w:ilvl w:val="1"/>
          <w:numId w:val="52"/>
        </w:numPr>
        <w:ind w:firstLineChars="0"/>
      </w:pPr>
      <w:r>
        <w:t>Active Security Returns</w:t>
      </w:r>
    </w:p>
    <w:p w:rsidR="002C230A" w:rsidRDefault="002C230A" w:rsidP="007936C4">
      <w:pPr>
        <w:pStyle w:val="a3"/>
        <w:numPr>
          <w:ilvl w:val="1"/>
          <w:numId w:val="52"/>
        </w:numPr>
        <w:ind w:firstLineChars="0"/>
      </w:pPr>
      <w:r>
        <w:t>The Basic Fundamental Law</w:t>
      </w:r>
    </w:p>
    <w:p w:rsidR="002C230A" w:rsidRDefault="002C230A" w:rsidP="007936C4">
      <w:pPr>
        <w:pStyle w:val="a3"/>
        <w:numPr>
          <w:ilvl w:val="1"/>
          <w:numId w:val="52"/>
        </w:numPr>
        <w:ind w:firstLineChars="0"/>
      </w:pPr>
      <w:r>
        <w:t>The Full Fundamental Law</w:t>
      </w:r>
    </w:p>
    <w:p w:rsidR="002C230A" w:rsidRDefault="002C230A" w:rsidP="002C230A">
      <w:pPr>
        <w:pStyle w:val="a3"/>
        <w:ind w:left="360" w:firstLineChars="0" w:firstLine="0"/>
      </w:pPr>
    </w:p>
    <w:p w:rsidR="00D16157" w:rsidRDefault="00BF0C5C"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BF0C5C"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BF0C5C"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lang w:eastAsia="en-US"/>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65805"/>
                    </a:xfrm>
                    <a:prstGeom prst="rect">
                      <a:avLst/>
                    </a:prstGeom>
                  </pic:spPr>
                </pic:pic>
              </a:graphicData>
            </a:graphic>
          </wp:inline>
        </w:drawing>
      </w:r>
    </w:p>
    <w:p w:rsidR="004C20EA" w:rsidRPr="004C20EA" w:rsidRDefault="004C20EA" w:rsidP="007C3137">
      <w:pPr>
        <w:pStyle w:val="a3"/>
        <w:numPr>
          <w:ilvl w:val="0"/>
          <w:numId w:val="81"/>
        </w:numPr>
        <w:ind w:firstLineChars="0"/>
      </w:pPr>
      <w:r>
        <w:rPr>
          <w:rFonts w:hint="eastAsia"/>
        </w:rPr>
        <w:t xml:space="preserve">IC, information coefficient, reflects </w:t>
      </w:r>
      <w:r>
        <w:t>the ability to forecast returns.</w:t>
      </w:r>
    </w:p>
    <w:p w:rsidR="004C20EA" w:rsidRDefault="004C20EA" w:rsidP="004C20EA">
      <w:pPr>
        <w:pStyle w:val="a3"/>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a3"/>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7C3137">
      <w:pPr>
        <w:pStyle w:val="a3"/>
        <w:numPr>
          <w:ilvl w:val="0"/>
          <w:numId w:val="81"/>
        </w:numPr>
        <w:ind w:firstLineChars="0"/>
      </w:pPr>
      <w:r>
        <w:rPr>
          <w:rFonts w:hint="eastAsia"/>
        </w:rPr>
        <w:lastRenderedPageBreak/>
        <w:t xml:space="preserve">According to </w:t>
      </w:r>
      <w:r>
        <w:t xml:space="preserve">Grinold rule, </w:t>
      </w:r>
    </w:p>
    <w:p w:rsidR="002C230A" w:rsidRPr="00BE7D70" w:rsidRDefault="00BF0C5C" w:rsidP="00E85B5B">
      <w:pPr>
        <w:pStyle w:val="a3"/>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BF0C5C" w:rsidP="00BE7D70">
      <w:pPr>
        <w:pStyle w:val="a3"/>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a3"/>
        <w:ind w:left="420" w:firstLineChars="0" w:firstLine="0"/>
      </w:pPr>
      <w:r>
        <w:t>O</w:t>
      </w:r>
      <w:r>
        <w:rPr>
          <w:rFonts w:hint="eastAsia"/>
        </w:rPr>
        <w:t xml:space="preserve">ptimal </w:t>
      </w:r>
      <w:r>
        <w:t>active weights are:</w:t>
      </w:r>
    </w:p>
    <w:p w:rsidR="00E85B5B" w:rsidRPr="00CE0484" w:rsidRDefault="00BF0C5C" w:rsidP="00BE7D70">
      <w:pPr>
        <w:pStyle w:val="a3"/>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a3"/>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7C3137">
      <w:pPr>
        <w:pStyle w:val="a3"/>
        <w:numPr>
          <w:ilvl w:val="0"/>
          <w:numId w:val="81"/>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a3"/>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7C3137">
      <w:pPr>
        <w:pStyle w:val="a3"/>
        <w:numPr>
          <w:ilvl w:val="0"/>
          <w:numId w:val="81"/>
        </w:numPr>
        <w:ind w:firstLineChars="0"/>
      </w:pPr>
      <w:r>
        <w:rPr>
          <w:rFonts w:hint="eastAsia"/>
        </w:rPr>
        <w:t xml:space="preserve">The Basic </w:t>
      </w:r>
      <w:r w:rsidR="000C5EE0">
        <w:t>F</w:t>
      </w:r>
      <w:r>
        <w:rPr>
          <w:rFonts w:hint="eastAsia"/>
        </w:rPr>
        <w:t>undamental Law:</w:t>
      </w:r>
    </w:p>
    <w:p w:rsidR="00E85B5B" w:rsidRPr="001E280F" w:rsidRDefault="00BF0C5C" w:rsidP="00E85B5B">
      <w:pPr>
        <w:pStyle w:val="a3"/>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BF0C5C" w:rsidP="00E85B5B">
      <w:pPr>
        <w:pStyle w:val="a3"/>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a3"/>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7C3137">
      <w:pPr>
        <w:pStyle w:val="a3"/>
        <w:numPr>
          <w:ilvl w:val="0"/>
          <w:numId w:val="81"/>
        </w:numPr>
        <w:ind w:firstLineChars="0"/>
      </w:pPr>
      <w:r>
        <w:rPr>
          <w:rFonts w:hint="eastAsia"/>
        </w:rPr>
        <w:t xml:space="preserve">The Full </w:t>
      </w:r>
      <w:r>
        <w:t>fundamental</w:t>
      </w:r>
      <w:r>
        <w:rPr>
          <w:rFonts w:hint="eastAsia"/>
        </w:rPr>
        <w:t xml:space="preserve"> </w:t>
      </w:r>
      <w:r>
        <w:t>Law:</w:t>
      </w:r>
    </w:p>
    <w:p w:rsidR="00FB5509" w:rsidRDefault="00FB5509" w:rsidP="00FB5509">
      <w:pPr>
        <w:pStyle w:val="a3"/>
        <w:ind w:left="420" w:firstLineChars="0" w:firstLine="0"/>
      </w:pPr>
      <w:r>
        <w:rPr>
          <w:rFonts w:hint="eastAsia"/>
        </w:rPr>
        <w:t xml:space="preserve">A number of </w:t>
      </w:r>
      <w:r>
        <w:t>practical or strategic constraints are often imposed in practice.</w:t>
      </w:r>
    </w:p>
    <w:p w:rsidR="00FB5509" w:rsidRDefault="00FB5509" w:rsidP="00FB5509">
      <w:pPr>
        <w:pStyle w:val="a3"/>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a3"/>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a3"/>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a3"/>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a3"/>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BF0C5C"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a3"/>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a3"/>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BF0C5C" w:rsidP="00E85325">
      <w:pPr>
        <w:pStyle w:val="a3"/>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7C3137">
      <w:pPr>
        <w:pStyle w:val="a3"/>
        <w:numPr>
          <w:ilvl w:val="0"/>
          <w:numId w:val="82"/>
        </w:numPr>
        <w:ind w:firstLineChars="0"/>
      </w:pPr>
      <w:r>
        <w:rPr>
          <w:rFonts w:hint="eastAsia"/>
        </w:rPr>
        <w:t>Practical Limitations</w:t>
      </w:r>
    </w:p>
    <w:p w:rsidR="00170F8C" w:rsidRDefault="00170F8C" w:rsidP="007C3137">
      <w:pPr>
        <w:pStyle w:val="a3"/>
        <w:numPr>
          <w:ilvl w:val="1"/>
          <w:numId w:val="82"/>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7C3137">
      <w:pPr>
        <w:pStyle w:val="a3"/>
        <w:numPr>
          <w:ilvl w:val="1"/>
          <w:numId w:val="82"/>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2F23A1">
      <w:pPr>
        <w:pStyle w:val="Level2"/>
      </w:pPr>
      <w:r>
        <w:rPr>
          <w:rFonts w:hint="eastAsia"/>
        </w:rPr>
        <w:t xml:space="preserve">Economics and </w:t>
      </w:r>
      <w:r>
        <w:t>Investment Markets</w:t>
      </w:r>
    </w:p>
    <w:p w:rsidR="00386348" w:rsidRDefault="00386348" w:rsidP="00386348"/>
    <w:p w:rsidR="00E912C0" w:rsidRDefault="00E912C0" w:rsidP="007C3137">
      <w:pPr>
        <w:pStyle w:val="a3"/>
        <w:numPr>
          <w:ilvl w:val="0"/>
          <w:numId w:val="81"/>
        </w:numPr>
        <w:ind w:firstLineChars="0"/>
      </w:pPr>
      <w:r>
        <w:rPr>
          <w:rFonts w:hint="eastAsia"/>
        </w:rPr>
        <w:t>Determine real risk-free rate</w:t>
      </w:r>
    </w:p>
    <w:p w:rsidR="00386348" w:rsidRDefault="00386348" w:rsidP="00E912C0">
      <w:pPr>
        <w:pStyle w:val="a3"/>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7C3137">
      <w:pPr>
        <w:pStyle w:val="a3"/>
        <w:numPr>
          <w:ilvl w:val="0"/>
          <w:numId w:val="81"/>
        </w:numPr>
        <w:ind w:firstLineChars="0"/>
        <w:rPr>
          <w:lang w:val="en"/>
        </w:rPr>
      </w:pPr>
      <w:r>
        <w:rPr>
          <w:rFonts w:hint="eastAsia"/>
          <w:lang w:val="en"/>
        </w:rPr>
        <w:t xml:space="preserve">Risk Premiums </w:t>
      </w:r>
      <w:r>
        <w:rPr>
          <w:lang w:val="en"/>
        </w:rPr>
        <w:t>on Risky Assets</w:t>
      </w:r>
    </w:p>
    <w:p w:rsidR="00E912C0" w:rsidRDefault="00E912C0" w:rsidP="00E912C0">
      <w:pPr>
        <w:pStyle w:val="a3"/>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7C3137">
      <w:pPr>
        <w:pStyle w:val="a3"/>
        <w:numPr>
          <w:ilvl w:val="0"/>
          <w:numId w:val="81"/>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a3"/>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7C3137">
      <w:pPr>
        <w:pStyle w:val="a3"/>
        <w:numPr>
          <w:ilvl w:val="0"/>
          <w:numId w:val="83"/>
        </w:numPr>
        <w:ind w:firstLineChars="0"/>
      </w:pPr>
      <w:r>
        <w:rPr>
          <w:rFonts w:hint="eastAsia"/>
        </w:rPr>
        <w:t>The market expects the future rate will increase.</w:t>
      </w:r>
    </w:p>
    <w:p w:rsidR="001C3E62" w:rsidRPr="00E912C0" w:rsidRDefault="001C3E62" w:rsidP="007C3137">
      <w:pPr>
        <w:pStyle w:val="a3"/>
        <w:numPr>
          <w:ilvl w:val="0"/>
          <w:numId w:val="83"/>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C5C" w:rsidRDefault="00BF0C5C" w:rsidP="00B10F78">
      <w:r>
        <w:separator/>
      </w:r>
    </w:p>
  </w:endnote>
  <w:endnote w:type="continuationSeparator" w:id="0">
    <w:p w:rsidR="00BF0C5C" w:rsidRDefault="00BF0C5C" w:rsidP="00B10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63" w:usb1="190F80C4" w:usb2="00000010" w:usb3="00000000" w:csb0="803E01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C5C" w:rsidRDefault="00BF0C5C" w:rsidP="00B10F78">
      <w:r>
        <w:separator/>
      </w:r>
    </w:p>
  </w:footnote>
  <w:footnote w:type="continuationSeparator" w:id="0">
    <w:p w:rsidR="00BF0C5C" w:rsidRDefault="00BF0C5C" w:rsidP="00B10F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08E0B444"/>
    <w:lvl w:ilvl="0">
      <w:start w:val="1"/>
      <w:numFmt w:val="upperRoman"/>
      <w:pStyle w:val="Level1"/>
      <w:lvlText w:val="%1."/>
      <w:lvlJc w:val="left"/>
      <w:pPr>
        <w:ind w:left="425" w:hanging="425"/>
      </w:pPr>
      <w:rPr>
        <w:rFonts w:hint="eastAsia"/>
      </w:rPr>
    </w:lvl>
    <w:lvl w:ilvl="1">
      <w:start w:val="49"/>
      <w:numFmt w:val="decimal"/>
      <w:pStyle w:val="Level2"/>
      <w:lvlText w:val="%2."/>
      <w:lvlJc w:val="left"/>
      <w:pPr>
        <w:ind w:left="0" w:firstLine="0"/>
      </w:pPr>
      <w:rPr>
        <w:rFonts w:hint="eastAsia"/>
      </w:rPr>
    </w:lvl>
    <w:lvl w:ilvl="2">
      <w:start w:val="6"/>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1AD2ECF"/>
    <w:multiLevelType w:val="hybridMultilevel"/>
    <w:tmpl w:val="13A27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D0E70F3"/>
    <w:multiLevelType w:val="hybridMultilevel"/>
    <w:tmpl w:val="CB2E5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B203D6B"/>
    <w:multiLevelType w:val="hybridMultilevel"/>
    <w:tmpl w:val="BB8EE4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2EA6F22"/>
    <w:multiLevelType w:val="hybridMultilevel"/>
    <w:tmpl w:val="2E10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4"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7"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8"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8"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9"/>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num>
  <w:num w:numId="5">
    <w:abstractNumId w:val="57"/>
  </w:num>
  <w:num w:numId="6">
    <w:abstractNumId w:val="69"/>
  </w:num>
  <w:num w:numId="7">
    <w:abstractNumId w:val="30"/>
  </w:num>
  <w:num w:numId="8">
    <w:abstractNumId w:val="73"/>
  </w:num>
  <w:num w:numId="9">
    <w:abstractNumId w:val="19"/>
  </w:num>
  <w:num w:numId="10">
    <w:abstractNumId w:val="9"/>
  </w:num>
  <w:num w:numId="11">
    <w:abstractNumId w:val="18"/>
  </w:num>
  <w:num w:numId="12">
    <w:abstractNumId w:val="55"/>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3"/>
  </w:num>
  <w:num w:numId="16">
    <w:abstractNumId w:val="79"/>
  </w:num>
  <w:num w:numId="17">
    <w:abstractNumId w:val="22"/>
  </w:num>
  <w:num w:numId="18">
    <w:abstractNumId w:val="14"/>
  </w:num>
  <w:num w:numId="19">
    <w:abstractNumId w:val="17"/>
  </w:num>
  <w:num w:numId="20">
    <w:abstractNumId w:val="8"/>
  </w:num>
  <w:num w:numId="21">
    <w:abstractNumId w:val="34"/>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8"/>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56"/>
  </w:num>
  <w:num w:numId="28">
    <w:abstractNumId w:val="66"/>
  </w:num>
  <w:num w:numId="29">
    <w:abstractNumId w:val="12"/>
  </w:num>
  <w:num w:numId="30">
    <w:abstractNumId w:val="62"/>
  </w:num>
  <w:num w:numId="31">
    <w:abstractNumId w:val="4"/>
  </w:num>
  <w:num w:numId="32">
    <w:abstractNumId w:val="43"/>
  </w:num>
  <w:num w:numId="33">
    <w:abstractNumId w:val="3"/>
  </w:num>
  <w:num w:numId="34">
    <w:abstractNumId w:val="51"/>
  </w:num>
  <w:num w:numId="35">
    <w:abstractNumId w:val="25"/>
  </w:num>
  <w:num w:numId="36">
    <w:abstractNumId w:val="28"/>
  </w:num>
  <w:num w:numId="37">
    <w:abstractNumId w:val="54"/>
  </w:num>
  <w:num w:numId="38">
    <w:abstractNumId w:val="33"/>
  </w:num>
  <w:num w:numId="39">
    <w:abstractNumId w:val="65"/>
  </w:num>
  <w:num w:numId="40">
    <w:abstractNumId w:val="52"/>
  </w:num>
  <w:num w:numId="41">
    <w:abstractNumId w:val="44"/>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6"/>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5"/>
  </w:num>
  <w:num w:numId="50">
    <w:abstractNumId w:val="42"/>
  </w:num>
  <w:num w:numId="51">
    <w:abstractNumId w:val="48"/>
  </w:num>
  <w:num w:numId="52">
    <w:abstractNumId w:val="47"/>
  </w:num>
  <w:num w:numId="53">
    <w:abstractNumId w:val="70"/>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60"/>
  </w:num>
  <w:num w:numId="60">
    <w:abstractNumId w:val="29"/>
  </w:num>
  <w:num w:numId="61">
    <w:abstractNumId w:val="49"/>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8"/>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4"/>
  </w:num>
  <w:num w:numId="78">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9"/>
  </w:num>
  <w:num w:numId="80">
    <w:abstractNumId w:val="67"/>
  </w:num>
  <w:num w:numId="81">
    <w:abstractNumId w:val="71"/>
  </w:num>
  <w:num w:numId="82">
    <w:abstractNumId w:val="77"/>
  </w:num>
  <w:num w:numId="83">
    <w:abstractNumId w:val="5"/>
  </w:num>
  <w:num w:numId="84">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5"/>
  </w:num>
  <w:num w:numId="86">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
  </w:num>
  <w:num w:numId="96">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num>
  <w:num w:numId="99">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7"/>
  </w:num>
  <w:num w:numId="101">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8"/>
  </w:num>
  <w:num w:numId="109">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72"/>
  </w:num>
  <w:num w:numId="114">
    <w:abstractNumId w:val="76"/>
  </w:num>
  <w:num w:numId="115">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5"/>
  </w:num>
  <w:num w:numId="118">
    <w:abstractNumId w:val="32"/>
  </w:num>
  <w:num w:numId="119">
    <w:abstractNumId w:val="53"/>
  </w:num>
  <w:num w:numId="120">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1"/>
  </w:num>
  <w:num w:numId="122">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74"/>
  </w:num>
  <w:num w:numId="124">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7"/>
  </w:num>
  <w:num w:numId="126">
    <w:abstractNumId w:val="16"/>
  </w:num>
  <w:num w:numId="127">
    <w:abstractNumId w:val="13"/>
  </w:num>
  <w:num w:numId="128">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1"/>
  </w:num>
  <w:num w:numId="130">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68"/>
  </w:num>
  <w:num w:numId="133">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61"/>
  </w:num>
  <w:num w:numId="135">
    <w:abstractNumId w:val="10"/>
    <w:lvlOverride w:ilvl="0">
      <w:startOverride w:val="8"/>
    </w:lvlOverride>
    <w:lvlOverride w:ilvl="1">
      <w:startOverride w:val="4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0"/>
    <w:lvlOverride w:ilvl="0">
      <w:startOverride w:val="8"/>
    </w:lvlOverride>
    <w:lvlOverride w:ilvl="1">
      <w:startOverride w:val="4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
    <w:lvlOverride w:ilvl="0">
      <w:startOverride w:val="8"/>
    </w:lvlOverride>
    <w:lvlOverride w:ilvl="1">
      <w:startOverride w:val="4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8"/>
    </w:lvlOverride>
    <w:lvlOverride w:ilvl="1">
      <w:startOverride w:val="45"/>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41"/>
  </w:num>
  <w:num w:numId="140">
    <w:abstractNumId w:val="10"/>
    <w:lvlOverride w:ilvl="0">
      <w:startOverride w:val="8"/>
    </w:lvlOverride>
    <w:lvlOverride w:ilvl="1">
      <w:startOverride w:val="4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0"/>
    <w:lvlOverride w:ilvl="0">
      <w:startOverride w:val="8"/>
    </w:lvlOverride>
    <w:lvlOverride w:ilvl="1">
      <w:startOverride w:val="45"/>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
    <w:lvlOverride w:ilvl="0">
      <w:startOverride w:val="8"/>
    </w:lvlOverride>
    <w:lvlOverride w:ilvl="1">
      <w:startOverride w:val="4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
    <w:lvlOverride w:ilvl="0">
      <w:startOverride w:val="8"/>
    </w:lvlOverride>
    <w:lvlOverride w:ilvl="1">
      <w:startOverride w:val="46"/>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
    <w:lvlOverride w:ilvl="0">
      <w:startOverride w:val="8"/>
    </w:lvlOverride>
    <w:lvlOverride w:ilvl="1">
      <w:startOverride w:val="46"/>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0"/>
    <w:lvlOverride w:ilvl="0">
      <w:startOverride w:val="9"/>
    </w:lvlOverride>
    <w:lvlOverride w:ilvl="1">
      <w:startOverride w:val="4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6"/>
  </w:num>
  <w:num w:numId="147">
    <w:abstractNumId w:val="10"/>
    <w:lvlOverride w:ilvl="0">
      <w:startOverride w:val="9"/>
    </w:lvlOverride>
    <w:lvlOverride w:ilvl="1">
      <w:startOverride w:val="48"/>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0"/>
    <w:lvlOverride w:ilvl="0">
      <w:startOverride w:val="9"/>
    </w:lvlOverride>
    <w:lvlOverride w:ilvl="1">
      <w:startOverride w:val="4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0"/>
    <w:lvlOverride w:ilvl="0">
      <w:startOverride w:val="9"/>
    </w:lvlOverride>
    <w:lvlOverride w:ilvl="1">
      <w:startOverride w:val="4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
    <w:lvlOverride w:ilvl="0">
      <w:startOverride w:val="9"/>
    </w:lvlOverride>
    <w:lvlOverride w:ilvl="1">
      <w:startOverride w:val="49"/>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0"/>
    <w:lvlOverride w:ilvl="0">
      <w:startOverride w:val="9"/>
    </w:lvlOverride>
    <w:lvlOverride w:ilvl="1">
      <w:startOverride w:val="5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0"/>
  </w:num>
  <w:num w:numId="153">
    <w:abstractNumId w:val="10"/>
    <w:lvlOverride w:ilvl="0">
      <w:startOverride w:val="9"/>
    </w:lvlOverride>
    <w:lvlOverride w:ilvl="1">
      <w:startOverride w:val="50"/>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0"/>
    <w:lvlOverride w:ilvl="0">
      <w:startOverride w:val="9"/>
    </w:lvlOverride>
    <w:lvlOverride w:ilvl="1">
      <w:startOverride w:val="5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0"/>
    <w:lvlOverride w:ilvl="0">
      <w:startOverride w:val="9"/>
    </w:lvlOverride>
    <w:lvlOverride w:ilvl="1">
      <w:startOverride w:val="5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5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3ADB"/>
    <w:rsid w:val="000240B9"/>
    <w:rsid w:val="0002581E"/>
    <w:rsid w:val="00033CF9"/>
    <w:rsid w:val="0003615D"/>
    <w:rsid w:val="00047CF8"/>
    <w:rsid w:val="000501D7"/>
    <w:rsid w:val="00051936"/>
    <w:rsid w:val="0005263B"/>
    <w:rsid w:val="00052B85"/>
    <w:rsid w:val="00054E46"/>
    <w:rsid w:val="000570B4"/>
    <w:rsid w:val="000616D7"/>
    <w:rsid w:val="00063085"/>
    <w:rsid w:val="000701FA"/>
    <w:rsid w:val="00070C73"/>
    <w:rsid w:val="00077C4E"/>
    <w:rsid w:val="0009208E"/>
    <w:rsid w:val="00093DAC"/>
    <w:rsid w:val="000A3E90"/>
    <w:rsid w:val="000A713B"/>
    <w:rsid w:val="000B1E39"/>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1A9"/>
    <w:rsid w:val="001466D3"/>
    <w:rsid w:val="00154F68"/>
    <w:rsid w:val="00156DCF"/>
    <w:rsid w:val="00170F8C"/>
    <w:rsid w:val="0017102C"/>
    <w:rsid w:val="0017194D"/>
    <w:rsid w:val="0017338F"/>
    <w:rsid w:val="001766AE"/>
    <w:rsid w:val="001824C7"/>
    <w:rsid w:val="00184E34"/>
    <w:rsid w:val="001861C5"/>
    <w:rsid w:val="001A3CC1"/>
    <w:rsid w:val="001A6FCE"/>
    <w:rsid w:val="001B396D"/>
    <w:rsid w:val="001B5487"/>
    <w:rsid w:val="001B7134"/>
    <w:rsid w:val="001C1432"/>
    <w:rsid w:val="001C3E62"/>
    <w:rsid w:val="001C4317"/>
    <w:rsid w:val="001C5B69"/>
    <w:rsid w:val="001C614B"/>
    <w:rsid w:val="001C7264"/>
    <w:rsid w:val="001D021E"/>
    <w:rsid w:val="001D0B87"/>
    <w:rsid w:val="001E1AB4"/>
    <w:rsid w:val="001E207A"/>
    <w:rsid w:val="001E26E4"/>
    <w:rsid w:val="001E280F"/>
    <w:rsid w:val="001E6961"/>
    <w:rsid w:val="001F2E01"/>
    <w:rsid w:val="001F4145"/>
    <w:rsid w:val="00203003"/>
    <w:rsid w:val="00204AE0"/>
    <w:rsid w:val="0020594C"/>
    <w:rsid w:val="00211145"/>
    <w:rsid w:val="00215022"/>
    <w:rsid w:val="00220CB1"/>
    <w:rsid w:val="00221DB9"/>
    <w:rsid w:val="00222734"/>
    <w:rsid w:val="00226A5C"/>
    <w:rsid w:val="00234572"/>
    <w:rsid w:val="00234A7A"/>
    <w:rsid w:val="0024310C"/>
    <w:rsid w:val="00246770"/>
    <w:rsid w:val="00253C7B"/>
    <w:rsid w:val="00257B6C"/>
    <w:rsid w:val="00266229"/>
    <w:rsid w:val="002706A2"/>
    <w:rsid w:val="00273A6A"/>
    <w:rsid w:val="002771D3"/>
    <w:rsid w:val="00280739"/>
    <w:rsid w:val="00287645"/>
    <w:rsid w:val="00290D82"/>
    <w:rsid w:val="002913E7"/>
    <w:rsid w:val="00294B50"/>
    <w:rsid w:val="002960F8"/>
    <w:rsid w:val="002A2A9B"/>
    <w:rsid w:val="002A6141"/>
    <w:rsid w:val="002A6A88"/>
    <w:rsid w:val="002C230A"/>
    <w:rsid w:val="002C7EC9"/>
    <w:rsid w:val="002D4253"/>
    <w:rsid w:val="002D587E"/>
    <w:rsid w:val="002E02EC"/>
    <w:rsid w:val="002E23FB"/>
    <w:rsid w:val="002E4345"/>
    <w:rsid w:val="002E5FA5"/>
    <w:rsid w:val="002E6255"/>
    <w:rsid w:val="002F1C07"/>
    <w:rsid w:val="002F23A1"/>
    <w:rsid w:val="002F6763"/>
    <w:rsid w:val="002F6EAB"/>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50DE8"/>
    <w:rsid w:val="0035663F"/>
    <w:rsid w:val="0036091B"/>
    <w:rsid w:val="00360F07"/>
    <w:rsid w:val="00363E72"/>
    <w:rsid w:val="00371F50"/>
    <w:rsid w:val="00374FBB"/>
    <w:rsid w:val="0038628A"/>
    <w:rsid w:val="00386348"/>
    <w:rsid w:val="0039620B"/>
    <w:rsid w:val="003A0254"/>
    <w:rsid w:val="003B4AEA"/>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57A59"/>
    <w:rsid w:val="00457AD1"/>
    <w:rsid w:val="00460FFE"/>
    <w:rsid w:val="00463778"/>
    <w:rsid w:val="00463C33"/>
    <w:rsid w:val="004739C7"/>
    <w:rsid w:val="00475C31"/>
    <w:rsid w:val="0048016C"/>
    <w:rsid w:val="00484464"/>
    <w:rsid w:val="0048527A"/>
    <w:rsid w:val="00487367"/>
    <w:rsid w:val="00491669"/>
    <w:rsid w:val="00495CD4"/>
    <w:rsid w:val="004A23CD"/>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3ECC"/>
    <w:rsid w:val="0050639C"/>
    <w:rsid w:val="00513616"/>
    <w:rsid w:val="00515653"/>
    <w:rsid w:val="00516592"/>
    <w:rsid w:val="00516D4C"/>
    <w:rsid w:val="005179C9"/>
    <w:rsid w:val="00523ABC"/>
    <w:rsid w:val="00540A2A"/>
    <w:rsid w:val="005434EB"/>
    <w:rsid w:val="005441A0"/>
    <w:rsid w:val="00544AC6"/>
    <w:rsid w:val="00560A48"/>
    <w:rsid w:val="00562FCF"/>
    <w:rsid w:val="00565E18"/>
    <w:rsid w:val="005673BB"/>
    <w:rsid w:val="005767CB"/>
    <w:rsid w:val="00580BA6"/>
    <w:rsid w:val="0058329C"/>
    <w:rsid w:val="005846B5"/>
    <w:rsid w:val="005853A2"/>
    <w:rsid w:val="00586F43"/>
    <w:rsid w:val="00591F8C"/>
    <w:rsid w:val="00593E45"/>
    <w:rsid w:val="0059407F"/>
    <w:rsid w:val="00596200"/>
    <w:rsid w:val="005A2628"/>
    <w:rsid w:val="005A5265"/>
    <w:rsid w:val="005B2223"/>
    <w:rsid w:val="005B7BA7"/>
    <w:rsid w:val="005B7E5E"/>
    <w:rsid w:val="005C064F"/>
    <w:rsid w:val="005C78A1"/>
    <w:rsid w:val="005C7C79"/>
    <w:rsid w:val="005D1753"/>
    <w:rsid w:val="005D7202"/>
    <w:rsid w:val="005E635F"/>
    <w:rsid w:val="005F5459"/>
    <w:rsid w:val="005F7BE1"/>
    <w:rsid w:val="00600887"/>
    <w:rsid w:val="00600C54"/>
    <w:rsid w:val="00617880"/>
    <w:rsid w:val="006202E6"/>
    <w:rsid w:val="00623620"/>
    <w:rsid w:val="0062408B"/>
    <w:rsid w:val="00631132"/>
    <w:rsid w:val="00640D54"/>
    <w:rsid w:val="006425E2"/>
    <w:rsid w:val="006563A7"/>
    <w:rsid w:val="00656507"/>
    <w:rsid w:val="00660167"/>
    <w:rsid w:val="0066072A"/>
    <w:rsid w:val="006622B6"/>
    <w:rsid w:val="00662CA5"/>
    <w:rsid w:val="006647B8"/>
    <w:rsid w:val="006736A9"/>
    <w:rsid w:val="00675641"/>
    <w:rsid w:val="006757CF"/>
    <w:rsid w:val="00694192"/>
    <w:rsid w:val="00695AFC"/>
    <w:rsid w:val="006A1718"/>
    <w:rsid w:val="006A34CE"/>
    <w:rsid w:val="006A787C"/>
    <w:rsid w:val="006C135E"/>
    <w:rsid w:val="006C1BB2"/>
    <w:rsid w:val="006C4497"/>
    <w:rsid w:val="006C54F2"/>
    <w:rsid w:val="006D151C"/>
    <w:rsid w:val="006D3233"/>
    <w:rsid w:val="006E2987"/>
    <w:rsid w:val="006E4FC9"/>
    <w:rsid w:val="006E52F1"/>
    <w:rsid w:val="006E6824"/>
    <w:rsid w:val="006F3026"/>
    <w:rsid w:val="006F35DD"/>
    <w:rsid w:val="006F5583"/>
    <w:rsid w:val="006F59E0"/>
    <w:rsid w:val="00701021"/>
    <w:rsid w:val="00701DF4"/>
    <w:rsid w:val="007022A7"/>
    <w:rsid w:val="0070402B"/>
    <w:rsid w:val="00710222"/>
    <w:rsid w:val="007102A2"/>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63C"/>
    <w:rsid w:val="00761F9A"/>
    <w:rsid w:val="00764BE7"/>
    <w:rsid w:val="0077386F"/>
    <w:rsid w:val="007760F0"/>
    <w:rsid w:val="00780C4F"/>
    <w:rsid w:val="00780DD1"/>
    <w:rsid w:val="007818E6"/>
    <w:rsid w:val="00790AC7"/>
    <w:rsid w:val="007924CA"/>
    <w:rsid w:val="007927D1"/>
    <w:rsid w:val="007936C4"/>
    <w:rsid w:val="0079479F"/>
    <w:rsid w:val="007A0DAE"/>
    <w:rsid w:val="007A14C1"/>
    <w:rsid w:val="007A35D8"/>
    <w:rsid w:val="007A43A8"/>
    <w:rsid w:val="007A45F2"/>
    <w:rsid w:val="007A60D8"/>
    <w:rsid w:val="007B00B1"/>
    <w:rsid w:val="007B0489"/>
    <w:rsid w:val="007B69A9"/>
    <w:rsid w:val="007C3137"/>
    <w:rsid w:val="007D7051"/>
    <w:rsid w:val="007D76EC"/>
    <w:rsid w:val="007E5BB2"/>
    <w:rsid w:val="007E73E0"/>
    <w:rsid w:val="007F345E"/>
    <w:rsid w:val="0080259D"/>
    <w:rsid w:val="008032AB"/>
    <w:rsid w:val="008064B3"/>
    <w:rsid w:val="00807A90"/>
    <w:rsid w:val="00812756"/>
    <w:rsid w:val="00813F79"/>
    <w:rsid w:val="0081498A"/>
    <w:rsid w:val="0082145D"/>
    <w:rsid w:val="0082560F"/>
    <w:rsid w:val="00830517"/>
    <w:rsid w:val="00830DA7"/>
    <w:rsid w:val="00831664"/>
    <w:rsid w:val="0084114C"/>
    <w:rsid w:val="008432D3"/>
    <w:rsid w:val="008461AA"/>
    <w:rsid w:val="008601BF"/>
    <w:rsid w:val="008618B5"/>
    <w:rsid w:val="00864259"/>
    <w:rsid w:val="00865CB2"/>
    <w:rsid w:val="0087671A"/>
    <w:rsid w:val="00877725"/>
    <w:rsid w:val="00877FEF"/>
    <w:rsid w:val="008830A1"/>
    <w:rsid w:val="00883DFE"/>
    <w:rsid w:val="00884E4F"/>
    <w:rsid w:val="008860FC"/>
    <w:rsid w:val="00891E23"/>
    <w:rsid w:val="00892EA8"/>
    <w:rsid w:val="008A169B"/>
    <w:rsid w:val="008A3382"/>
    <w:rsid w:val="008A59EE"/>
    <w:rsid w:val="008A6DCB"/>
    <w:rsid w:val="008A7BA8"/>
    <w:rsid w:val="008B210A"/>
    <w:rsid w:val="008B31CD"/>
    <w:rsid w:val="008B5167"/>
    <w:rsid w:val="008B73AD"/>
    <w:rsid w:val="008C5483"/>
    <w:rsid w:val="008D74D9"/>
    <w:rsid w:val="008E06F4"/>
    <w:rsid w:val="008F6F09"/>
    <w:rsid w:val="00900FBA"/>
    <w:rsid w:val="0090284A"/>
    <w:rsid w:val="00902BE5"/>
    <w:rsid w:val="009050FA"/>
    <w:rsid w:val="00906123"/>
    <w:rsid w:val="00906CE5"/>
    <w:rsid w:val="00907043"/>
    <w:rsid w:val="00915406"/>
    <w:rsid w:val="00922D7A"/>
    <w:rsid w:val="00923866"/>
    <w:rsid w:val="00924531"/>
    <w:rsid w:val="0092521A"/>
    <w:rsid w:val="00934597"/>
    <w:rsid w:val="00945101"/>
    <w:rsid w:val="00945D24"/>
    <w:rsid w:val="00954BBA"/>
    <w:rsid w:val="00956EB5"/>
    <w:rsid w:val="00972837"/>
    <w:rsid w:val="009767DB"/>
    <w:rsid w:val="0098519B"/>
    <w:rsid w:val="009854F5"/>
    <w:rsid w:val="0098747C"/>
    <w:rsid w:val="00993802"/>
    <w:rsid w:val="00994E5F"/>
    <w:rsid w:val="009A1436"/>
    <w:rsid w:val="009A4155"/>
    <w:rsid w:val="009B0460"/>
    <w:rsid w:val="009B7C5F"/>
    <w:rsid w:val="009C39DF"/>
    <w:rsid w:val="009D03C4"/>
    <w:rsid w:val="009D142F"/>
    <w:rsid w:val="009D2E11"/>
    <w:rsid w:val="009D3411"/>
    <w:rsid w:val="009D5F6B"/>
    <w:rsid w:val="009E159E"/>
    <w:rsid w:val="009F0530"/>
    <w:rsid w:val="009F07A0"/>
    <w:rsid w:val="009F3D8C"/>
    <w:rsid w:val="009F4153"/>
    <w:rsid w:val="009F6DC7"/>
    <w:rsid w:val="009F7214"/>
    <w:rsid w:val="009F7819"/>
    <w:rsid w:val="00A010BD"/>
    <w:rsid w:val="00A0190D"/>
    <w:rsid w:val="00A01D9D"/>
    <w:rsid w:val="00A04034"/>
    <w:rsid w:val="00A15137"/>
    <w:rsid w:val="00A16BF1"/>
    <w:rsid w:val="00A21EAC"/>
    <w:rsid w:val="00A32184"/>
    <w:rsid w:val="00A34699"/>
    <w:rsid w:val="00A41EBF"/>
    <w:rsid w:val="00A43F2A"/>
    <w:rsid w:val="00A440A2"/>
    <w:rsid w:val="00A466F5"/>
    <w:rsid w:val="00A54760"/>
    <w:rsid w:val="00A56D5C"/>
    <w:rsid w:val="00A5711E"/>
    <w:rsid w:val="00A66E43"/>
    <w:rsid w:val="00A72B40"/>
    <w:rsid w:val="00A74ABD"/>
    <w:rsid w:val="00A75CA9"/>
    <w:rsid w:val="00A761D9"/>
    <w:rsid w:val="00A76A6D"/>
    <w:rsid w:val="00A776DF"/>
    <w:rsid w:val="00A808C7"/>
    <w:rsid w:val="00A81A09"/>
    <w:rsid w:val="00A81E74"/>
    <w:rsid w:val="00A83D5F"/>
    <w:rsid w:val="00A93803"/>
    <w:rsid w:val="00A95554"/>
    <w:rsid w:val="00A96461"/>
    <w:rsid w:val="00AA0F56"/>
    <w:rsid w:val="00AA1592"/>
    <w:rsid w:val="00AA3281"/>
    <w:rsid w:val="00AA32A4"/>
    <w:rsid w:val="00AA4B45"/>
    <w:rsid w:val="00AA6A22"/>
    <w:rsid w:val="00AA6F1F"/>
    <w:rsid w:val="00AB0881"/>
    <w:rsid w:val="00AB256C"/>
    <w:rsid w:val="00AB2DC0"/>
    <w:rsid w:val="00AB2EDD"/>
    <w:rsid w:val="00AB3F8B"/>
    <w:rsid w:val="00AC1BB9"/>
    <w:rsid w:val="00AD3A2D"/>
    <w:rsid w:val="00AD682D"/>
    <w:rsid w:val="00AE05DB"/>
    <w:rsid w:val="00AE1B05"/>
    <w:rsid w:val="00AE4977"/>
    <w:rsid w:val="00AE6C86"/>
    <w:rsid w:val="00AE7828"/>
    <w:rsid w:val="00AF0484"/>
    <w:rsid w:val="00AF38AA"/>
    <w:rsid w:val="00AF46A3"/>
    <w:rsid w:val="00AF5F44"/>
    <w:rsid w:val="00AF775A"/>
    <w:rsid w:val="00AF7DAE"/>
    <w:rsid w:val="00B004B4"/>
    <w:rsid w:val="00B02717"/>
    <w:rsid w:val="00B10F78"/>
    <w:rsid w:val="00B135A8"/>
    <w:rsid w:val="00B15563"/>
    <w:rsid w:val="00B17D53"/>
    <w:rsid w:val="00B2385E"/>
    <w:rsid w:val="00B250B2"/>
    <w:rsid w:val="00B30454"/>
    <w:rsid w:val="00B34C82"/>
    <w:rsid w:val="00B47456"/>
    <w:rsid w:val="00B47A19"/>
    <w:rsid w:val="00B505F5"/>
    <w:rsid w:val="00B53392"/>
    <w:rsid w:val="00B548AB"/>
    <w:rsid w:val="00B54B5D"/>
    <w:rsid w:val="00B65148"/>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0145"/>
    <w:rsid w:val="00BF0C5C"/>
    <w:rsid w:val="00BF13B4"/>
    <w:rsid w:val="00BF261E"/>
    <w:rsid w:val="00BF2D32"/>
    <w:rsid w:val="00BF532E"/>
    <w:rsid w:val="00BF5D79"/>
    <w:rsid w:val="00BF713A"/>
    <w:rsid w:val="00C010A6"/>
    <w:rsid w:val="00C01A54"/>
    <w:rsid w:val="00C06711"/>
    <w:rsid w:val="00C06A60"/>
    <w:rsid w:val="00C07F29"/>
    <w:rsid w:val="00C10348"/>
    <w:rsid w:val="00C20CDC"/>
    <w:rsid w:val="00C21F26"/>
    <w:rsid w:val="00C22DC6"/>
    <w:rsid w:val="00C26A42"/>
    <w:rsid w:val="00C272BE"/>
    <w:rsid w:val="00C34ABC"/>
    <w:rsid w:val="00C36156"/>
    <w:rsid w:val="00C37B67"/>
    <w:rsid w:val="00C41795"/>
    <w:rsid w:val="00C43873"/>
    <w:rsid w:val="00C4502C"/>
    <w:rsid w:val="00C47E3F"/>
    <w:rsid w:val="00C56FA4"/>
    <w:rsid w:val="00C571C1"/>
    <w:rsid w:val="00C6344B"/>
    <w:rsid w:val="00C678D0"/>
    <w:rsid w:val="00C826B4"/>
    <w:rsid w:val="00C84613"/>
    <w:rsid w:val="00C84712"/>
    <w:rsid w:val="00CA474F"/>
    <w:rsid w:val="00CB5977"/>
    <w:rsid w:val="00CC1682"/>
    <w:rsid w:val="00CC1FC6"/>
    <w:rsid w:val="00CC2658"/>
    <w:rsid w:val="00CC28BA"/>
    <w:rsid w:val="00CC67FA"/>
    <w:rsid w:val="00CD5943"/>
    <w:rsid w:val="00CE0484"/>
    <w:rsid w:val="00CE2A5B"/>
    <w:rsid w:val="00CE4249"/>
    <w:rsid w:val="00CE599D"/>
    <w:rsid w:val="00CE7D64"/>
    <w:rsid w:val="00CF2B9F"/>
    <w:rsid w:val="00CF43BA"/>
    <w:rsid w:val="00D02223"/>
    <w:rsid w:val="00D052DF"/>
    <w:rsid w:val="00D127D9"/>
    <w:rsid w:val="00D13198"/>
    <w:rsid w:val="00D15BE5"/>
    <w:rsid w:val="00D16157"/>
    <w:rsid w:val="00D165E2"/>
    <w:rsid w:val="00D224F7"/>
    <w:rsid w:val="00D22731"/>
    <w:rsid w:val="00D22CDF"/>
    <w:rsid w:val="00D23806"/>
    <w:rsid w:val="00D326D6"/>
    <w:rsid w:val="00D33AA7"/>
    <w:rsid w:val="00D405D7"/>
    <w:rsid w:val="00D434DD"/>
    <w:rsid w:val="00D439C7"/>
    <w:rsid w:val="00D450E5"/>
    <w:rsid w:val="00D465D0"/>
    <w:rsid w:val="00D466BE"/>
    <w:rsid w:val="00D53B85"/>
    <w:rsid w:val="00D54DEF"/>
    <w:rsid w:val="00D567BE"/>
    <w:rsid w:val="00D568DA"/>
    <w:rsid w:val="00D6321E"/>
    <w:rsid w:val="00D652BC"/>
    <w:rsid w:val="00D66872"/>
    <w:rsid w:val="00D67F2C"/>
    <w:rsid w:val="00D75FD1"/>
    <w:rsid w:val="00D77A72"/>
    <w:rsid w:val="00D830A7"/>
    <w:rsid w:val="00D840FD"/>
    <w:rsid w:val="00D97FB5"/>
    <w:rsid w:val="00DA0562"/>
    <w:rsid w:val="00DA0BBA"/>
    <w:rsid w:val="00DA3F31"/>
    <w:rsid w:val="00DB4670"/>
    <w:rsid w:val="00DC0C96"/>
    <w:rsid w:val="00DC6795"/>
    <w:rsid w:val="00DC698F"/>
    <w:rsid w:val="00DD2056"/>
    <w:rsid w:val="00DD2901"/>
    <w:rsid w:val="00DD763D"/>
    <w:rsid w:val="00DE6830"/>
    <w:rsid w:val="00DE6F0F"/>
    <w:rsid w:val="00DF1827"/>
    <w:rsid w:val="00DF2A38"/>
    <w:rsid w:val="00DF5B05"/>
    <w:rsid w:val="00DF7B58"/>
    <w:rsid w:val="00E008F7"/>
    <w:rsid w:val="00E0256D"/>
    <w:rsid w:val="00E0456C"/>
    <w:rsid w:val="00E04863"/>
    <w:rsid w:val="00E15F84"/>
    <w:rsid w:val="00E25B17"/>
    <w:rsid w:val="00E27E74"/>
    <w:rsid w:val="00E3110D"/>
    <w:rsid w:val="00E3539A"/>
    <w:rsid w:val="00E35E61"/>
    <w:rsid w:val="00E427A7"/>
    <w:rsid w:val="00E47C6D"/>
    <w:rsid w:val="00E53130"/>
    <w:rsid w:val="00E5705A"/>
    <w:rsid w:val="00E619B8"/>
    <w:rsid w:val="00E653E7"/>
    <w:rsid w:val="00E67DB6"/>
    <w:rsid w:val="00E700CC"/>
    <w:rsid w:val="00E76CB4"/>
    <w:rsid w:val="00E81632"/>
    <w:rsid w:val="00E849DC"/>
    <w:rsid w:val="00E85325"/>
    <w:rsid w:val="00E85B5B"/>
    <w:rsid w:val="00E912C0"/>
    <w:rsid w:val="00E9415F"/>
    <w:rsid w:val="00E96FF3"/>
    <w:rsid w:val="00EA3930"/>
    <w:rsid w:val="00EB2E3C"/>
    <w:rsid w:val="00EB7E52"/>
    <w:rsid w:val="00EC2981"/>
    <w:rsid w:val="00EC438F"/>
    <w:rsid w:val="00EC54A4"/>
    <w:rsid w:val="00EE7038"/>
    <w:rsid w:val="00EF49A6"/>
    <w:rsid w:val="00EF5D5A"/>
    <w:rsid w:val="00EF5EF8"/>
    <w:rsid w:val="00F0104C"/>
    <w:rsid w:val="00F014F5"/>
    <w:rsid w:val="00F0797D"/>
    <w:rsid w:val="00F14226"/>
    <w:rsid w:val="00F2484C"/>
    <w:rsid w:val="00F31641"/>
    <w:rsid w:val="00F31C18"/>
    <w:rsid w:val="00F339F7"/>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3F2A"/>
    <w:pPr>
      <w:widowControl w:val="0"/>
      <w:jc w:val="both"/>
    </w:pPr>
  </w:style>
  <w:style w:type="paragraph" w:styleId="1">
    <w:name w:val="heading 1"/>
    <w:basedOn w:val="a"/>
    <w:next w:val="a"/>
    <w:link w:val="1Char"/>
    <w:uiPriority w:val="9"/>
    <w:qFormat/>
    <w:rsid w:val="00E048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863"/>
    <w:pPr>
      <w:ind w:firstLineChars="200" w:firstLine="420"/>
    </w:pPr>
  </w:style>
  <w:style w:type="paragraph" w:customStyle="1" w:styleId="Level1">
    <w:name w:val="Level1"/>
    <w:basedOn w:val="1"/>
    <w:next w:val="Level2"/>
    <w:link w:val="Level1Char"/>
    <w:qFormat/>
    <w:rsid w:val="00F90B8A"/>
    <w:pPr>
      <w:numPr>
        <w:numId w:val="152"/>
      </w:numPr>
      <w:spacing w:before="0" w:after="0" w:line="240" w:lineRule="auto"/>
    </w:pPr>
    <w:rPr>
      <w:b w:val="0"/>
      <w:sz w:val="21"/>
    </w:rPr>
  </w:style>
  <w:style w:type="paragraph" w:customStyle="1" w:styleId="Level2">
    <w:name w:val="Level2"/>
    <w:basedOn w:val="2"/>
    <w:next w:val="Level3"/>
    <w:link w:val="Level2Char"/>
    <w:qFormat/>
    <w:rsid w:val="00F90B8A"/>
    <w:pPr>
      <w:numPr>
        <w:ilvl w:val="1"/>
        <w:numId w:val="152"/>
      </w:numPr>
      <w:spacing w:before="0" w:after="0" w:line="240" w:lineRule="auto"/>
    </w:pPr>
    <w:rPr>
      <w:b w:val="0"/>
      <w:sz w:val="21"/>
    </w:rPr>
  </w:style>
  <w:style w:type="character" w:customStyle="1" w:styleId="Level1Char">
    <w:name w:val="Level1 Char"/>
    <w:basedOn w:val="a0"/>
    <w:link w:val="Level1"/>
    <w:rsid w:val="00F90B8A"/>
    <w:rPr>
      <w:bCs/>
      <w:kern w:val="44"/>
      <w:szCs w:val="44"/>
    </w:rPr>
  </w:style>
  <w:style w:type="character" w:customStyle="1" w:styleId="1Char">
    <w:name w:val="标题 1 Char"/>
    <w:basedOn w:val="a0"/>
    <w:link w:val="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a3"/>
    <w:next w:val="a"/>
    <w:link w:val="Level3Char"/>
    <w:qFormat/>
    <w:rsid w:val="00AE05DB"/>
    <w:pPr>
      <w:numPr>
        <w:ilvl w:val="2"/>
        <w:numId w:val="152"/>
      </w:numPr>
      <w:spacing w:afterLines="50" w:after="50"/>
      <w:ind w:firstLineChars="0"/>
      <w:outlineLvl w:val="2"/>
    </w:pPr>
  </w:style>
  <w:style w:type="paragraph" w:styleId="10">
    <w:name w:val="toc 1"/>
    <w:basedOn w:val="a"/>
    <w:next w:val="a"/>
    <w:autoRedefine/>
    <w:uiPriority w:val="39"/>
    <w:semiHidden/>
    <w:unhideWhenUsed/>
    <w:rsid w:val="00E04863"/>
  </w:style>
  <w:style w:type="character" w:customStyle="1" w:styleId="2Char">
    <w:name w:val="标题 2 Char"/>
    <w:basedOn w:val="a0"/>
    <w:link w:val="2"/>
    <w:uiPriority w:val="9"/>
    <w:semiHidden/>
    <w:rsid w:val="005767CB"/>
    <w:rPr>
      <w:rFonts w:asciiTheme="majorHAnsi" w:eastAsiaTheme="majorEastAsia" w:hAnsiTheme="majorHAnsi" w:cstheme="majorBidi"/>
      <w:b/>
      <w:bCs/>
      <w:sz w:val="32"/>
      <w:szCs w:val="32"/>
    </w:rPr>
  </w:style>
  <w:style w:type="character" w:styleId="a4">
    <w:name w:val="Placeholder Text"/>
    <w:basedOn w:val="a0"/>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a5">
    <w:name w:val="Table Grid"/>
    <w:basedOn w:val="a1"/>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662CA5"/>
    <w:rPr>
      <w:sz w:val="18"/>
      <w:szCs w:val="18"/>
    </w:rPr>
  </w:style>
  <w:style w:type="character" w:customStyle="1" w:styleId="Char">
    <w:name w:val="批注框文本 Char"/>
    <w:basedOn w:val="a0"/>
    <w:link w:val="a6"/>
    <w:uiPriority w:val="99"/>
    <w:semiHidden/>
    <w:rsid w:val="00662CA5"/>
    <w:rPr>
      <w:sz w:val="18"/>
      <w:szCs w:val="18"/>
    </w:rPr>
  </w:style>
  <w:style w:type="character" w:customStyle="1" w:styleId="mi">
    <w:name w:val="mi"/>
    <w:basedOn w:val="a0"/>
    <w:rsid w:val="00E912C0"/>
  </w:style>
  <w:style w:type="character" w:customStyle="1" w:styleId="mo">
    <w:name w:val="mo"/>
    <w:basedOn w:val="a0"/>
    <w:rsid w:val="00E912C0"/>
  </w:style>
  <w:style w:type="character" w:customStyle="1" w:styleId="mn">
    <w:name w:val="mn"/>
    <w:basedOn w:val="a0"/>
    <w:rsid w:val="00E912C0"/>
  </w:style>
  <w:style w:type="paragraph" w:styleId="a7">
    <w:name w:val="Normal (Web)"/>
    <w:basedOn w:val="a"/>
    <w:uiPriority w:val="99"/>
    <w:semiHidden/>
    <w:unhideWhenUsed/>
    <w:rsid w:val="00E912C0"/>
    <w:pPr>
      <w:widowControl/>
      <w:spacing w:before="100" w:beforeAutospacing="1" w:after="100" w:afterAutospacing="1"/>
      <w:jc w:val="left"/>
    </w:pPr>
    <w:rPr>
      <w:rFonts w:ascii="宋体" w:eastAsia="宋体" w:hAnsi="宋体" w:cs="宋体"/>
      <w:kern w:val="0"/>
      <w:sz w:val="24"/>
      <w:szCs w:val="24"/>
    </w:rPr>
  </w:style>
  <w:style w:type="paragraph" w:styleId="a8">
    <w:name w:val="No Spacing"/>
    <w:uiPriority w:val="1"/>
    <w:qFormat/>
    <w:rsid w:val="009B0460"/>
    <w:pPr>
      <w:widowControl w:val="0"/>
      <w:jc w:val="both"/>
    </w:pPr>
  </w:style>
  <w:style w:type="paragraph" w:styleId="a9">
    <w:name w:val="header"/>
    <w:basedOn w:val="a"/>
    <w:link w:val="Char0"/>
    <w:uiPriority w:val="99"/>
    <w:unhideWhenUsed/>
    <w:rsid w:val="00B10F78"/>
    <w:pPr>
      <w:tabs>
        <w:tab w:val="center" w:pos="4320"/>
        <w:tab w:val="right" w:pos="8640"/>
      </w:tabs>
    </w:pPr>
  </w:style>
  <w:style w:type="character" w:customStyle="1" w:styleId="Char0">
    <w:name w:val="页眉 Char"/>
    <w:basedOn w:val="a0"/>
    <w:link w:val="a9"/>
    <w:uiPriority w:val="99"/>
    <w:rsid w:val="00B10F78"/>
  </w:style>
  <w:style w:type="paragraph" w:styleId="aa">
    <w:name w:val="footer"/>
    <w:basedOn w:val="a"/>
    <w:link w:val="Char1"/>
    <w:uiPriority w:val="99"/>
    <w:unhideWhenUsed/>
    <w:rsid w:val="00B10F78"/>
    <w:pPr>
      <w:tabs>
        <w:tab w:val="center" w:pos="4320"/>
        <w:tab w:val="right" w:pos="8640"/>
      </w:tabs>
    </w:pPr>
  </w:style>
  <w:style w:type="character" w:customStyle="1" w:styleId="Char1">
    <w:name w:val="页脚 Char"/>
    <w:basedOn w:val="a0"/>
    <w:link w:val="aa"/>
    <w:uiPriority w:val="99"/>
    <w:rsid w:val="00B10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43AFE-99A9-452F-9186-E6D2B433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10619</TotalTime>
  <Pages>61</Pages>
  <Words>16888</Words>
  <Characters>96264</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112927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557</cp:revision>
  <cp:lastPrinted>2015-12-17T06:04:00Z</cp:lastPrinted>
  <dcterms:created xsi:type="dcterms:W3CDTF">2015-12-08T04:36:00Z</dcterms:created>
  <dcterms:modified xsi:type="dcterms:W3CDTF">2016-04-03T03:46:00Z</dcterms:modified>
</cp:coreProperties>
</file>