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F90B8A">
      <w:pPr>
        <w:pStyle w:val="Level1"/>
      </w:pPr>
      <w:r w:rsidRPr="00F90B8A">
        <w:rPr>
          <w:rFonts w:hint="eastAsia"/>
        </w:rPr>
        <w:t>Quantitative Methods for Valuation</w:t>
      </w:r>
    </w:p>
    <w:p w:rsidR="005767CB" w:rsidRPr="00F90B8A" w:rsidRDefault="005767CB" w:rsidP="00F90B8A">
      <w:pPr>
        <w:pStyle w:val="Level2"/>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7A0DAE"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7A0DAE"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7A0DAE"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7A0DAE"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7A0DAE"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7A0DAE"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7A0DAE"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7A0DAE"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280739" w:rsidRDefault="00280739"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7A0DAE"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7A0DAE"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7A0DAE"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865CB2">
        <w:t xml:space="preserve"> (11.f</w:t>
      </w:r>
      <w:r w:rsidR="00052B85">
        <w:t>, 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7A0DAE"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7A0DAE"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7A0DAE"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7A0DAE"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7A0DAE"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7A0DAE"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7A0DAE"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7A0DAE"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7A0DAE"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7A0DAE"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Neither time series is covariance stationary, and the two series are not cointegrated.</w:t>
      </w:r>
    </w:p>
    <w:p w:rsidR="00AB3F8B" w:rsidRDefault="00AB3F8B" w:rsidP="004C11F1">
      <w:pPr>
        <w:pStyle w:val="ListParagraph"/>
        <w:numPr>
          <w:ilvl w:val="0"/>
          <w:numId w:val="16"/>
        </w:numPr>
        <w:ind w:firstLineChars="0"/>
      </w:pPr>
      <w:r>
        <w:t>Neither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There’re 3 approaches to specifying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p w:rsidR="00596200" w:rsidRDefault="00596200" w:rsidP="00596200">
      <w:r>
        <w:rPr>
          <w:rFonts w:hint="eastAsia"/>
        </w:rPr>
        <w:t>Risk-Adjusted Value</w:t>
      </w:r>
    </w:p>
    <w:p w:rsidR="00596200" w:rsidRDefault="00596200" w:rsidP="00596200">
      <w:r>
        <w:lastRenderedPageBreak/>
        <w:t>If we have already incorporated the risk of the asset in the discount rate, care should be taken to ensure that such risk is not double counted.</w:t>
      </w:r>
    </w:p>
    <w:p w:rsidR="001B7134" w:rsidRDefault="001B7134" w:rsidP="00596200"/>
    <w:p w:rsidR="00B15563" w:rsidRDefault="00B15563" w:rsidP="00596200"/>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long/bug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7A0DAE"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C47E3F" w:rsidP="004C11F1">
      <w:pPr>
        <w:pStyle w:val="ListParagraph"/>
        <w:numPr>
          <w:ilvl w:val="0"/>
          <w:numId w:val="29"/>
        </w:numPr>
        <w:ind w:firstLineChars="0"/>
      </w:pPr>
      <w:r>
        <w:rPr>
          <w:rFonts w:hint="eastAsia"/>
        </w:rPr>
        <w:t>Macroeconomic balance approach.</w:t>
      </w:r>
    </w:p>
    <w:p w:rsidR="00C47E3F" w:rsidRDefault="00C47E3F" w:rsidP="004C11F1">
      <w:pPr>
        <w:pStyle w:val="ListParagraph"/>
        <w:numPr>
          <w:ilvl w:val="0"/>
          <w:numId w:val="29"/>
        </w:numPr>
        <w:ind w:firstLineChars="0"/>
      </w:pPr>
      <w:r>
        <w:t>External sustainability approach.</w:t>
      </w:r>
    </w:p>
    <w:p w:rsidR="00C47E3F" w:rsidRDefault="00C47E3F" w:rsidP="004C11F1">
      <w:pPr>
        <w:pStyle w:val="ListParagraph"/>
        <w:numPr>
          <w:ilvl w:val="0"/>
          <w:numId w:val="29"/>
        </w:numPr>
        <w:ind w:firstLineChars="0"/>
      </w:pPr>
      <w:r>
        <w:t>Reduced-form econometric model approach.</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-Fleming model evaluates the impact of monetary and fiscal policies on interest rates and 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lastRenderedPageBreak/>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906CE5" w:rsidRDefault="00906CE5" w:rsidP="00F44526"/>
    <w:p w:rsidR="00906CE5" w:rsidRDefault="00906CE5" w:rsidP="00906CE5">
      <w:pPr>
        <w:pStyle w:val="Level2"/>
      </w:pPr>
      <w:r>
        <w:rPr>
          <w:rFonts w:hint="eastAsia"/>
        </w:rPr>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906CE5" w:rsidRDefault="00906CE5"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lastRenderedPageBreak/>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r>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 xml:space="preserve">The ‘Dutch disease’ refers to a situation where global demand for a country’s natural resources </w:t>
      </w:r>
      <w:r>
        <w:lastRenderedPageBreak/>
        <w:t>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Population growth increases when there’re increases in per capita income above subsistence level (the minimum income needed to maintain life). When real GDP per capita rises above 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rPr>
          <w:rFonts w:hint="eastAsia"/>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D23806" w:rsidRDefault="00D23806" w:rsidP="004E4174">
      <w:pPr>
        <w:pStyle w:val="ListParagraph"/>
        <w:ind w:left="420" w:firstLineChars="0" w:firstLine="0"/>
      </w:pPr>
    </w:p>
    <w:p w:rsidR="004E4174" w:rsidRDefault="004E4174" w:rsidP="004E4174">
      <w:pPr>
        <w:pStyle w:val="ListParagraph"/>
        <w:ind w:left="420" w:firstLineChars="0" w:firstLine="0"/>
      </w:pPr>
      <w:r>
        <w:t>Sustainable growth of output</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 xml:space="preserve">Developing countries (lower capital to labor ratio) will be impacted less by diminishing </w:t>
      </w:r>
      <w:r>
        <w:lastRenderedPageBreak/>
        <w:t>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14226" w:rsidRDefault="00F14226" w:rsidP="00F14226">
      <w:r>
        <w:rPr>
          <w:rFonts w:hint="eastAsia"/>
        </w:rPr>
        <w:t xml:space="preserve">Under neoclassical </w:t>
      </w:r>
      <w:r>
        <w:t>growth theory:</w:t>
      </w:r>
    </w:p>
    <w:p w:rsidR="00D465D0" w:rsidRDefault="00D465D0" w:rsidP="00D465D0">
      <w:r>
        <w:t>Absolute convergence hypothesis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t>Conditional convergence hypothesis states that convergence in living standards will only occur for countries with the same saving rates, population growth rates and production functions.</w:t>
      </w:r>
    </w:p>
    <w:p w:rsidR="00F14226" w:rsidRDefault="00F14226" w:rsidP="00D465D0"/>
    <w:p w:rsidR="00D465D0" w:rsidRDefault="00D465D0" w:rsidP="00D465D0">
      <w:r>
        <w:t>Under club convergence,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Default="00F14226" w:rsidP="00D465D0">
      <w:r>
        <w:t>Under e</w:t>
      </w:r>
      <w:r>
        <w:rPr>
          <w:rFonts w:hint="eastAsia"/>
        </w:rPr>
        <w:t>ndogenous</w:t>
      </w:r>
      <w:r>
        <w:t xml:space="preserve"> growth theory:</w:t>
      </w:r>
    </w:p>
    <w:p w:rsidR="00F14226" w:rsidRDefault="00F14226" w:rsidP="00D465D0">
      <w:r>
        <w:t>It makes no prediction that convergence will occur.</w:t>
      </w:r>
    </w:p>
    <w:p w:rsidR="00CA474F" w:rsidRDefault="00CA474F" w:rsidP="00D465D0"/>
    <w:p w:rsidR="00CA474F" w:rsidRDefault="00CA474F" w:rsidP="00CA474F">
      <w:pPr>
        <w:pStyle w:val="Level2"/>
      </w:pPr>
      <w:r>
        <w:rPr>
          <w:rFonts w:hint="eastAsia"/>
        </w:rPr>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lastRenderedPageBreak/>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AF5F44" w:rsidRDefault="00AF5F44"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lastRenderedPageBreak/>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r w:rsidR="00D224F7">
              <w:rPr>
                <w:rFonts w:ascii="宋体" w:eastAsia="宋体" w:hAnsi="宋体" w:cs="宋体"/>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4C11F1">
      <w:pPr>
        <w:pStyle w:val="ListParagraph"/>
        <w:numPr>
          <w:ilvl w:val="0"/>
          <w:numId w:val="46"/>
        </w:numPr>
        <w:ind w:firstLineChars="0"/>
      </w:pPr>
      <w:r>
        <w:rPr>
          <w:rFonts w:hint="eastAsia"/>
        </w:rPr>
        <w:t>Interest that was capitalized should be added to interest expense.</w:t>
      </w:r>
    </w:p>
    <w:p w:rsidR="00101A99" w:rsidRDefault="00101A99" w:rsidP="004C11F1">
      <w:pPr>
        <w:pStyle w:val="ListParagraph"/>
        <w:numPr>
          <w:ilvl w:val="0"/>
          <w:numId w:val="46"/>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4C11F1">
      <w:pPr>
        <w:pStyle w:val="ListParagraph"/>
        <w:numPr>
          <w:ilvl w:val="0"/>
          <w:numId w:val="46"/>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734705" w:rsidRDefault="00734705" w:rsidP="00734705">
      <w:pPr>
        <w:pStyle w:val="Level3"/>
        <w:numPr>
          <w:ilvl w:val="0"/>
          <w:numId w:val="0"/>
        </w:numPr>
        <w:spacing w:after="156"/>
      </w:pP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4C11F1">
      <w:pPr>
        <w:pStyle w:val="ListParagraph"/>
        <w:numPr>
          <w:ilvl w:val="0"/>
          <w:numId w:val="47"/>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4C11F1">
      <w:pPr>
        <w:pStyle w:val="ListParagraph"/>
        <w:numPr>
          <w:ilvl w:val="0"/>
          <w:numId w:val="47"/>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4C11F1">
      <w:pPr>
        <w:pStyle w:val="ListParagraph"/>
        <w:numPr>
          <w:ilvl w:val="0"/>
          <w:numId w:val="47"/>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4C11F1">
      <w:pPr>
        <w:pStyle w:val="Level3"/>
        <w:numPr>
          <w:ilvl w:val="2"/>
          <w:numId w:val="48"/>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4C11F1">
      <w:pPr>
        <w:pStyle w:val="ListParagraph"/>
        <w:numPr>
          <w:ilvl w:val="0"/>
          <w:numId w:val="49"/>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4C11F1">
      <w:pPr>
        <w:pStyle w:val="ListParagraph"/>
        <w:numPr>
          <w:ilvl w:val="0"/>
          <w:numId w:val="49"/>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4C11F1">
      <w:pPr>
        <w:pStyle w:val="ListParagraph"/>
        <w:numPr>
          <w:ilvl w:val="0"/>
          <w:numId w:val="50"/>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4C11F1">
      <w:pPr>
        <w:pStyle w:val="ListParagraph"/>
        <w:numPr>
          <w:ilvl w:val="0"/>
          <w:numId w:val="50"/>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4C11F1">
      <w:pPr>
        <w:pStyle w:val="ListParagraph"/>
        <w:numPr>
          <w:ilvl w:val="0"/>
          <w:numId w:val="50"/>
        </w:numPr>
        <w:ind w:firstLineChars="0"/>
      </w:pPr>
      <w:r>
        <w:t>In the period, the proportionate share of investee’s dividends reduce investor’s ‘investment’ account.</w:t>
      </w:r>
    </w:p>
    <w:p w:rsidR="00B17D53" w:rsidRDefault="00B17D53" w:rsidP="004C11F1">
      <w:pPr>
        <w:pStyle w:val="ListParagraph"/>
        <w:numPr>
          <w:ilvl w:val="0"/>
          <w:numId w:val="50"/>
        </w:numPr>
        <w:ind w:firstLineChars="0"/>
      </w:pPr>
      <w:r>
        <w:t>If investment account is reduced to 0, equity method is not used until the loss is reversed.</w:t>
      </w:r>
    </w:p>
    <w:p w:rsidR="00600C54" w:rsidRDefault="00AA6F1F" w:rsidP="004C11F1">
      <w:pPr>
        <w:pStyle w:val="ListParagraph"/>
        <w:numPr>
          <w:ilvl w:val="0"/>
          <w:numId w:val="50"/>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4C11F1">
      <w:pPr>
        <w:pStyle w:val="ListParagraph"/>
        <w:numPr>
          <w:ilvl w:val="0"/>
          <w:numId w:val="54"/>
        </w:numPr>
        <w:ind w:firstLineChars="0"/>
      </w:pPr>
      <w:r>
        <w:t>‘Investment account’ = Purchase price.</w:t>
      </w:r>
    </w:p>
    <w:p w:rsidR="00B17D53" w:rsidRDefault="00B17D53" w:rsidP="004C11F1">
      <w:pPr>
        <w:pStyle w:val="ListParagraph"/>
        <w:numPr>
          <w:ilvl w:val="0"/>
          <w:numId w:val="54"/>
        </w:numPr>
        <w:ind w:firstLineChars="0"/>
      </w:pPr>
      <w:r>
        <w:t>Excess of purchase price = purchase price – x% * BV (investee’s net identifiable asset)</w:t>
      </w:r>
    </w:p>
    <w:p w:rsidR="00B17D53" w:rsidRDefault="00B17D53" w:rsidP="004C11F1">
      <w:pPr>
        <w:pStyle w:val="ListParagraph"/>
        <w:numPr>
          <w:ilvl w:val="0"/>
          <w:numId w:val="54"/>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4C11F1">
      <w:pPr>
        <w:pStyle w:val="ListParagraph"/>
        <w:numPr>
          <w:ilvl w:val="0"/>
          <w:numId w:val="54"/>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4C11F1">
      <w:pPr>
        <w:pStyle w:val="ListParagraph"/>
        <w:numPr>
          <w:ilvl w:val="0"/>
          <w:numId w:val="49"/>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4C11F1">
      <w:pPr>
        <w:pStyle w:val="ListParagraph"/>
        <w:numPr>
          <w:ilvl w:val="1"/>
          <w:numId w:val="49"/>
        </w:numPr>
        <w:ind w:firstLineChars="0"/>
      </w:pPr>
      <w:r>
        <w:rPr>
          <w:rFonts w:hint="eastAsia"/>
        </w:rPr>
        <w:t xml:space="preserve">Merger: </w:t>
      </w:r>
      <w:r w:rsidR="00B47A19">
        <w:t>The acquired firm ceases to exist.</w:t>
      </w:r>
    </w:p>
    <w:p w:rsidR="00B47A19" w:rsidRDefault="00B47A19" w:rsidP="004C11F1">
      <w:pPr>
        <w:pStyle w:val="ListParagraph"/>
        <w:numPr>
          <w:ilvl w:val="1"/>
          <w:numId w:val="49"/>
        </w:numPr>
        <w:ind w:firstLineChars="0"/>
      </w:pPr>
      <w:r>
        <w:t>Acquisition: Both entities continue to exist in a parent-subsidiary relationship.</w:t>
      </w:r>
    </w:p>
    <w:p w:rsidR="00B47A19" w:rsidRDefault="00B47A19" w:rsidP="004C11F1">
      <w:pPr>
        <w:pStyle w:val="ListParagraph"/>
        <w:numPr>
          <w:ilvl w:val="1"/>
          <w:numId w:val="49"/>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4C11F1">
      <w:pPr>
        <w:pStyle w:val="ListParagraph"/>
        <w:numPr>
          <w:ilvl w:val="0"/>
          <w:numId w:val="51"/>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4C11F1">
      <w:pPr>
        <w:pStyle w:val="ListParagraph"/>
        <w:numPr>
          <w:ilvl w:val="0"/>
          <w:numId w:val="51"/>
        </w:numPr>
        <w:ind w:firstLineChars="0"/>
      </w:pPr>
      <w:r>
        <w:t>Equity is not combined.</w:t>
      </w:r>
    </w:p>
    <w:p w:rsidR="00AF0484" w:rsidRDefault="00AF0484" w:rsidP="004C11F1">
      <w:pPr>
        <w:pStyle w:val="ListParagraph"/>
        <w:numPr>
          <w:ilvl w:val="0"/>
          <w:numId w:val="51"/>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4C11F1">
      <w:pPr>
        <w:pStyle w:val="ListParagraph"/>
        <w:numPr>
          <w:ilvl w:val="0"/>
          <w:numId w:val="51"/>
        </w:numPr>
        <w:ind w:firstLineChars="0"/>
      </w:pPr>
      <w:r>
        <w:t>Partial goodwill = Purchase price – x% * FV (investee’s net identifiable assets)</w:t>
      </w:r>
    </w:p>
    <w:p w:rsidR="00AF0484" w:rsidRDefault="00AF0484" w:rsidP="004C11F1">
      <w:pPr>
        <w:pStyle w:val="ListParagraph"/>
        <w:numPr>
          <w:ilvl w:val="0"/>
          <w:numId w:val="51"/>
        </w:numPr>
        <w:ind w:firstLineChars="0"/>
      </w:pPr>
      <w:r>
        <w:t>Full goodwill = partial goodwill / x%</w:t>
      </w:r>
    </w:p>
    <w:p w:rsidR="00AF0484" w:rsidRDefault="00AF0484" w:rsidP="004C11F1">
      <w:pPr>
        <w:pStyle w:val="ListParagraph"/>
        <w:numPr>
          <w:ilvl w:val="0"/>
          <w:numId w:val="51"/>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4C11F1">
      <w:pPr>
        <w:pStyle w:val="ListParagraph"/>
        <w:numPr>
          <w:ilvl w:val="0"/>
          <w:numId w:val="52"/>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4C11F1">
      <w:pPr>
        <w:pStyle w:val="ListParagraph"/>
        <w:numPr>
          <w:ilvl w:val="0"/>
          <w:numId w:val="52"/>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4C11F1">
      <w:pPr>
        <w:pStyle w:val="ListParagraph"/>
        <w:numPr>
          <w:ilvl w:val="0"/>
          <w:numId w:val="49"/>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4C11F1">
      <w:pPr>
        <w:pStyle w:val="ListParagraph"/>
        <w:numPr>
          <w:ilvl w:val="0"/>
          <w:numId w:val="49"/>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4C11F1">
      <w:pPr>
        <w:pStyle w:val="ListParagraph"/>
        <w:numPr>
          <w:ilvl w:val="0"/>
          <w:numId w:val="53"/>
        </w:numPr>
        <w:ind w:firstLineChars="0"/>
      </w:pPr>
      <w:r>
        <w:t>I</w:t>
      </w:r>
      <w:r>
        <w:rPr>
          <w:rFonts w:hint="eastAsia"/>
        </w:rPr>
        <w:t>nvestor</w:t>
      </w:r>
      <w:r>
        <w:t>’s new account on balance sheet/income statement = BV(investor’s old account) + x% * FV(investee’s account)</w:t>
      </w:r>
    </w:p>
    <w:p w:rsidR="00215022" w:rsidRDefault="00215022" w:rsidP="004C11F1">
      <w:pPr>
        <w:pStyle w:val="ListParagraph"/>
        <w:numPr>
          <w:ilvl w:val="0"/>
          <w:numId w:val="53"/>
        </w:numPr>
        <w:ind w:firstLineChars="0"/>
      </w:pPr>
      <w:r>
        <w:t>Equity is not combined.</w:t>
      </w:r>
    </w:p>
    <w:p w:rsidR="00215022" w:rsidRDefault="00215022" w:rsidP="004C11F1">
      <w:pPr>
        <w:pStyle w:val="ListParagraph"/>
        <w:numPr>
          <w:ilvl w:val="0"/>
          <w:numId w:val="53"/>
        </w:numPr>
        <w:ind w:firstLineChars="0"/>
      </w:pPr>
      <w:r>
        <w:rPr>
          <w:rFonts w:hint="eastAsia"/>
        </w:rPr>
        <w:t>No minority interest</w:t>
      </w:r>
    </w:p>
    <w:p w:rsidR="004C11F1" w:rsidRDefault="004C11F1" w:rsidP="004C11F1"/>
    <w:p w:rsidR="004C11F1" w:rsidRDefault="004C11F1" w:rsidP="004C11F1">
      <w:pPr>
        <w:pStyle w:val="ListParagraph"/>
        <w:numPr>
          <w:ilvl w:val="0"/>
          <w:numId w:val="49"/>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rPr>
          <w:rFonts w:hint="eastAsia"/>
        </w:rPr>
      </w:pPr>
      <w:r>
        <w:rPr>
          <w:rFonts w:hint="eastAsia"/>
        </w:rPr>
        <w:t>Employee Compensation: Post-Employment and Share-Ba</w:t>
      </w:r>
      <w:r>
        <w:t>s</w:t>
      </w:r>
      <w:r>
        <w:rPr>
          <w:rFonts w:hint="eastAsia"/>
        </w:rPr>
        <w:t>ed</w:t>
      </w:r>
    </w:p>
    <w:p w:rsidR="000F4B12" w:rsidRDefault="000F4B12" w:rsidP="000F4B12">
      <w:pPr>
        <w:pStyle w:val="Level3"/>
        <w:numPr>
          <w:ilvl w:val="2"/>
          <w:numId w:val="55"/>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pPr>
        <w:rPr>
          <w:rFonts w:hint="eastAsia"/>
        </w:rPr>
      </w:pPr>
    </w:p>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pPr>
              <w:rPr>
                <w:rFonts w:hint="eastAsia"/>
              </w:rPr>
            </w:pPr>
            <w:r>
              <w:rPr>
                <w:rFonts w:hint="eastAsia"/>
              </w:rPr>
              <w:lastRenderedPageBreak/>
              <w:t>Plan Assets</w:t>
            </w:r>
          </w:p>
        </w:tc>
        <w:tc>
          <w:tcPr>
            <w:tcW w:w="4148" w:type="dxa"/>
          </w:tcPr>
          <w:p w:rsidR="000F4B12" w:rsidRDefault="000F4B12" w:rsidP="000F4B12">
            <w:pPr>
              <w:rPr>
                <w:rFonts w:hint="eastAsia"/>
              </w:rPr>
            </w:pPr>
            <w:r>
              <w:rPr>
                <w:rFonts w:hint="eastAsia"/>
              </w:rPr>
              <w:t>PBO</w:t>
            </w:r>
          </w:p>
        </w:tc>
      </w:tr>
      <w:tr w:rsidR="007A0DAE" w:rsidTr="000F4B12">
        <w:tc>
          <w:tcPr>
            <w:tcW w:w="4148" w:type="dxa"/>
          </w:tcPr>
          <w:p w:rsidR="007A0DAE" w:rsidRDefault="007A0DAE" w:rsidP="000F4B12">
            <w:pPr>
              <w:rPr>
                <w:rFonts w:hint="eastAsia"/>
              </w:rPr>
            </w:pPr>
            <w:r>
              <w:rPr>
                <w:rFonts w:hint="eastAsia"/>
              </w:rPr>
              <w:t>Fair value at the beginning of the year</w:t>
            </w:r>
          </w:p>
        </w:tc>
        <w:tc>
          <w:tcPr>
            <w:tcW w:w="4148" w:type="dxa"/>
          </w:tcPr>
          <w:p w:rsidR="007A0DAE" w:rsidRPr="007A0DAE" w:rsidRDefault="007A0DAE" w:rsidP="000F4B12">
            <w:pPr>
              <w:rPr>
                <w:rFonts w:hint="eastAsia"/>
              </w:rPr>
            </w:pPr>
            <w:r>
              <w:t>PBO at the beginning of the year</w:t>
            </w:r>
          </w:p>
        </w:tc>
      </w:tr>
      <w:tr w:rsidR="000F4B12" w:rsidTr="000F4B12">
        <w:tc>
          <w:tcPr>
            <w:tcW w:w="4148" w:type="dxa"/>
          </w:tcPr>
          <w:p w:rsidR="000F4B12" w:rsidRDefault="000F4B12" w:rsidP="000F4B12">
            <w:pPr>
              <w:rPr>
                <w:rFonts w:hint="eastAsia"/>
              </w:rPr>
            </w:pPr>
            <w:r>
              <w:rPr>
                <w:rFonts w:hint="eastAsia"/>
              </w:rPr>
              <w:t>+ Contributions</w:t>
            </w:r>
          </w:p>
        </w:tc>
        <w:tc>
          <w:tcPr>
            <w:tcW w:w="4148" w:type="dxa"/>
          </w:tcPr>
          <w:p w:rsidR="000F4B12" w:rsidRDefault="000F4B12" w:rsidP="000F4B12">
            <w:pPr>
              <w:rPr>
                <w:rFonts w:hint="eastAsia"/>
              </w:rPr>
            </w:pPr>
            <w:r>
              <w:rPr>
                <w:rFonts w:hint="eastAsia"/>
              </w:rPr>
              <w:t>+ Current service cost</w:t>
            </w:r>
          </w:p>
        </w:tc>
      </w:tr>
      <w:tr w:rsidR="000F4B12" w:rsidTr="000F4B12">
        <w:tc>
          <w:tcPr>
            <w:tcW w:w="4148" w:type="dxa"/>
          </w:tcPr>
          <w:p w:rsidR="000F4B12" w:rsidRDefault="000F4B12" w:rsidP="000F4B12">
            <w:pPr>
              <w:rPr>
                <w:rFonts w:hint="eastAsia"/>
              </w:rPr>
            </w:pPr>
            <w:r>
              <w:rPr>
                <w:rFonts w:hint="eastAsia"/>
              </w:rPr>
              <w:t>+ Actual return</w:t>
            </w:r>
          </w:p>
        </w:tc>
        <w:tc>
          <w:tcPr>
            <w:tcW w:w="4148" w:type="dxa"/>
          </w:tcPr>
          <w:p w:rsidR="000F4B12" w:rsidRDefault="000F4B12" w:rsidP="000F4B12">
            <w:pPr>
              <w:rPr>
                <w:rFonts w:hint="eastAsia"/>
              </w:rPr>
            </w:pPr>
            <w:r>
              <w:rPr>
                <w:rFonts w:hint="eastAsia"/>
              </w:rPr>
              <w:t>+ Interest cost</w:t>
            </w:r>
          </w:p>
        </w:tc>
      </w:tr>
      <w:tr w:rsidR="000F4B12" w:rsidTr="000F4B12">
        <w:tc>
          <w:tcPr>
            <w:tcW w:w="4148" w:type="dxa"/>
          </w:tcPr>
          <w:p w:rsidR="000F4B12" w:rsidRDefault="000F4B12" w:rsidP="000F4B12">
            <w:pPr>
              <w:rPr>
                <w:rFonts w:hint="eastAsia"/>
              </w:rPr>
            </w:pPr>
            <w:r>
              <w:rPr>
                <w:rFonts w:hint="eastAsia"/>
              </w:rPr>
              <w:t>- B</w:t>
            </w:r>
            <w:r>
              <w:t>enefits paid</w:t>
            </w:r>
          </w:p>
        </w:tc>
        <w:tc>
          <w:tcPr>
            <w:tcW w:w="4148" w:type="dxa"/>
          </w:tcPr>
          <w:p w:rsidR="000F4B12" w:rsidRDefault="000F4B12" w:rsidP="000F4B12">
            <w:pPr>
              <w:rPr>
                <w:rFonts w:hint="eastAsia"/>
              </w:rPr>
            </w:pPr>
            <w:r>
              <w:rPr>
                <w:rFonts w:hint="eastAsia"/>
              </w:rPr>
              <w:t>+</w:t>
            </w:r>
            <w:r>
              <w:t xml:space="preserve"> Past service cost</w:t>
            </w:r>
          </w:p>
        </w:tc>
      </w:tr>
      <w:tr w:rsidR="000F4B12" w:rsidTr="000F4B12">
        <w:tc>
          <w:tcPr>
            <w:tcW w:w="4148" w:type="dxa"/>
          </w:tcPr>
          <w:p w:rsidR="000F4B12" w:rsidRDefault="007A0DAE" w:rsidP="000F4B12">
            <w:pPr>
              <w:rPr>
                <w:rFonts w:hint="eastAsia"/>
              </w:rPr>
            </w:pPr>
            <w:r>
              <w:rPr>
                <w:rFonts w:hint="eastAsia"/>
              </w:rPr>
              <w:t>= Fair value at the end of the year</w:t>
            </w:r>
          </w:p>
        </w:tc>
        <w:tc>
          <w:tcPr>
            <w:tcW w:w="4148" w:type="dxa"/>
          </w:tcPr>
          <w:p w:rsidR="000F4B12" w:rsidRDefault="000F4B12" w:rsidP="000F4B12">
            <w:pPr>
              <w:rPr>
                <w:rFonts w:hint="eastAsia"/>
              </w:rPr>
            </w:pPr>
            <w:r>
              <w:rPr>
                <w:rFonts w:hint="eastAsia"/>
              </w:rPr>
              <w:t>+/- Actuarial losses/gains</w:t>
            </w:r>
          </w:p>
        </w:tc>
      </w:tr>
      <w:tr w:rsidR="000F4B12" w:rsidTr="000F4B12">
        <w:tc>
          <w:tcPr>
            <w:tcW w:w="4148" w:type="dxa"/>
          </w:tcPr>
          <w:p w:rsidR="000F4B12" w:rsidRDefault="000F4B12" w:rsidP="000F4B12">
            <w:pPr>
              <w:rPr>
                <w:rFonts w:hint="eastAsia"/>
              </w:rPr>
            </w:pPr>
          </w:p>
        </w:tc>
        <w:tc>
          <w:tcPr>
            <w:tcW w:w="4148" w:type="dxa"/>
          </w:tcPr>
          <w:p w:rsidR="000F4B12" w:rsidRDefault="000F4B12" w:rsidP="000F4B12">
            <w:pPr>
              <w:rPr>
                <w:rFonts w:hint="eastAsia"/>
              </w:rPr>
            </w:pPr>
            <w:r>
              <w:rPr>
                <w:rFonts w:hint="eastAsia"/>
              </w:rPr>
              <w:t xml:space="preserve">- </w:t>
            </w:r>
            <w:r>
              <w:t>Benefits paid</w:t>
            </w:r>
          </w:p>
        </w:tc>
      </w:tr>
      <w:tr w:rsidR="000F4B12" w:rsidTr="000F4B12">
        <w:tc>
          <w:tcPr>
            <w:tcW w:w="4148" w:type="dxa"/>
          </w:tcPr>
          <w:p w:rsidR="000F4B12" w:rsidRDefault="000F4B12" w:rsidP="000F4B12">
            <w:pPr>
              <w:rPr>
                <w:rFonts w:hint="eastAsia"/>
              </w:rPr>
            </w:pPr>
          </w:p>
        </w:tc>
        <w:tc>
          <w:tcPr>
            <w:tcW w:w="4148" w:type="dxa"/>
          </w:tcPr>
          <w:p w:rsidR="000F4B12" w:rsidRDefault="007A0DAE" w:rsidP="000F4B12">
            <w:pPr>
              <w:rPr>
                <w:rFonts w:hint="eastAsia"/>
              </w:rPr>
            </w:pPr>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pPr>
              <w:rPr>
                <w:rFonts w:hint="eastAsia"/>
              </w:rPr>
            </w:pPr>
            <w:r>
              <w:rPr>
                <w:rFonts w:hint="eastAsia"/>
              </w:rPr>
              <w:t>Difference is funded status of the plan.</w:t>
            </w:r>
          </w:p>
        </w:tc>
      </w:tr>
    </w:tbl>
    <w:p w:rsidR="000F4B12" w:rsidRDefault="000F4B12" w:rsidP="000F4B12"/>
    <w:p w:rsidR="007A0DAE" w:rsidRDefault="007A0DAE" w:rsidP="007A0DAE">
      <w:pPr>
        <w:pStyle w:val="ListParagraph"/>
        <w:numPr>
          <w:ilvl w:val="0"/>
          <w:numId w:val="49"/>
        </w:numPr>
        <w:ind w:firstLineChars="0"/>
        <w:rPr>
          <w:rFonts w:hint="eastAsia"/>
        </w:rPr>
      </w:pPr>
      <w:r>
        <w:rPr>
          <w:rFonts w:hint="eastAsia"/>
        </w:rPr>
        <w:t>Current service cost is the PV of benefits earned by the employees during the current period.</w:t>
      </w:r>
    </w:p>
    <w:p w:rsidR="007A0DAE" w:rsidRDefault="007A0DAE" w:rsidP="007A0DAE">
      <w:pPr>
        <w:pStyle w:val="ListParagraph"/>
        <w:numPr>
          <w:ilvl w:val="0"/>
          <w:numId w:val="49"/>
        </w:numPr>
        <w:ind w:firstLineChars="0"/>
      </w:pPr>
      <w:r>
        <w:t>Interest cost is PBO at the beginning of the year * discount rate</w:t>
      </w:r>
    </w:p>
    <w:p w:rsidR="007A0DAE" w:rsidRDefault="007A0DAE" w:rsidP="007A0DAE">
      <w:pPr>
        <w:pStyle w:val="ListParagraph"/>
        <w:numPr>
          <w:ilvl w:val="0"/>
          <w:numId w:val="49"/>
        </w:numPr>
        <w:ind w:firstLineChars="0"/>
      </w:pPr>
      <w:r>
        <w:t>Past service cost are retroactive benefits when a plan is initiated or amended.</w:t>
      </w:r>
    </w:p>
    <w:p w:rsidR="007A0DAE" w:rsidRDefault="007A0DAE" w:rsidP="007A0DAE">
      <w:pPr>
        <w:pStyle w:val="ListParagraph"/>
        <w:numPr>
          <w:ilvl w:val="0"/>
          <w:numId w:val="49"/>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BB5883">
      <w:pPr>
        <w:pStyle w:val="ListParagraph"/>
        <w:numPr>
          <w:ilvl w:val="0"/>
          <w:numId w:val="56"/>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BB5883">
      <w:pPr>
        <w:pStyle w:val="ListParagraph"/>
        <w:numPr>
          <w:ilvl w:val="0"/>
          <w:numId w:val="56"/>
        </w:numPr>
        <w:ind w:firstLineChars="0"/>
      </w:pPr>
      <w:r>
        <w:t xml:space="preserve">Actuarial losses/gains </w:t>
      </w:r>
      <w:r w:rsidR="00070C73">
        <w:t xml:space="preserve">are recorded in OCI and </w:t>
      </w:r>
      <w:r>
        <w:t>are amortized.</w:t>
      </w:r>
    </w:p>
    <w:p w:rsidR="00BB5883" w:rsidRDefault="00BB5883" w:rsidP="00BB5883">
      <w:pPr>
        <w:rPr>
          <w:rFonts w:hint="eastAsia"/>
        </w:rPr>
      </w:pPr>
      <w:r>
        <w:rPr>
          <w:rFonts w:hint="eastAsia"/>
        </w:rPr>
        <w:t>Both 1 and 2 are amortized using corridor approach.</w:t>
      </w:r>
    </w:p>
    <w:p w:rsidR="00BB5883" w:rsidRDefault="00BB5883" w:rsidP="00BB5883"/>
    <w:p w:rsidR="00BB5883" w:rsidRDefault="00BB5883" w:rsidP="00BB5883">
      <w:pPr>
        <w:rPr>
          <w:rFonts w:hint="eastAsia"/>
        </w:rPr>
      </w:pPr>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Periodic pension cost</w:t>
      </w:r>
      <w:r>
        <w:t xml:space="preserve"> </w:t>
      </w:r>
      <w:r w:rsidR="00956EB5">
        <w:t>= Current service cost + Interest cost (r * (PBO – asset))</w:t>
      </w:r>
      <w:r w:rsidR="00956EB5" w:rsidRPr="00956EB5">
        <w:rPr>
          <w:vertAlign w:val="superscript"/>
        </w:rPr>
        <w:t>1</w:t>
      </w:r>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pPr>
        <w:rPr>
          <w:rFonts w:hint="eastAsia"/>
        </w:rPr>
      </w:pPr>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Periodic pension cost</w:t>
      </w:r>
      <w:r w:rsidR="003267A7">
        <w:t xml:space="preserve"> </w:t>
      </w:r>
      <w:r w:rsidR="00956EB5">
        <w:t>= employer contribution – (ending funded status – beginning funded status)</w:t>
      </w:r>
    </w:p>
    <w:p w:rsidR="00317F5D" w:rsidRPr="003267A7" w:rsidRDefault="003267A7" w:rsidP="00BB5883">
      <w:r>
        <w:t>Total Periodic pension cost =</w:t>
      </w:r>
      <w:r>
        <w:t xml:space="preserve"> </w:t>
      </w:r>
      <w:r>
        <w:t>Periodic pension cost</w:t>
      </w:r>
      <w:r>
        <w:t xml:space="preserve"> (in P/L) + Periodic pension cost in OCI</w:t>
      </w:r>
    </w:p>
    <w:p w:rsidR="00317F5D" w:rsidRDefault="00317F5D" w:rsidP="00317F5D">
      <w:pPr>
        <w:pStyle w:val="Level3"/>
        <w:numPr>
          <w:ilvl w:val="2"/>
          <w:numId w:val="57"/>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pPr>
        <w:rPr>
          <w:rFonts w:hint="eastAsia"/>
        </w:rPr>
      </w:pPr>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rPr>
          <w:rFonts w:hint="eastAsia"/>
        </w:rPr>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bookmarkStart w:id="0" w:name="_GoBack"/>
      <w:bookmarkEnd w:id="0"/>
      <w:r>
        <w:t xml:space="preserve">(contributions - </w:t>
      </w:r>
      <w:r w:rsidR="00BF261E">
        <w:t>total period pension cost</w:t>
      </w:r>
      <w:r>
        <w:t>) should increase CFO, reduce CFF.</w:t>
      </w:r>
    </w:p>
    <w:p w:rsidR="00E700CC" w:rsidRDefault="00E700CC" w:rsidP="004B3263"/>
    <w:p w:rsidR="00E700CC" w:rsidRDefault="00E700CC" w:rsidP="00E700CC">
      <w:pPr>
        <w:pStyle w:val="Level3"/>
        <w:numPr>
          <w:ilvl w:val="2"/>
          <w:numId w:val="58"/>
        </w:numPr>
        <w:spacing w:after="156"/>
      </w:pPr>
      <w:r>
        <w:t>Explain how accounting for stock grants and stock options affects financial statements, and the importance of companies’ assumptions in valuing these grants and options.</w:t>
      </w:r>
    </w:p>
    <w:p w:rsidR="00E700CC" w:rsidRDefault="00E700CC" w:rsidP="004B3263">
      <w:pPr>
        <w:rPr>
          <w:rFonts w:hint="eastAsia"/>
        </w:rPr>
      </w:pPr>
      <w:r>
        <w:rPr>
          <w:rFonts w:hint="eastAsia"/>
        </w:rPr>
        <w:t>Stock Option</w:t>
      </w:r>
    </w:p>
    <w:p w:rsidR="00E700CC" w:rsidRDefault="00E700CC" w:rsidP="00E700CC">
      <w:pPr>
        <w:pStyle w:val="ListParagraph"/>
        <w:numPr>
          <w:ilvl w:val="0"/>
          <w:numId w:val="59"/>
        </w:numPr>
        <w:ind w:firstLineChars="0"/>
        <w:rPr>
          <w:rFonts w:hint="eastAsia"/>
        </w:rPr>
      </w:pPr>
      <w:r>
        <w:rPr>
          <w:rFonts w:hint="eastAsia"/>
        </w:rPr>
        <w:t>Characteristics: No cash transaction; Increase expense and reduce earnings.</w:t>
      </w:r>
    </w:p>
    <w:p w:rsidR="00E700CC" w:rsidRDefault="00E700CC" w:rsidP="00E700CC">
      <w:pPr>
        <w:pStyle w:val="ListParagraph"/>
        <w:numPr>
          <w:ilvl w:val="0"/>
          <w:numId w:val="59"/>
        </w:numPr>
        <w:ind w:firstLineChars="0"/>
      </w:pPr>
      <w:r>
        <w:t>Disadvantages:</w:t>
      </w:r>
    </w:p>
    <w:p w:rsidR="00E700CC" w:rsidRDefault="00E700CC" w:rsidP="00E700CC">
      <w:pPr>
        <w:pStyle w:val="ListParagraph"/>
        <w:numPr>
          <w:ilvl w:val="1"/>
          <w:numId w:val="59"/>
        </w:numPr>
        <w:ind w:firstLineChars="0"/>
      </w:pPr>
      <w:r>
        <w:t>Employee has limited influence over share price.</w:t>
      </w:r>
    </w:p>
    <w:p w:rsidR="00E700CC" w:rsidRDefault="00E700CC" w:rsidP="00E700CC">
      <w:pPr>
        <w:pStyle w:val="ListParagraph"/>
        <w:numPr>
          <w:ilvl w:val="1"/>
          <w:numId w:val="59"/>
        </w:numPr>
        <w:ind w:firstLineChars="0"/>
      </w:pPr>
      <w:r>
        <w:t>Increase employee’s share ownership.</w:t>
      </w:r>
    </w:p>
    <w:p w:rsidR="00E700CC" w:rsidRDefault="00E700CC" w:rsidP="00E700CC">
      <w:pPr>
        <w:pStyle w:val="ListParagraph"/>
        <w:numPr>
          <w:ilvl w:val="1"/>
          <w:numId w:val="59"/>
        </w:numPr>
        <w:ind w:firstLineChars="0"/>
      </w:pPr>
      <w:r>
        <w:t>Existing shareholder’s ownership is diluted.</w:t>
      </w:r>
    </w:p>
    <w:p w:rsidR="00E700CC" w:rsidRDefault="00E700CC" w:rsidP="00E700CC">
      <w:pPr>
        <w:pStyle w:val="ListParagraph"/>
        <w:numPr>
          <w:ilvl w:val="1"/>
          <w:numId w:val="59"/>
        </w:numPr>
        <w:ind w:firstLineChars="0"/>
      </w:pPr>
      <w:r>
        <w:t>Disclosures are required.</w:t>
      </w:r>
    </w:p>
    <w:p w:rsidR="00E700CC" w:rsidRDefault="00E700CC" w:rsidP="00E700CC">
      <w:pPr>
        <w:pStyle w:val="ListParagraph"/>
        <w:numPr>
          <w:ilvl w:val="0"/>
          <w:numId w:val="60"/>
        </w:numPr>
        <w:ind w:firstLineChars="0"/>
        <w:rPr>
          <w:rFonts w:hint="eastAsia"/>
        </w:rPr>
      </w:pPr>
      <w:r>
        <w:rPr>
          <w:rFonts w:hint="eastAsia"/>
        </w:rPr>
        <w:t>Valuation method:</w:t>
      </w:r>
    </w:p>
    <w:p w:rsidR="00E700CC" w:rsidRDefault="00E700CC" w:rsidP="00E700CC">
      <w:pPr>
        <w:pStyle w:val="ListParagraph"/>
        <w:numPr>
          <w:ilvl w:val="1"/>
          <w:numId w:val="60"/>
        </w:numPr>
        <w:ind w:firstLineChars="0"/>
      </w:pPr>
      <w:r>
        <w:t>Market value</w:t>
      </w:r>
    </w:p>
    <w:p w:rsidR="00E700CC" w:rsidRDefault="00E700CC" w:rsidP="009050FA">
      <w:pPr>
        <w:pStyle w:val="ListParagraph"/>
        <w:numPr>
          <w:ilvl w:val="1"/>
          <w:numId w:val="60"/>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E700CC">
      <w:pPr>
        <w:pStyle w:val="ListParagraph"/>
        <w:numPr>
          <w:ilvl w:val="1"/>
          <w:numId w:val="60"/>
        </w:numPr>
        <w:ind w:firstLineChars="0"/>
      </w:pPr>
      <w:r>
        <w:t>Binominal model</w:t>
      </w:r>
    </w:p>
    <w:p w:rsidR="00E700CC" w:rsidRDefault="00E700CC" w:rsidP="00E700CC">
      <w:pPr>
        <w:pStyle w:val="ListParagraph"/>
        <w:numPr>
          <w:ilvl w:val="1"/>
          <w:numId w:val="60"/>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9050FA">
      <w:pPr>
        <w:pStyle w:val="ListParagraph"/>
        <w:numPr>
          <w:ilvl w:val="0"/>
          <w:numId w:val="60"/>
        </w:numPr>
        <w:ind w:firstLineChars="0"/>
        <w:rPr>
          <w:rFonts w:hint="eastAsia"/>
        </w:rPr>
      </w:pPr>
      <w:r>
        <w:rPr>
          <w:rFonts w:hint="eastAsia"/>
        </w:rPr>
        <w:t>Advantages: Avoid dilution; Less risk aversion</w:t>
      </w:r>
    </w:p>
    <w:p w:rsidR="009050FA" w:rsidRDefault="009050FA" w:rsidP="009050FA">
      <w:pPr>
        <w:pStyle w:val="ListParagraph"/>
        <w:numPr>
          <w:ilvl w:val="0"/>
          <w:numId w:val="60"/>
        </w:numPr>
        <w:ind w:firstLineChars="0"/>
      </w:pPr>
      <w:r>
        <w:t>Disadvantage: Cash outflows</w:t>
      </w:r>
    </w:p>
    <w:p w:rsidR="009050FA" w:rsidRDefault="009050FA" w:rsidP="009050FA"/>
    <w:p w:rsidR="009050FA" w:rsidRPr="00E700CC" w:rsidRDefault="009050FA" w:rsidP="009050FA">
      <w:pPr>
        <w:rPr>
          <w:rFonts w:hint="eastAsia"/>
        </w:rPr>
      </w:pPr>
      <w:r>
        <w:rPr>
          <w:rFonts w:hint="eastAsia"/>
        </w:rPr>
        <w:t>Phantom stock: Phantom stock is similar to stock appreciation rights except the payoff is based on the performance of hypothetical stock instead of the firm</w:t>
      </w:r>
      <w:r>
        <w:t>’s actual share.</w:t>
      </w:r>
    </w:p>
    <w:sectPr w:rsidR="009050FA" w:rsidRPr="00E700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784807"/>
    <w:multiLevelType w:val="multilevel"/>
    <w:tmpl w:val="294499B4"/>
    <w:lvl w:ilvl="0">
      <w:start w:val="2"/>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DF70F6B"/>
    <w:multiLevelType w:val="hybridMultilevel"/>
    <w:tmpl w:val="F434005C"/>
    <w:lvl w:ilvl="0" w:tplc="3F286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3CD415C"/>
    <w:multiLevelType w:val="hybridMultilevel"/>
    <w:tmpl w:val="68BC5A36"/>
    <w:lvl w:ilvl="0" w:tplc="3D9AA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4B95F49"/>
    <w:multiLevelType w:val="hybridMultilevel"/>
    <w:tmpl w:val="C4848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2"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4"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72C22FD"/>
    <w:multiLevelType w:val="hybridMultilevel"/>
    <w:tmpl w:val="BD90B3A4"/>
    <w:lvl w:ilvl="0" w:tplc="82AC8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8"/>
  </w:num>
  <w:num w:numId="2">
    <w:abstractNumId w:val="4"/>
  </w:num>
  <w:num w:numId="3">
    <w:abstractNumId w:val="8"/>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36"/>
  </w:num>
  <w:num w:numId="6">
    <w:abstractNumId w:val="44"/>
  </w:num>
  <w:num w:numId="7">
    <w:abstractNumId w:val="19"/>
  </w:num>
  <w:num w:numId="8">
    <w:abstractNumId w:val="46"/>
  </w:num>
  <w:num w:numId="9">
    <w:abstractNumId w:val="13"/>
  </w:num>
  <w:num w:numId="10">
    <w:abstractNumId w:val="7"/>
  </w:num>
  <w:num w:numId="11">
    <w:abstractNumId w:val="12"/>
  </w:num>
  <w:num w:numId="12">
    <w:abstractNumId w:val="34"/>
  </w:num>
  <w:num w:numId="13">
    <w:abstractNumId w:val="8"/>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41"/>
  </w:num>
  <w:num w:numId="16">
    <w:abstractNumId w:val="48"/>
  </w:num>
  <w:num w:numId="17">
    <w:abstractNumId w:val="14"/>
  </w:num>
  <w:num w:numId="18">
    <w:abstractNumId w:val="10"/>
  </w:num>
  <w:num w:numId="19">
    <w:abstractNumId w:val="11"/>
  </w:num>
  <w:num w:numId="20">
    <w:abstractNumId w:val="6"/>
  </w:num>
  <w:num w:numId="21">
    <w:abstractNumId w:val="22"/>
  </w:num>
  <w:num w:numId="22">
    <w:abstractNumId w:val="8"/>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num>
  <w:num w:numId="24">
    <w:abstractNumId w:val="0"/>
  </w:num>
  <w:num w:numId="25">
    <w:abstractNumId w:val="8"/>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35"/>
  </w:num>
  <w:num w:numId="28">
    <w:abstractNumId w:val="43"/>
  </w:num>
  <w:num w:numId="29">
    <w:abstractNumId w:val="9"/>
  </w:num>
  <w:num w:numId="30">
    <w:abstractNumId w:val="40"/>
  </w:num>
  <w:num w:numId="31">
    <w:abstractNumId w:val="3"/>
  </w:num>
  <w:num w:numId="32">
    <w:abstractNumId w:val="27"/>
  </w:num>
  <w:num w:numId="33">
    <w:abstractNumId w:val="2"/>
  </w:num>
  <w:num w:numId="34">
    <w:abstractNumId w:val="31"/>
  </w:num>
  <w:num w:numId="35">
    <w:abstractNumId w:val="17"/>
  </w:num>
  <w:num w:numId="36">
    <w:abstractNumId w:val="18"/>
  </w:num>
  <w:num w:numId="37">
    <w:abstractNumId w:val="33"/>
  </w:num>
  <w:num w:numId="38">
    <w:abstractNumId w:val="21"/>
  </w:num>
  <w:num w:numId="39">
    <w:abstractNumId w:val="42"/>
  </w:num>
  <w:num w:numId="40">
    <w:abstractNumId w:val="32"/>
  </w:num>
  <w:num w:numId="41">
    <w:abstractNumId w:val="28"/>
  </w:num>
  <w:num w:numId="42">
    <w:abstractNumId w:val="8"/>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1"/>
  </w:num>
  <w:num w:numId="47">
    <w:abstractNumId w:val="24"/>
  </w:num>
  <w:num w:numId="48">
    <w:abstractNumId w:val="8"/>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
  </w:num>
  <w:num w:numId="50">
    <w:abstractNumId w:val="47"/>
  </w:num>
  <w:num w:numId="51">
    <w:abstractNumId w:val="26"/>
  </w:num>
  <w:num w:numId="52">
    <w:abstractNumId w:val="30"/>
  </w:num>
  <w:num w:numId="53">
    <w:abstractNumId w:val="29"/>
  </w:num>
  <w:num w:numId="54">
    <w:abstractNumId w:val="45"/>
  </w:num>
  <w:num w:numId="55">
    <w:abstractNumId w:val="8"/>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0"/>
  </w:num>
  <w:num w:numId="57">
    <w:abstractNumId w:val="8"/>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8"/>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5"/>
  </w:num>
  <w:num w:numId="60">
    <w:abstractNumId w:val="3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501D7"/>
    <w:rsid w:val="0005263B"/>
    <w:rsid w:val="00052B85"/>
    <w:rsid w:val="000570B4"/>
    <w:rsid w:val="000701FA"/>
    <w:rsid w:val="00070C73"/>
    <w:rsid w:val="000B243D"/>
    <w:rsid w:val="000B350A"/>
    <w:rsid w:val="000B3627"/>
    <w:rsid w:val="000E126E"/>
    <w:rsid w:val="000E2096"/>
    <w:rsid w:val="000E44C4"/>
    <w:rsid w:val="000F4B12"/>
    <w:rsid w:val="00101A99"/>
    <w:rsid w:val="001202CD"/>
    <w:rsid w:val="001255A3"/>
    <w:rsid w:val="0012721B"/>
    <w:rsid w:val="00132B88"/>
    <w:rsid w:val="00134635"/>
    <w:rsid w:val="00154F68"/>
    <w:rsid w:val="001B5487"/>
    <w:rsid w:val="001B7134"/>
    <w:rsid w:val="001C1432"/>
    <w:rsid w:val="001C4317"/>
    <w:rsid w:val="001D021E"/>
    <w:rsid w:val="001D0B87"/>
    <w:rsid w:val="00203003"/>
    <w:rsid w:val="00204AE0"/>
    <w:rsid w:val="00215022"/>
    <w:rsid w:val="00246770"/>
    <w:rsid w:val="00257B6C"/>
    <w:rsid w:val="00280739"/>
    <w:rsid w:val="00290D82"/>
    <w:rsid w:val="00294B50"/>
    <w:rsid w:val="002960F8"/>
    <w:rsid w:val="002A2A9B"/>
    <w:rsid w:val="002D587E"/>
    <w:rsid w:val="002E6255"/>
    <w:rsid w:val="002F1C07"/>
    <w:rsid w:val="002F7EB9"/>
    <w:rsid w:val="00305900"/>
    <w:rsid w:val="00306DA1"/>
    <w:rsid w:val="0031243D"/>
    <w:rsid w:val="0031575C"/>
    <w:rsid w:val="00317F5D"/>
    <w:rsid w:val="00320EB6"/>
    <w:rsid w:val="00320ED6"/>
    <w:rsid w:val="00325FF5"/>
    <w:rsid w:val="003267A7"/>
    <w:rsid w:val="00345794"/>
    <w:rsid w:val="00347A75"/>
    <w:rsid w:val="00350161"/>
    <w:rsid w:val="0036091B"/>
    <w:rsid w:val="00360F07"/>
    <w:rsid w:val="00374FBB"/>
    <w:rsid w:val="0038628A"/>
    <w:rsid w:val="003A0254"/>
    <w:rsid w:val="003B5CCE"/>
    <w:rsid w:val="003B6CFB"/>
    <w:rsid w:val="003D3103"/>
    <w:rsid w:val="003D56C0"/>
    <w:rsid w:val="003E2C07"/>
    <w:rsid w:val="003E459D"/>
    <w:rsid w:val="003F64BE"/>
    <w:rsid w:val="00402384"/>
    <w:rsid w:val="00410DF3"/>
    <w:rsid w:val="00444503"/>
    <w:rsid w:val="00456CA8"/>
    <w:rsid w:val="00460FFE"/>
    <w:rsid w:val="00463778"/>
    <w:rsid w:val="00463C33"/>
    <w:rsid w:val="0048016C"/>
    <w:rsid w:val="00495CD4"/>
    <w:rsid w:val="004B3263"/>
    <w:rsid w:val="004C11F1"/>
    <w:rsid w:val="004C301A"/>
    <w:rsid w:val="004E3F72"/>
    <w:rsid w:val="004E4174"/>
    <w:rsid w:val="004F12B0"/>
    <w:rsid w:val="00500E1D"/>
    <w:rsid w:val="0050322A"/>
    <w:rsid w:val="0050639C"/>
    <w:rsid w:val="00513616"/>
    <w:rsid w:val="00515653"/>
    <w:rsid w:val="00516D4C"/>
    <w:rsid w:val="00523ABC"/>
    <w:rsid w:val="00540A2A"/>
    <w:rsid w:val="00544AC6"/>
    <w:rsid w:val="00562FCF"/>
    <w:rsid w:val="005673BB"/>
    <w:rsid w:val="005767CB"/>
    <w:rsid w:val="00580BA6"/>
    <w:rsid w:val="0058329C"/>
    <w:rsid w:val="005846B5"/>
    <w:rsid w:val="005853A2"/>
    <w:rsid w:val="00586F43"/>
    <w:rsid w:val="00591F8C"/>
    <w:rsid w:val="00596200"/>
    <w:rsid w:val="005A2628"/>
    <w:rsid w:val="005B2223"/>
    <w:rsid w:val="005C78A1"/>
    <w:rsid w:val="005D7202"/>
    <w:rsid w:val="005E635F"/>
    <w:rsid w:val="005F5459"/>
    <w:rsid w:val="00600887"/>
    <w:rsid w:val="00600C54"/>
    <w:rsid w:val="0062408B"/>
    <w:rsid w:val="00640D54"/>
    <w:rsid w:val="00660167"/>
    <w:rsid w:val="0066072A"/>
    <w:rsid w:val="006622B6"/>
    <w:rsid w:val="00662CA5"/>
    <w:rsid w:val="006757CF"/>
    <w:rsid w:val="00695AFC"/>
    <w:rsid w:val="006A1718"/>
    <w:rsid w:val="006A787C"/>
    <w:rsid w:val="006C135E"/>
    <w:rsid w:val="006D151C"/>
    <w:rsid w:val="006D3233"/>
    <w:rsid w:val="006E4FC9"/>
    <w:rsid w:val="006F3026"/>
    <w:rsid w:val="006F5583"/>
    <w:rsid w:val="00715010"/>
    <w:rsid w:val="0071713E"/>
    <w:rsid w:val="00724723"/>
    <w:rsid w:val="00732468"/>
    <w:rsid w:val="007334D9"/>
    <w:rsid w:val="00734705"/>
    <w:rsid w:val="007370D4"/>
    <w:rsid w:val="00750BB0"/>
    <w:rsid w:val="00757B19"/>
    <w:rsid w:val="007614DB"/>
    <w:rsid w:val="00761F9A"/>
    <w:rsid w:val="007760F0"/>
    <w:rsid w:val="00780C4F"/>
    <w:rsid w:val="00780DD1"/>
    <w:rsid w:val="007818E6"/>
    <w:rsid w:val="00790AC7"/>
    <w:rsid w:val="007924CA"/>
    <w:rsid w:val="007A0DAE"/>
    <w:rsid w:val="007A35D8"/>
    <w:rsid w:val="007B00B1"/>
    <w:rsid w:val="007B0489"/>
    <w:rsid w:val="007B69A9"/>
    <w:rsid w:val="007D7051"/>
    <w:rsid w:val="007D76EC"/>
    <w:rsid w:val="007E5BB2"/>
    <w:rsid w:val="007F345E"/>
    <w:rsid w:val="0080259D"/>
    <w:rsid w:val="008032AB"/>
    <w:rsid w:val="00807A90"/>
    <w:rsid w:val="00813F79"/>
    <w:rsid w:val="0081498A"/>
    <w:rsid w:val="00831664"/>
    <w:rsid w:val="008461AA"/>
    <w:rsid w:val="00864259"/>
    <w:rsid w:val="00865CB2"/>
    <w:rsid w:val="00877725"/>
    <w:rsid w:val="00891E23"/>
    <w:rsid w:val="00892EA8"/>
    <w:rsid w:val="008A59EE"/>
    <w:rsid w:val="008A7BA8"/>
    <w:rsid w:val="008B31CD"/>
    <w:rsid w:val="008B73AD"/>
    <w:rsid w:val="008C5483"/>
    <w:rsid w:val="00902BE5"/>
    <w:rsid w:val="009050FA"/>
    <w:rsid w:val="00906CE5"/>
    <w:rsid w:val="00907043"/>
    <w:rsid w:val="00922D7A"/>
    <w:rsid w:val="00924531"/>
    <w:rsid w:val="0092521A"/>
    <w:rsid w:val="00954BBA"/>
    <w:rsid w:val="00956EB5"/>
    <w:rsid w:val="00972837"/>
    <w:rsid w:val="009767DB"/>
    <w:rsid w:val="0098519B"/>
    <w:rsid w:val="0098747C"/>
    <w:rsid w:val="00993802"/>
    <w:rsid w:val="00994E5F"/>
    <w:rsid w:val="009B7C5F"/>
    <w:rsid w:val="009D5F6B"/>
    <w:rsid w:val="009E159E"/>
    <w:rsid w:val="009F07A0"/>
    <w:rsid w:val="00A21EAC"/>
    <w:rsid w:val="00A41EBF"/>
    <w:rsid w:val="00A43F2A"/>
    <w:rsid w:val="00A466F5"/>
    <w:rsid w:val="00A5711E"/>
    <w:rsid w:val="00A72B40"/>
    <w:rsid w:val="00A74ABD"/>
    <w:rsid w:val="00A75CA9"/>
    <w:rsid w:val="00A83D5F"/>
    <w:rsid w:val="00A95554"/>
    <w:rsid w:val="00AA0F56"/>
    <w:rsid w:val="00AA6F1F"/>
    <w:rsid w:val="00AB0881"/>
    <w:rsid w:val="00AB2DC0"/>
    <w:rsid w:val="00AB2EDD"/>
    <w:rsid w:val="00AB3F8B"/>
    <w:rsid w:val="00AC1BB9"/>
    <w:rsid w:val="00AE6C86"/>
    <w:rsid w:val="00AF0484"/>
    <w:rsid w:val="00AF38AA"/>
    <w:rsid w:val="00AF46A3"/>
    <w:rsid w:val="00AF5F44"/>
    <w:rsid w:val="00AF775A"/>
    <w:rsid w:val="00B02717"/>
    <w:rsid w:val="00B15563"/>
    <w:rsid w:val="00B17D53"/>
    <w:rsid w:val="00B2385E"/>
    <w:rsid w:val="00B34C82"/>
    <w:rsid w:val="00B47456"/>
    <w:rsid w:val="00B47A19"/>
    <w:rsid w:val="00B54B5D"/>
    <w:rsid w:val="00B71486"/>
    <w:rsid w:val="00B873AA"/>
    <w:rsid w:val="00B92DC7"/>
    <w:rsid w:val="00B96884"/>
    <w:rsid w:val="00BB5883"/>
    <w:rsid w:val="00BC07DD"/>
    <w:rsid w:val="00BC5830"/>
    <w:rsid w:val="00BC63B1"/>
    <w:rsid w:val="00BD2016"/>
    <w:rsid w:val="00BD424E"/>
    <w:rsid w:val="00BE740D"/>
    <w:rsid w:val="00BE7E09"/>
    <w:rsid w:val="00BF13B4"/>
    <w:rsid w:val="00BF261E"/>
    <w:rsid w:val="00C01A54"/>
    <w:rsid w:val="00C06711"/>
    <w:rsid w:val="00C20CDC"/>
    <w:rsid w:val="00C26A42"/>
    <w:rsid w:val="00C272BE"/>
    <w:rsid w:val="00C36156"/>
    <w:rsid w:val="00C4502C"/>
    <w:rsid w:val="00C47E3F"/>
    <w:rsid w:val="00C56FA4"/>
    <w:rsid w:val="00C678D0"/>
    <w:rsid w:val="00CA474F"/>
    <w:rsid w:val="00CB5977"/>
    <w:rsid w:val="00CC2658"/>
    <w:rsid w:val="00CC28BA"/>
    <w:rsid w:val="00CE7D64"/>
    <w:rsid w:val="00CF43BA"/>
    <w:rsid w:val="00D165E2"/>
    <w:rsid w:val="00D224F7"/>
    <w:rsid w:val="00D22CDF"/>
    <w:rsid w:val="00D23806"/>
    <w:rsid w:val="00D434DD"/>
    <w:rsid w:val="00D450E5"/>
    <w:rsid w:val="00D465D0"/>
    <w:rsid w:val="00D466BE"/>
    <w:rsid w:val="00D53B85"/>
    <w:rsid w:val="00D54DEF"/>
    <w:rsid w:val="00D568DA"/>
    <w:rsid w:val="00D652BC"/>
    <w:rsid w:val="00D830A7"/>
    <w:rsid w:val="00D840FD"/>
    <w:rsid w:val="00DA0562"/>
    <w:rsid w:val="00DA0BBA"/>
    <w:rsid w:val="00DB4670"/>
    <w:rsid w:val="00DE6F0F"/>
    <w:rsid w:val="00DF1827"/>
    <w:rsid w:val="00DF5B05"/>
    <w:rsid w:val="00E0256D"/>
    <w:rsid w:val="00E04863"/>
    <w:rsid w:val="00E25B17"/>
    <w:rsid w:val="00E53130"/>
    <w:rsid w:val="00E653E7"/>
    <w:rsid w:val="00E67DB6"/>
    <w:rsid w:val="00E700CC"/>
    <w:rsid w:val="00E9415F"/>
    <w:rsid w:val="00EC2981"/>
    <w:rsid w:val="00EE7038"/>
    <w:rsid w:val="00EF49A6"/>
    <w:rsid w:val="00EF5D5A"/>
    <w:rsid w:val="00EF5EF8"/>
    <w:rsid w:val="00F0104C"/>
    <w:rsid w:val="00F014F5"/>
    <w:rsid w:val="00F14226"/>
    <w:rsid w:val="00F2484C"/>
    <w:rsid w:val="00F43AAE"/>
    <w:rsid w:val="00F44526"/>
    <w:rsid w:val="00F67B2D"/>
    <w:rsid w:val="00F80A82"/>
    <w:rsid w:val="00F90B8A"/>
    <w:rsid w:val="00FE2E21"/>
    <w:rsid w:val="00FF128A"/>
    <w:rsid w:val="00FF5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45"/>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45"/>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B15563"/>
    <w:pPr>
      <w:numPr>
        <w:ilvl w:val="2"/>
        <w:numId w:val="45"/>
      </w:numPr>
      <w:spacing w:afterLines="50" w:after="50"/>
      <w:ind w:firstLineChars="0"/>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B15563"/>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32FCE-000D-4D22-9ED8-803E78F23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7200</TotalTime>
  <Pages>32</Pages>
  <Words>8793</Words>
  <Characters>50124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58800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施文</cp:lastModifiedBy>
  <cp:revision>210</cp:revision>
  <cp:lastPrinted>2015-12-17T06:04:00Z</cp:lastPrinted>
  <dcterms:created xsi:type="dcterms:W3CDTF">2015-12-08T04:36:00Z</dcterms:created>
  <dcterms:modified xsi:type="dcterms:W3CDTF">2016-01-17T02:41:00Z</dcterms:modified>
</cp:coreProperties>
</file>