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10A" w:rsidRDefault="008B210A" w:rsidP="008B210A">
      <w:pPr>
        <w:pStyle w:val="Level1"/>
      </w:pPr>
      <w:r>
        <w:rPr>
          <w:rFonts w:hint="eastAsia"/>
        </w:rPr>
        <w:t>Ethical and Professional Standards</w:t>
      </w:r>
    </w:p>
    <w:p w:rsidR="008B210A" w:rsidRDefault="008B210A" w:rsidP="008B210A">
      <w:pPr>
        <w:pStyle w:val="Level2"/>
        <w:numPr>
          <w:ilvl w:val="1"/>
          <w:numId w:val="133"/>
        </w:numPr>
      </w:pPr>
      <w:r>
        <w:rPr>
          <w:rFonts w:hint="eastAsia"/>
        </w:rPr>
        <w:t xml:space="preserve">CFA </w:t>
      </w:r>
      <w:r>
        <w:t>Institute</w:t>
      </w:r>
      <w:r>
        <w:rPr>
          <w:rFonts w:hint="eastAsia"/>
        </w:rPr>
        <w:t xml:space="preserve"> Research</w:t>
      </w:r>
      <w:r>
        <w:t xml:space="preserve"> Objectivity Standards</w:t>
      </w:r>
    </w:p>
    <w:p w:rsidR="008B210A" w:rsidRDefault="008B210A" w:rsidP="008B210A">
      <w:r>
        <w:rPr>
          <w:rFonts w:hint="eastAsia"/>
        </w:rPr>
        <w:t>Recommendations</w:t>
      </w:r>
    </w:p>
    <w:p w:rsidR="008B210A" w:rsidRDefault="008B210A" w:rsidP="008B210A">
      <w:pPr>
        <w:pStyle w:val="ListParagraph"/>
        <w:numPr>
          <w:ilvl w:val="0"/>
          <w:numId w:val="134"/>
        </w:numPr>
        <w:ind w:firstLineChars="0"/>
      </w:pPr>
      <w:r>
        <w:rPr>
          <w:rFonts w:hint="eastAsia"/>
        </w:rPr>
        <w:t>Quiet periods of 30 days from issuance for IPOs and 10 days from issuance for secondary offerings are recommended.</w:t>
      </w:r>
    </w:p>
    <w:p w:rsidR="008B210A" w:rsidRDefault="008B210A" w:rsidP="008B210A">
      <w:pPr>
        <w:pStyle w:val="ListParagraph"/>
        <w:numPr>
          <w:ilvl w:val="0"/>
          <w:numId w:val="134"/>
        </w:numPr>
        <w:ind w:firstLineChars="0"/>
      </w:pPr>
      <w:r>
        <w:t>Restricted periods of at least 30 days before and 5 days after report issuance are recommended.</w:t>
      </w:r>
    </w:p>
    <w:p w:rsidR="001861C5" w:rsidRDefault="001861C5" w:rsidP="008B210A">
      <w:pPr>
        <w:pStyle w:val="ListParagraph"/>
        <w:numPr>
          <w:ilvl w:val="0"/>
          <w:numId w:val="134"/>
        </w:numPr>
        <w:ind w:firstLineChars="0"/>
      </w:pPr>
      <w:r>
        <w:t>It’s recommended that covered employees be required to hold securities for a minimum of 60 days.</w:t>
      </w:r>
    </w:p>
    <w:p w:rsidR="00A81A09" w:rsidRDefault="00A81A09" w:rsidP="008B210A">
      <w:pPr>
        <w:pStyle w:val="ListParagraph"/>
        <w:numPr>
          <w:ilvl w:val="0"/>
          <w:numId w:val="134"/>
        </w:numPr>
        <w:ind w:firstLineChars="0"/>
      </w:pPr>
      <w:r>
        <w:t>It’s recommended that reports and recommendations be issued at least quarterly.</w:t>
      </w:r>
    </w:p>
    <w:p w:rsidR="00C07F29" w:rsidRDefault="00C07F29" w:rsidP="008B210A">
      <w:pPr>
        <w:pStyle w:val="ListParagraph"/>
        <w:numPr>
          <w:ilvl w:val="0"/>
          <w:numId w:val="134"/>
        </w:numPr>
        <w:ind w:firstLineChars="0"/>
      </w:pPr>
      <w:r>
        <w:t>When coverage of a subject company is discontinued, firms should require the research analyst to issue a ‘final’ research report.</w:t>
      </w:r>
      <w:r w:rsidR="004D72DD">
        <w:t xml:space="preserve"> The final report should explain the reason for discontinuing coverage.</w:t>
      </w:r>
      <w:bookmarkStart w:id="0" w:name="_GoBack"/>
      <w:bookmarkEnd w:id="0"/>
    </w:p>
    <w:p w:rsidR="008F6F09" w:rsidRPr="008B210A" w:rsidRDefault="008F6F09" w:rsidP="008B210A">
      <w:pPr>
        <w:pStyle w:val="ListParagraph"/>
        <w:numPr>
          <w:ilvl w:val="0"/>
          <w:numId w:val="134"/>
        </w:numPr>
        <w:ind w:firstLineChars="0"/>
      </w:pPr>
      <w:r>
        <w:t>Firms should implement a rating system that incorporates the following: 1) recommendation or rating categories, 2) time horizon categories, 3) risk categories.</w:t>
      </w:r>
    </w:p>
    <w:p w:rsidR="008B210A" w:rsidRDefault="008B210A" w:rsidP="008B210A">
      <w:pPr>
        <w:pStyle w:val="Level2"/>
        <w:rPr>
          <w:kern w:val="44"/>
          <w:szCs w:val="44"/>
        </w:rPr>
      </w:pPr>
      <w:r>
        <w:br w:type="page"/>
      </w:r>
    </w:p>
    <w:p w:rsidR="00E04863" w:rsidRPr="00F90B8A" w:rsidRDefault="005767CB" w:rsidP="004E271F">
      <w:pPr>
        <w:pStyle w:val="Level1"/>
      </w:pPr>
      <w:r w:rsidRPr="00F90B8A">
        <w:rPr>
          <w:rFonts w:hint="eastAsia"/>
        </w:rPr>
        <w:lastRenderedPageBreak/>
        <w:t>Quantitative Methods for Valuation</w:t>
      </w:r>
    </w:p>
    <w:p w:rsidR="005767CB" w:rsidRPr="00F90B8A" w:rsidRDefault="005767CB" w:rsidP="004E1C97">
      <w:pPr>
        <w:pStyle w:val="Level2"/>
        <w:numPr>
          <w:ilvl w:val="1"/>
          <w:numId w:val="100"/>
        </w:numPr>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4D72DD"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4D72DD"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4D72DD"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4D72DD"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4D72DD"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4D72DD"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4D72DD"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4D72DD"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D6321E" w:rsidRDefault="00D6321E" w:rsidP="0038628A">
      <w:r>
        <w:t>Or the correlations between independent variables are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4D72DD"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4D72DD"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4D72DD"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r w:rsidR="00093DAC">
        <w:t xml:space="preserve"> (11.f)</w:t>
      </w:r>
      <w:r>
        <w:t>.</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4D72DD"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4D72DD"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4D72DD"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4D72DD"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4D72DD"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4D72DD"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4D72DD"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4D72DD"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4D72DD"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4D72DD"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 xml:space="preserve">Neither </w:t>
      </w:r>
      <w:r w:rsidR="000A713B">
        <w:t xml:space="preserve">of </w:t>
      </w:r>
      <w:r>
        <w:t>time series is covariance stationary, and the two series are not cointegrated.</w:t>
      </w:r>
    </w:p>
    <w:p w:rsidR="00AB3F8B" w:rsidRDefault="00AB3F8B" w:rsidP="004C11F1">
      <w:pPr>
        <w:pStyle w:val="ListParagraph"/>
        <w:numPr>
          <w:ilvl w:val="0"/>
          <w:numId w:val="16"/>
        </w:numPr>
        <w:ind w:firstLineChars="0"/>
      </w:pPr>
      <w:r>
        <w:t>Neither</w:t>
      </w:r>
      <w:r w:rsidR="000A713B">
        <w:t xml:space="preserve"> of</w:t>
      </w:r>
      <w:r>
        <w:t xml:space="preserve">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w:t>
      </w:r>
      <w:r w:rsidR="005B7E5E">
        <w:t>re’re 3 approaches to specify</w:t>
      </w:r>
      <w:r>
        <w:t xml:space="preserve">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r>
        <w:rPr>
          <w:rFonts w:hint="eastAsia"/>
        </w:rPr>
        <w:t>Risk-Adjusted Value</w:t>
      </w:r>
    </w:p>
    <w:p w:rsidR="00596200" w:rsidRDefault="00596200" w:rsidP="00596200">
      <w:r>
        <w:t xml:space="preserve">If we have already incorporated the risk of the asset in the discount rate, care should be taken to </w:t>
      </w:r>
      <w:r>
        <w:lastRenderedPageBreak/>
        <w:t>ensure that such risk is not double counted.</w:t>
      </w:r>
    </w:p>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w:t>
      </w:r>
      <w:r w:rsidR="00503409">
        <w:t>y</w:t>
      </w:r>
      <w:r>
        <w:t xml:space="preserve">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4D72DD"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9A1436" w:rsidP="004C11F1">
      <w:pPr>
        <w:pStyle w:val="ListParagraph"/>
        <w:numPr>
          <w:ilvl w:val="0"/>
          <w:numId w:val="29"/>
        </w:numPr>
        <w:ind w:firstLineChars="0"/>
      </w:pPr>
      <w:r>
        <w:rPr>
          <w:rFonts w:hint="eastAsia"/>
        </w:rPr>
        <w:t>Macroeconomic balance approach estimates how much exchange rates need to adjust in order to close the gap between the medium-term expectation for a country</w:t>
      </w:r>
      <w:r>
        <w:t>’s current account imbalance and that country’s normal current account imbalance.</w:t>
      </w:r>
    </w:p>
    <w:p w:rsidR="00C47E3F" w:rsidRDefault="00C47E3F" w:rsidP="004C11F1">
      <w:pPr>
        <w:pStyle w:val="ListParagraph"/>
        <w:numPr>
          <w:ilvl w:val="0"/>
          <w:numId w:val="29"/>
        </w:numPr>
        <w:ind w:firstLineChars="0"/>
      </w:pPr>
      <w:r>
        <w:t>E</w:t>
      </w:r>
      <w:r w:rsidR="0082560F">
        <w:t>xternal sustainability approach focuses on stocks of outstanding assets or debt rather than on current account flows. It calculates how much exchange rates would need to adjust to ensure that a country’s net foreign-asset/GDP ratio or foreign-liability/GDP ratio stabilizes at some benchmark level.</w:t>
      </w:r>
    </w:p>
    <w:p w:rsidR="00C47E3F" w:rsidRDefault="00C47E3F" w:rsidP="004C11F1">
      <w:pPr>
        <w:pStyle w:val="ListParagraph"/>
        <w:numPr>
          <w:ilvl w:val="0"/>
          <w:numId w:val="29"/>
        </w:numPr>
        <w:ind w:firstLineChars="0"/>
      </w:pPr>
      <w:r>
        <w:t>Reduced-</w:t>
      </w:r>
      <w:r w:rsidR="0082560F">
        <w:t xml:space="preserve">form econometric model approach seeks to estimate the equilibrium path that a currency should take on the basis of the trends in several macroeconomic </w:t>
      </w:r>
      <w:r w:rsidR="00C06A60">
        <w:t>variables</w:t>
      </w:r>
      <w:r w:rsidR="0082560F">
        <w:t>.</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 xml:space="preserve">-Fleming model evaluates the impact of monetary and fiscal policies on interest rates and </w:t>
      </w:r>
      <w:r w:rsidR="00BF13B4">
        <w:lastRenderedPageBreak/>
        <w:t>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7E73E0" w:rsidRDefault="007E73E0" w:rsidP="00F44526"/>
    <w:p w:rsidR="007E73E0" w:rsidRDefault="007E73E0" w:rsidP="007E73E0">
      <w:pPr>
        <w:pStyle w:val="Level3"/>
        <w:spacing w:after="156"/>
      </w:pPr>
      <w:r>
        <w:t>Describe objectives of central bank intervention and capital controls and describe the effectiveness of intervention and capital controls.</w:t>
      </w:r>
    </w:p>
    <w:p w:rsidR="00906CE5" w:rsidRDefault="007E73E0" w:rsidP="007E73E0">
      <w:pPr>
        <w:pStyle w:val="ListParagraph"/>
        <w:numPr>
          <w:ilvl w:val="0"/>
          <w:numId w:val="30"/>
        </w:numPr>
        <w:ind w:firstLineChars="0"/>
      </w:pPr>
      <w:r>
        <w:rPr>
          <w:rFonts w:hint="eastAsia"/>
        </w:rPr>
        <w:t>I</w:t>
      </w:r>
      <w:r>
        <w:t>f there is no inflation threat, the authorities could engage in unsterilized intervention, which would expand the monetary base and encourage short-term interest rates to move lower.</w:t>
      </w:r>
    </w:p>
    <w:p w:rsidR="007E73E0" w:rsidRDefault="00D326D6" w:rsidP="009F7214">
      <w:pPr>
        <w:pStyle w:val="ListParagraph"/>
        <w:numPr>
          <w:ilvl w:val="0"/>
          <w:numId w:val="30"/>
        </w:numPr>
        <w:ind w:firstLineChars="0"/>
      </w:pPr>
      <w:r>
        <w:t>Otherwise, in a sterilized intervention operation, the authorities would sell domestic securities to the private sector to mop up any excess liquidity. The result is that the monetary base and the level of short-term rates would not be altered.</w:t>
      </w:r>
    </w:p>
    <w:p w:rsidR="00906CE5" w:rsidRDefault="00906CE5" w:rsidP="00906CE5">
      <w:pPr>
        <w:pStyle w:val="Level2"/>
      </w:pPr>
      <w:r>
        <w:rPr>
          <w:rFonts w:hint="eastAsia"/>
        </w:rPr>
        <w:lastRenderedPageBreak/>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1240D4" w:rsidRDefault="001240D4"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17194D" w:rsidRDefault="0017194D" w:rsidP="0017194D">
      <w:pPr>
        <w:pStyle w:val="ListParagraph"/>
        <w:ind w:left="420" w:firstLineChars="0" w:firstLine="0"/>
      </w:pP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E619B8" w:rsidRDefault="00E619B8" w:rsidP="007924CA"/>
    <w:p w:rsidR="00E619B8" w:rsidRDefault="00E619B8" w:rsidP="007924CA">
      <w:r w:rsidRPr="0048527A">
        <w:rPr>
          <w:rFonts w:hint="eastAsia"/>
          <w:b/>
        </w:rPr>
        <w:t>Constant returns to scale</w:t>
      </w:r>
      <w:r>
        <w:rPr>
          <w:rFonts w:hint="eastAsia"/>
        </w:rPr>
        <w:t>: if we increase all inputs (K</w:t>
      </w:r>
      <w:r w:rsidR="004B0B7C">
        <w:t>, L</w:t>
      </w:r>
      <w:r>
        <w:rPr>
          <w:rFonts w:hint="eastAsia"/>
        </w:rPr>
        <w:t xml:space="preserve">) by the same percentage, then output rises by that </w:t>
      </w:r>
      <w:r w:rsidR="008A3382">
        <w:t>percentage</w:t>
      </w:r>
      <w:r>
        <w:rPr>
          <w:rFonts w:hint="eastAsia"/>
        </w:rPr>
        <w:t>.</w:t>
      </w:r>
    </w:p>
    <w:p w:rsidR="00E619B8" w:rsidRDefault="00E619B8" w:rsidP="007924CA"/>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pPr>
        <w:rPr>
          <w:sz w:val="28"/>
          <w:szCs w:val="28"/>
        </w:rPr>
      </w:pPr>
      <w:r>
        <w:lastRenderedPageBreak/>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A81E74" w:rsidRDefault="00A81E74" w:rsidP="007924CA">
      <w:r w:rsidRPr="00A81E74">
        <w:t xml:space="preserve">Growth in </w:t>
      </w:r>
      <w:r w:rsidRPr="00A81E74">
        <w:rPr>
          <w:rFonts w:hint="eastAsia"/>
        </w:rPr>
        <w:t xml:space="preserve">TFP = growth in labor productivity </w:t>
      </w:r>
      <w:r w:rsidRPr="00A81E74">
        <w:t>–</w:t>
      </w:r>
      <w:r w:rsidRPr="00A81E74">
        <w:rPr>
          <w:rFonts w:hint="eastAsia"/>
        </w:rPr>
        <w:t xml:space="preserve"> growth </w:t>
      </w:r>
      <w:r w:rsidRPr="00A81E74">
        <w:t>in capital deepening</w:t>
      </w:r>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945101" w:rsidRPr="00945101">
        <w:t xml:space="preserve">Solow’s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The ‘Dutch disease’ refers to a situation where global demand for a country’s natural resources 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 xml:space="preserve">Population growth increases when there’re increases in per capita income above subsistence level (the minimum income needed to maintain life). When real GDP per capita rises above </w:t>
      </w:r>
      <w:r>
        <w:lastRenderedPageBreak/>
        <w:t>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rFonts w:hint="eastAsia"/>
          <w:b/>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3B6E62" w:rsidRDefault="003B6E62"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b/>
        </w:rPr>
        <w:t>Sustainable growth of output</w:t>
      </w:r>
      <w:r w:rsidR="00B30454" w:rsidRPr="00CE4249">
        <w:rPr>
          <w:b/>
        </w:rPr>
        <w:t xml:space="preserve"> / Steady rate of growth</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Developing countries (lower capital to labor ratio) will be impacted less by diminishing 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C61F5" w:rsidRDefault="00F14226" w:rsidP="00F14226">
      <w:pPr>
        <w:rPr>
          <w:b/>
        </w:rPr>
      </w:pPr>
      <w:r w:rsidRPr="00FC61F5">
        <w:rPr>
          <w:rFonts w:hint="eastAsia"/>
          <w:b/>
        </w:rPr>
        <w:t xml:space="preserve">Under neoclassical </w:t>
      </w:r>
      <w:r w:rsidRPr="00FC61F5">
        <w:rPr>
          <w:b/>
        </w:rPr>
        <w:t>growth theory:</w:t>
      </w:r>
    </w:p>
    <w:p w:rsidR="00D465D0" w:rsidRDefault="00D465D0" w:rsidP="00D465D0">
      <w:r w:rsidRPr="00FC61F5">
        <w:rPr>
          <w:i/>
        </w:rPr>
        <w:t>Absolute convergence hypothesis</w:t>
      </w:r>
      <w:r>
        <w:t xml:space="preserve">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rsidRPr="00FC61F5">
        <w:rPr>
          <w:i/>
        </w:rPr>
        <w:t>Conditional convergence hypothesis</w:t>
      </w:r>
      <w:r>
        <w:t xml:space="preserve"> states that convergence in living standards will only occur for countries with the same saving rates, population growth rates and production functions.</w:t>
      </w:r>
    </w:p>
    <w:p w:rsidR="00F14226" w:rsidRDefault="00F14226" w:rsidP="00D465D0"/>
    <w:p w:rsidR="00D465D0" w:rsidRDefault="00D465D0" w:rsidP="00D465D0">
      <w:r w:rsidRPr="00FC61F5">
        <w:rPr>
          <w:i/>
        </w:rPr>
        <w:t>Under club convergence</w:t>
      </w:r>
      <w:r>
        <w:t>,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Pr="00FC61F5" w:rsidRDefault="00F14226" w:rsidP="00D465D0">
      <w:pPr>
        <w:rPr>
          <w:b/>
        </w:rPr>
      </w:pPr>
      <w:r w:rsidRPr="00FC61F5">
        <w:rPr>
          <w:b/>
        </w:rPr>
        <w:t>Under e</w:t>
      </w:r>
      <w:r w:rsidRPr="00FC61F5">
        <w:rPr>
          <w:rFonts w:hint="eastAsia"/>
          <w:b/>
        </w:rPr>
        <w:t>ndogenous</w:t>
      </w:r>
      <w:r w:rsidRPr="00FC61F5">
        <w:rPr>
          <w:b/>
        </w:rPr>
        <w:t xml:space="preserve"> growth theory:</w:t>
      </w:r>
    </w:p>
    <w:p w:rsidR="00F14226" w:rsidRDefault="00F14226" w:rsidP="00D465D0">
      <w:r>
        <w:t>It makes no prediction that convergence will occur.</w:t>
      </w:r>
    </w:p>
    <w:p w:rsidR="00CA474F" w:rsidRDefault="00CA474F" w:rsidP="00CA474F">
      <w:pPr>
        <w:pStyle w:val="Level2"/>
      </w:pPr>
      <w:r>
        <w:rPr>
          <w:rFonts w:hint="eastAsia"/>
        </w:rPr>
        <w:lastRenderedPageBreak/>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D39A6" w:rsidRDefault="00BD39A6" w:rsidP="00BD39A6">
      <w:pPr>
        <w:pStyle w:val="ListParagraph"/>
        <w:ind w:left="420" w:firstLineChars="0" w:firstLine="0"/>
      </w:pP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452C60" w:rsidRDefault="00452C60"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2A6141" w:rsidRDefault="002A6141" w:rsidP="004C11F1">
      <w:pPr>
        <w:pStyle w:val="ListParagraph"/>
        <w:numPr>
          <w:ilvl w:val="0"/>
          <w:numId w:val="41"/>
        </w:numPr>
        <w:ind w:firstLineChars="0"/>
      </w:pPr>
      <w:r>
        <w:t>The “Coase Theorem” states that if an externality can be traded and there are no transaction costs, then the allocation of property rights will be efficient.</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047CF8" w:rsidRDefault="00047CF8" w:rsidP="00734705"/>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r w:rsidR="00956EB5" w:rsidRPr="00956EB5">
        <w:rPr>
          <w:vertAlign w:val="superscript"/>
        </w:rPr>
        <w:t>1</w:t>
      </w:r>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9B0460" w:rsidRDefault="00A96461" w:rsidP="00A96461">
      <w:pPr>
        <w:pStyle w:val="Level2"/>
      </w:pPr>
      <w:r>
        <w:br w:type="page"/>
      </w:r>
    </w:p>
    <w:p w:rsidR="009B0460" w:rsidRDefault="009B0460" w:rsidP="009B0460">
      <w:pPr>
        <w:pStyle w:val="Level1"/>
      </w:pPr>
      <w:r>
        <w:lastRenderedPageBreak/>
        <w:t>Corporate Finance</w:t>
      </w:r>
    </w:p>
    <w:p w:rsidR="009B0460" w:rsidRDefault="009B0460" w:rsidP="004E1C97">
      <w:pPr>
        <w:pStyle w:val="Level2"/>
        <w:numPr>
          <w:ilvl w:val="1"/>
          <w:numId w:val="112"/>
        </w:numPr>
      </w:pPr>
      <w:r>
        <w:rPr>
          <w:rFonts w:hint="eastAsia"/>
        </w:rPr>
        <w:t>C</w:t>
      </w:r>
      <w:r>
        <w:t>apital Budgeting</w:t>
      </w:r>
    </w:p>
    <w:p w:rsidR="009B0460" w:rsidRDefault="009B0460" w:rsidP="009B0460">
      <w:pPr>
        <w:pStyle w:val="Level3"/>
        <w:spacing w:after="156"/>
      </w:pPr>
      <w:r>
        <w:rPr>
          <w:rFonts w:hint="eastAsia"/>
        </w:rPr>
        <w:t xml:space="preserve">Calculate the yearly cash flows of </w:t>
      </w:r>
      <w:r>
        <w:t>expansion</w:t>
      </w:r>
      <w:r>
        <w:rPr>
          <w:rFonts w:hint="eastAsia"/>
        </w:rPr>
        <w:t xml:space="preserve"> </w:t>
      </w:r>
      <w:r>
        <w:t>and replacement capital projects and evaluate how the choice of depreciation method affects those cash flows.</w:t>
      </w:r>
    </w:p>
    <w:p w:rsidR="009B0460" w:rsidRDefault="009B0460" w:rsidP="009B0460">
      <w:r>
        <w:t>Replacement Project Analysis</w:t>
      </w:r>
    </w:p>
    <w:p w:rsidR="009B0460" w:rsidRDefault="009B0460" w:rsidP="004E1C97">
      <w:pPr>
        <w:pStyle w:val="ListParagraph"/>
        <w:numPr>
          <w:ilvl w:val="0"/>
          <w:numId w:val="113"/>
        </w:numPr>
        <w:ind w:firstLineChars="0"/>
      </w:pPr>
      <w:r>
        <w:rPr>
          <w:rFonts w:hint="eastAsia"/>
        </w:rPr>
        <w:t xml:space="preserve">Outlay = -FCInv </w:t>
      </w:r>
      <w:r>
        <w:t>–</w:t>
      </w:r>
      <w:r>
        <w:rPr>
          <w:rFonts w:hint="eastAsia"/>
        </w:rPr>
        <w:t xml:space="preserve"> NWInc </w:t>
      </w:r>
      <w:r>
        <w:t>+ SaleOld</w:t>
      </w:r>
      <w:r w:rsidRPr="009B0460">
        <w:rPr>
          <w:vertAlign w:val="subscript"/>
        </w:rPr>
        <w:t>0</w:t>
      </w:r>
      <w:r>
        <w:t xml:space="preserve"> – T * (SaleOld</w:t>
      </w:r>
      <w:r w:rsidRPr="009B0460">
        <w:rPr>
          <w:vertAlign w:val="subscript"/>
        </w:rPr>
        <w:t>0</w:t>
      </w:r>
      <w:r>
        <w:t xml:space="preserve"> – BookOld</w:t>
      </w:r>
      <w:r w:rsidRPr="009B0460">
        <w:rPr>
          <w:vertAlign w:val="subscript"/>
        </w:rPr>
        <w:t>0</w:t>
      </w:r>
      <w:r>
        <w:t>)</w:t>
      </w:r>
    </w:p>
    <w:p w:rsidR="009B0460" w:rsidRDefault="009B0460" w:rsidP="004E1C97">
      <w:pPr>
        <w:pStyle w:val="ListParagraph"/>
        <w:numPr>
          <w:ilvl w:val="0"/>
          <w:numId w:val="113"/>
        </w:numPr>
        <w:ind w:firstLineChars="0"/>
      </w:pPr>
      <w:r>
        <w:rPr>
          <w:rFonts w:hint="eastAsia"/>
        </w:rPr>
        <w:t>Δ</w:t>
      </w:r>
      <w:r>
        <w:t>CF = (</w:t>
      </w:r>
      <w:r>
        <w:rPr>
          <w:rFonts w:hint="eastAsia"/>
        </w:rPr>
        <w:t>Δ</w:t>
      </w:r>
      <w:r>
        <w:rPr>
          <w:rFonts w:hint="eastAsia"/>
        </w:rPr>
        <w:t xml:space="preserve">Sales </w:t>
      </w:r>
      <w:r>
        <w:t xml:space="preserve">– </w:t>
      </w:r>
      <w:r>
        <w:rPr>
          <w:rFonts w:hint="eastAsia"/>
        </w:rPr>
        <w:t>Δ</w:t>
      </w:r>
      <w:r>
        <w:t>c</w:t>
      </w:r>
      <w:r>
        <w:rPr>
          <w:rFonts w:hint="eastAsia"/>
        </w:rPr>
        <w:t xml:space="preserve">ost </w:t>
      </w:r>
      <w:r>
        <w:t xml:space="preserve">– </w:t>
      </w:r>
      <w:r>
        <w:rPr>
          <w:rFonts w:hint="eastAsia"/>
        </w:rPr>
        <w:t>Δ</w:t>
      </w:r>
      <w:r>
        <w:rPr>
          <w:rFonts w:hint="eastAsia"/>
        </w:rPr>
        <w:t>depreciation)</w:t>
      </w:r>
      <w:r>
        <w:t xml:space="preserve"> * (1 - Tax) + </w:t>
      </w:r>
      <w:r>
        <w:rPr>
          <w:rFonts w:hint="eastAsia"/>
        </w:rPr>
        <w:t>Δ</w:t>
      </w:r>
      <w:r>
        <w:rPr>
          <w:rFonts w:hint="eastAsia"/>
        </w:rPr>
        <w:t>depreciation</w:t>
      </w:r>
    </w:p>
    <w:p w:rsidR="009B0460" w:rsidRDefault="009B0460" w:rsidP="004E1C97">
      <w:pPr>
        <w:pStyle w:val="ListParagraph"/>
        <w:numPr>
          <w:ilvl w:val="0"/>
          <w:numId w:val="113"/>
        </w:numPr>
        <w:ind w:firstLineChars="0"/>
      </w:pPr>
      <w:r>
        <w:t xml:space="preserve">Terminal year non-operating CF = </w:t>
      </w:r>
      <w:r>
        <w:rPr>
          <w:rFonts w:hint="eastAsia"/>
        </w:rPr>
        <w:t>Δ</w:t>
      </w:r>
      <w:r>
        <w:rPr>
          <w:rFonts w:hint="eastAsia"/>
        </w:rPr>
        <w:t xml:space="preserve">Sales </w:t>
      </w:r>
      <w:r>
        <w:t>+ NWCInv – T * (</w:t>
      </w:r>
      <w:r>
        <w:rPr>
          <w:rFonts w:hint="eastAsia"/>
        </w:rPr>
        <w:t>Δ</w:t>
      </w:r>
      <w:r>
        <w:rPr>
          <w:rFonts w:hint="eastAsia"/>
        </w:rPr>
        <w:t xml:space="preserve">Sales </w:t>
      </w:r>
      <w:r>
        <w:t xml:space="preserve">– </w:t>
      </w:r>
      <w:r>
        <w:rPr>
          <w:rFonts w:hint="eastAsia"/>
        </w:rPr>
        <w:t>Δ</w:t>
      </w:r>
      <w:r>
        <w:t>b</w:t>
      </w:r>
      <w:r>
        <w:rPr>
          <w:rFonts w:hint="eastAsia"/>
        </w:rPr>
        <w:t>ook)</w:t>
      </w:r>
    </w:p>
    <w:p w:rsidR="00BB6853" w:rsidRDefault="00BB6853" w:rsidP="00BB6853">
      <w:r>
        <w:t>*depreciation includes installing costs.</w:t>
      </w:r>
    </w:p>
    <w:p w:rsidR="00731669" w:rsidRDefault="00731669" w:rsidP="00BB6853"/>
    <w:p w:rsidR="00731669" w:rsidRDefault="00731669" w:rsidP="00731669">
      <w:pPr>
        <w:pStyle w:val="Level3"/>
        <w:numPr>
          <w:ilvl w:val="2"/>
          <w:numId w:val="129"/>
        </w:numPr>
        <w:spacing w:after="156"/>
      </w:pPr>
      <w:r>
        <w:rPr>
          <w:rFonts w:hint="eastAsia"/>
        </w:rPr>
        <w:t>Calculate and interpret accounting income and economic income in the context of capital budgeting.</w:t>
      </w:r>
    </w:p>
    <w:p w:rsidR="00731669" w:rsidRDefault="00731669" w:rsidP="00731669">
      <w:r>
        <w:rPr>
          <w:rFonts w:hint="eastAsia"/>
        </w:rPr>
        <w:t>Beginning market value = PV of all cash flow</w:t>
      </w:r>
    </w:p>
    <w:p w:rsidR="00731669" w:rsidRDefault="00731669" w:rsidP="00731669">
      <w:r>
        <w:t>Economic income = cash flow + change in market value</w:t>
      </w:r>
    </w:p>
    <w:p w:rsidR="00731669" w:rsidRDefault="00731669" w:rsidP="00731669">
      <w:r>
        <w:rPr>
          <w:noProof/>
        </w:rPr>
        <w:drawing>
          <wp:inline distT="0" distB="0" distL="0" distR="0" wp14:anchorId="77598AEF" wp14:editId="34D364D1">
            <wp:extent cx="5274310" cy="18745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74520"/>
                    </a:xfrm>
                    <a:prstGeom prst="rect">
                      <a:avLst/>
                    </a:prstGeom>
                  </pic:spPr>
                </pic:pic>
              </a:graphicData>
            </a:graphic>
          </wp:inline>
        </w:drawing>
      </w:r>
    </w:p>
    <w:p w:rsidR="00F9560C" w:rsidRDefault="00F9560C" w:rsidP="00731669"/>
    <w:p w:rsidR="00F9560C" w:rsidRDefault="00F9560C" w:rsidP="00F9560C">
      <w:pPr>
        <w:pStyle w:val="Level3"/>
        <w:spacing w:after="156"/>
      </w:pPr>
      <w:r>
        <w:rPr>
          <w:rFonts w:hint="eastAsia"/>
        </w:rPr>
        <w:t>Distinguish among the economic profit, residual income, and claims valuation models for capital budgeting and evaluate a capital project using each.</w:t>
      </w:r>
    </w:p>
    <w:p w:rsidR="00F9560C" w:rsidRDefault="00F9560C" w:rsidP="00F9560C"/>
    <w:p w:rsidR="00F9560C" w:rsidRDefault="00F9560C" w:rsidP="00F9560C">
      <w:r>
        <w:t>Economic profit = EBIT * (1 – tax) - $WACC</w:t>
      </w:r>
    </w:p>
    <w:p w:rsidR="00F9560C" w:rsidRPr="00F9560C" w:rsidRDefault="00F9560C" w:rsidP="00F9560C">
      <w:r>
        <w:rPr>
          <w:rFonts w:hint="eastAsia"/>
        </w:rPr>
        <w:t xml:space="preserve">Market value added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EP</m:t>
                    </m:r>
                  </m:e>
                  <m:sub>
                    <m:r>
                      <w:rPr>
                        <w:rFonts w:ascii="Cambria Math" w:hAnsi="Cambria Math"/>
                      </w:rPr>
                      <m:t>i</m:t>
                    </m:r>
                  </m:sub>
                </m:sSub>
              </m:num>
              <m:den>
                <m:sSup>
                  <m:sSupPr>
                    <m:ctrlPr>
                      <w:rPr>
                        <w:rFonts w:ascii="Cambria Math" w:hAnsi="Cambria Math"/>
                        <w:i/>
                      </w:rPr>
                    </m:ctrlPr>
                  </m:sSupPr>
                  <m:e>
                    <m:r>
                      <w:rPr>
                        <w:rFonts w:ascii="Cambria Math" w:hAnsi="Cambria Math"/>
                      </w:rPr>
                      <m:t>(1+WACC)</m:t>
                    </m:r>
                  </m:e>
                  <m:sup>
                    <m:r>
                      <w:rPr>
                        <w:rFonts w:ascii="Cambria Math" w:hAnsi="Cambria Math"/>
                      </w:rPr>
                      <m:t>I</m:t>
                    </m:r>
                  </m:sup>
                </m:sSup>
              </m:den>
            </m:f>
          </m:e>
        </m:nary>
      </m:oMath>
    </w:p>
    <w:p w:rsidR="00731669" w:rsidRPr="00731669" w:rsidRDefault="00731669" w:rsidP="00731669"/>
    <w:p w:rsidR="002E4345" w:rsidRDefault="002E4345" w:rsidP="002E4345">
      <w:pPr>
        <w:pStyle w:val="Level2"/>
      </w:pPr>
      <w:r>
        <w:rPr>
          <w:rFonts w:hint="eastAsia"/>
        </w:rPr>
        <w:t>Capital Structure</w:t>
      </w:r>
    </w:p>
    <w:p w:rsidR="002E4345" w:rsidRDefault="00253C7B" w:rsidP="002E4345">
      <w:pPr>
        <w:pStyle w:val="Level3"/>
        <w:spacing w:after="156"/>
      </w:pPr>
      <w:r>
        <w:rPr>
          <w:rFonts w:hint="eastAsia"/>
        </w:rPr>
        <w:t>E</w:t>
      </w:r>
      <w:r>
        <w:t>xplain the MM propositions regarding capital structure, including the effects of leverage, taxes, financial distress, agency costs, and asymmetric information on a company’s cost of equity, cost of capital, and optimal capital structure.</w:t>
      </w:r>
    </w:p>
    <w:p w:rsidR="00DC6795" w:rsidRDefault="004D72DD" w:rsidP="00DC6795">
      <m:oMath>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)(1-t)</m:t>
        </m:r>
        <m:f>
          <m:fPr>
            <m:ctrlPr>
              <w:rPr>
                <w:rFonts w:ascii="Cambria Math" w:hAnsi="Cambria Math"/>
                <w:i/>
              </w:rPr>
            </m:ctrlPr>
          </m:fPr>
          <m:num>
            <m:r>
              <w:rPr>
                <w:rFonts w:ascii="Cambria Math" w:hAnsi="Cambria Math"/>
              </w:rPr>
              <m:t>D</m:t>
            </m:r>
          </m:num>
          <m:den>
            <m:r>
              <w:rPr>
                <w:rFonts w:ascii="Cambria Math" w:hAnsi="Cambria Math"/>
              </w:rPr>
              <m:t>E</m:t>
            </m:r>
          </m:den>
        </m:f>
      </m:oMath>
      <w:r w:rsidR="008064B3">
        <w:tab/>
      </w:r>
    </w:p>
    <w:p w:rsidR="008064B3" w:rsidRPr="008064B3" w:rsidRDefault="004D72DD"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EBIT(1-t)</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p w:rsidR="008064B3" w:rsidRPr="00DC6795" w:rsidRDefault="004D72DD"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+tD</m:t>
          </m:r>
        </m:oMath>
      </m:oMathPara>
    </w:p>
    <w:p w:rsidR="00DC6795" w:rsidRPr="00DC6795" w:rsidRDefault="00DC6795" w:rsidP="00DC6795"/>
    <w:p w:rsidR="00253C7B" w:rsidRDefault="00253C7B" w:rsidP="00253C7B">
      <w:r>
        <w:lastRenderedPageBreak/>
        <w:t>Pecking order theory</w:t>
      </w:r>
    </w:p>
    <w:p w:rsidR="00253C7B" w:rsidRDefault="00253C7B" w:rsidP="00253C7B">
      <w:r>
        <w:t>According to pecking order theory, managers prefer to make financing choices that are least likely to send signals to investors.</w:t>
      </w:r>
    </w:p>
    <w:p w:rsidR="008064B3" w:rsidRDefault="008064B3" w:rsidP="00253C7B"/>
    <w:p w:rsidR="001F2E01" w:rsidRDefault="001F2E01" w:rsidP="001F2E01">
      <w:pPr>
        <w:pStyle w:val="Level2"/>
      </w:pPr>
      <w:r>
        <w:rPr>
          <w:rFonts w:hint="eastAsia"/>
        </w:rPr>
        <w:t>Dividends and Share Repurchases: Analysis</w:t>
      </w:r>
    </w:p>
    <w:p w:rsidR="001F2E01" w:rsidRDefault="001F2E01" w:rsidP="004E1C97">
      <w:pPr>
        <w:pStyle w:val="Level3"/>
        <w:numPr>
          <w:ilvl w:val="2"/>
          <w:numId w:val="114"/>
        </w:numPr>
        <w:spacing w:after="156"/>
      </w:pPr>
      <w:r>
        <w:rPr>
          <w:rFonts w:hint="eastAsia"/>
        </w:rPr>
        <w:t>Explain how clientele effects and agency issues may affect a company</w:t>
      </w:r>
      <w:r>
        <w:t>’s payout policy.</w:t>
      </w:r>
    </w:p>
    <w:p w:rsidR="001F2E01" w:rsidRDefault="001F2E01" w:rsidP="001F2E01">
      <w:r>
        <w:t>In the presence of differential tax rates on dividends and capital gains, investors would be indifferent between receiving: $D in dividends or capital gains (</w:t>
      </w:r>
      <w:r>
        <w:rPr>
          <w:rFonts w:hint="eastAsia"/>
        </w:rPr>
        <w:t>Δ</w:t>
      </w:r>
      <w:r>
        <w:rPr>
          <w:rFonts w:hint="eastAsia"/>
        </w:rPr>
        <w:t xml:space="preserve">P) $D * (1 </w:t>
      </w:r>
      <w:r>
        <w:t>–</w:t>
      </w:r>
      <w:r>
        <w:rPr>
          <w:rFonts w:hint="eastAsia"/>
        </w:rPr>
        <w:t xml:space="preserve"> TD) / ( 1 </w:t>
      </w:r>
      <w:r>
        <w:t>–</w:t>
      </w:r>
      <w:r>
        <w:rPr>
          <w:rFonts w:hint="eastAsia"/>
        </w:rPr>
        <w:t xml:space="preserve"> T</w:t>
      </w:r>
      <w:r w:rsidRPr="001F2E01">
        <w:rPr>
          <w:vertAlign w:val="subscript"/>
        </w:rPr>
        <w:t>c</w:t>
      </w:r>
      <w:r w:rsidRPr="001F2E01">
        <w:rPr>
          <w:rFonts w:hint="eastAsia"/>
          <w:vertAlign w:val="subscript"/>
        </w:rPr>
        <w:t xml:space="preserve">apital </w:t>
      </w:r>
      <w:r w:rsidRPr="001F2E01">
        <w:rPr>
          <w:vertAlign w:val="subscript"/>
        </w:rPr>
        <w:t>gain</w:t>
      </w:r>
      <w:r>
        <w:t>)</w:t>
      </w:r>
    </w:p>
    <w:p w:rsidR="002913E7" w:rsidRDefault="002913E7" w:rsidP="001F2E01"/>
    <w:p w:rsidR="002913E7" w:rsidRDefault="002913E7" w:rsidP="004E1C97">
      <w:pPr>
        <w:pStyle w:val="Level3"/>
        <w:numPr>
          <w:ilvl w:val="2"/>
          <w:numId w:val="115"/>
        </w:numPr>
        <w:spacing w:after="156"/>
      </w:pPr>
      <w:r>
        <w:rPr>
          <w:rFonts w:hint="eastAsia"/>
        </w:rPr>
        <w:t>Compare stable dividend, constant dividend payout ratio, and RI payout policies, and calculate the dividend under each policy</w:t>
      </w:r>
      <w:r>
        <w:t>.</w:t>
      </w:r>
    </w:p>
    <w:p w:rsidR="002913E7" w:rsidRDefault="002913E7" w:rsidP="00E47C6D">
      <w:pPr>
        <w:pStyle w:val="ListParagraph"/>
        <w:numPr>
          <w:ilvl w:val="0"/>
          <w:numId w:val="130"/>
        </w:numPr>
        <w:ind w:firstLineChars="0"/>
      </w:pPr>
      <w:r>
        <w:t>Stable Dividend policy</w:t>
      </w:r>
    </w:p>
    <w:p w:rsidR="002913E7" w:rsidRDefault="002913E7" w:rsidP="002913E7">
      <w:r>
        <w:t>Expected dividend = previous dividend + increase in EPS * target payout ratio * adjustment factor</w:t>
      </w:r>
    </w:p>
    <w:p w:rsidR="002913E7" w:rsidRDefault="002913E7" w:rsidP="002913E7">
      <w:r>
        <w:t>Adjustment factor = 1 / number of years over which the adjustment in dividends will take place</w:t>
      </w:r>
    </w:p>
    <w:p w:rsidR="00222734" w:rsidRDefault="00222734" w:rsidP="00222734">
      <w:pPr>
        <w:pStyle w:val="ListParagraph"/>
        <w:numPr>
          <w:ilvl w:val="0"/>
          <w:numId w:val="130"/>
        </w:numPr>
        <w:ind w:firstLineChars="0"/>
      </w:pPr>
      <w:r>
        <w:rPr>
          <w:rFonts w:hint="eastAsia"/>
        </w:rPr>
        <w:t>Constant Dividend Payout Ratio policy</w:t>
      </w:r>
    </w:p>
    <w:p w:rsidR="00DF7B58" w:rsidRDefault="00DF7B58" w:rsidP="00E47C6D">
      <w:pPr>
        <w:pStyle w:val="ListParagraph"/>
        <w:numPr>
          <w:ilvl w:val="0"/>
          <w:numId w:val="130"/>
        </w:numPr>
        <w:ind w:firstLineChars="0"/>
      </w:pPr>
      <w:r>
        <w:t>Residual Dividend Model</w:t>
      </w:r>
    </w:p>
    <w:p w:rsidR="00234A7A" w:rsidRDefault="00DF7B58" w:rsidP="002913E7">
      <w:r>
        <w:t>Dividends = earnings – funds retained to finance equity portion of target capital budget</w:t>
      </w:r>
    </w:p>
    <w:p w:rsidR="00234A7A" w:rsidRDefault="00234A7A" w:rsidP="002913E7"/>
    <w:p w:rsidR="00234A7A" w:rsidRDefault="00234A7A" w:rsidP="004E1C97">
      <w:pPr>
        <w:pStyle w:val="Level3"/>
        <w:numPr>
          <w:ilvl w:val="2"/>
          <w:numId w:val="116"/>
        </w:numPr>
        <w:spacing w:after="156"/>
      </w:pPr>
      <w:r>
        <w:rPr>
          <w:rFonts w:hint="eastAsia"/>
        </w:rPr>
        <w:t>Calculate and interpret dividend coverage ratios based on net income and free cash flow</w:t>
      </w:r>
    </w:p>
    <w:p w:rsidR="00234A7A" w:rsidRDefault="00234A7A" w:rsidP="00234A7A">
      <w:r>
        <w:t>Dividend coverage ratio = net income / dividends</w:t>
      </w:r>
    </w:p>
    <w:p w:rsidR="00234A7A" w:rsidRDefault="00234A7A" w:rsidP="00234A7A">
      <w:r>
        <w:t>FCFE coverage ratio = FCFE / (dividends + share repurchases)</w:t>
      </w:r>
    </w:p>
    <w:p w:rsidR="00A34699" w:rsidRDefault="00A34699" w:rsidP="00234A7A"/>
    <w:p w:rsidR="00A34699" w:rsidRDefault="00A34699" w:rsidP="00A34699">
      <w:pPr>
        <w:pStyle w:val="Level2"/>
      </w:pPr>
      <w:r>
        <w:rPr>
          <w:rFonts w:hint="eastAsia"/>
        </w:rPr>
        <w:t>Corporate Performance, Governance and Business Ethics</w:t>
      </w:r>
    </w:p>
    <w:p w:rsidR="00A34699" w:rsidRDefault="00A34699" w:rsidP="004E1C97">
      <w:pPr>
        <w:pStyle w:val="Level3"/>
        <w:numPr>
          <w:ilvl w:val="2"/>
          <w:numId w:val="117"/>
        </w:numPr>
        <w:spacing w:after="156"/>
      </w:pPr>
      <w:r>
        <w:rPr>
          <w:rFonts w:hint="eastAsia"/>
        </w:rPr>
        <w:t>Compare the Friedman doctrine, Utilitarianism, Kantian Ethics, and Rights and Justice Theories as approaches to ethical decision making.</w:t>
      </w:r>
    </w:p>
    <w:p w:rsidR="00A34699" w:rsidRDefault="00A34699" w:rsidP="004E1C97">
      <w:pPr>
        <w:pStyle w:val="ListParagraph"/>
        <w:numPr>
          <w:ilvl w:val="0"/>
          <w:numId w:val="118"/>
        </w:numPr>
        <w:ind w:firstLineChars="0"/>
      </w:pPr>
      <w:r>
        <w:rPr>
          <w:rFonts w:hint="eastAsia"/>
        </w:rPr>
        <w:t xml:space="preserve">Friedman Doctrine: The only social </w:t>
      </w:r>
      <w:r>
        <w:t>responsibility</w:t>
      </w:r>
      <w:r>
        <w:rPr>
          <w:rFonts w:hint="eastAsia"/>
        </w:rPr>
        <w:t xml:space="preserve"> </w:t>
      </w:r>
      <w:r>
        <w:t>of a business is to increase profits within the rules of the game</w:t>
      </w:r>
    </w:p>
    <w:p w:rsidR="00A34699" w:rsidRDefault="00A34699" w:rsidP="004E1C97">
      <w:pPr>
        <w:pStyle w:val="ListParagraph"/>
        <w:numPr>
          <w:ilvl w:val="0"/>
          <w:numId w:val="118"/>
        </w:numPr>
        <w:ind w:firstLineChars="0"/>
      </w:pPr>
      <w:r>
        <w:t>Utilitarianism argues that business must weigh the consequences to society of each of their actions and to seek to produce the highest good for the largest number of people.</w:t>
      </w:r>
    </w:p>
    <w:p w:rsidR="00A34699" w:rsidRDefault="00A34699" w:rsidP="004E1C97">
      <w:pPr>
        <w:pStyle w:val="ListParagraph"/>
        <w:numPr>
          <w:ilvl w:val="0"/>
          <w:numId w:val="118"/>
        </w:numPr>
        <w:ind w:firstLineChars="0"/>
      </w:pPr>
      <w:r>
        <w:t>Kantian ethics argue that people are different from other factors of production and deserve dignity and respect.</w:t>
      </w:r>
    </w:p>
    <w:p w:rsidR="00A34699" w:rsidRDefault="00A34699" w:rsidP="004E1C97">
      <w:pPr>
        <w:pStyle w:val="ListParagraph"/>
        <w:numPr>
          <w:ilvl w:val="0"/>
          <w:numId w:val="118"/>
        </w:numPr>
        <w:ind w:firstLineChars="0"/>
      </w:pPr>
      <w:r>
        <w:t>Rights theories argue that all individuals have fundamental rights and privileges.</w:t>
      </w:r>
    </w:p>
    <w:p w:rsidR="00A34699" w:rsidRDefault="00A34699" w:rsidP="004E1C97">
      <w:pPr>
        <w:pStyle w:val="ListParagraph"/>
        <w:numPr>
          <w:ilvl w:val="0"/>
          <w:numId w:val="118"/>
        </w:numPr>
        <w:ind w:firstLineChars="0"/>
      </w:pPr>
      <w:r>
        <w:t>Justice theories focus on a just distribution of economic output.</w:t>
      </w:r>
    </w:p>
    <w:p w:rsidR="00B8053F" w:rsidRDefault="00B8053F" w:rsidP="00B8053F"/>
    <w:p w:rsidR="00B8053F" w:rsidRDefault="00B8053F" w:rsidP="00B8053F">
      <w:pPr>
        <w:pStyle w:val="Level2"/>
      </w:pPr>
      <w:r>
        <w:rPr>
          <w:rFonts w:hint="eastAsia"/>
        </w:rPr>
        <w:t>Co</w:t>
      </w:r>
      <w:r>
        <w:t>rporate Governance</w:t>
      </w:r>
    </w:p>
    <w:p w:rsidR="00B8053F" w:rsidRDefault="00B8053F" w:rsidP="00B8053F">
      <w:pPr>
        <w:pStyle w:val="Level3"/>
        <w:spacing w:after="156"/>
      </w:pPr>
      <w:r>
        <w:rPr>
          <w:rFonts w:hint="eastAsia"/>
        </w:rPr>
        <w:t>Describe objectives and core attributes of an effective corporate governance system and evaluate whether a company</w:t>
      </w:r>
      <w:r>
        <w:t>’s corporate governance has those attributes.</w:t>
      </w:r>
    </w:p>
    <w:p w:rsidR="00B8053F" w:rsidRDefault="00B8053F" w:rsidP="00B8053F">
      <w:r>
        <w:t>Two objectives</w:t>
      </w:r>
    </w:p>
    <w:p w:rsidR="00B8053F" w:rsidRDefault="00B8053F" w:rsidP="00B8053F">
      <w:pPr>
        <w:pStyle w:val="ListParagraph"/>
        <w:numPr>
          <w:ilvl w:val="0"/>
          <w:numId w:val="131"/>
        </w:numPr>
        <w:ind w:firstLineChars="0"/>
      </w:pPr>
      <w:r>
        <w:t>T</w:t>
      </w:r>
      <w:r>
        <w:rPr>
          <w:rFonts w:hint="eastAsia"/>
        </w:rPr>
        <w:t xml:space="preserve">o </w:t>
      </w:r>
      <w:r>
        <w:t>eliminate or mitigate conflicts of interest, particularly those between managers and shareholders.</w:t>
      </w:r>
    </w:p>
    <w:p w:rsidR="00B8053F" w:rsidRDefault="00B8053F" w:rsidP="00B8053F">
      <w:pPr>
        <w:pStyle w:val="ListParagraph"/>
        <w:numPr>
          <w:ilvl w:val="0"/>
          <w:numId w:val="131"/>
        </w:numPr>
        <w:ind w:firstLineChars="0"/>
      </w:pPr>
      <w:r>
        <w:t>To ensure that the assets of the company are used efficiently and productively and in the best interests of its investors and other stakeholders.</w:t>
      </w:r>
    </w:p>
    <w:p w:rsidR="00B8053F" w:rsidRDefault="00B8053F" w:rsidP="00B8053F">
      <w:r>
        <w:rPr>
          <w:rFonts w:hint="eastAsia"/>
        </w:rPr>
        <w:lastRenderedPageBreak/>
        <w:t>Core attributes of an effective corporate governance system</w:t>
      </w:r>
    </w:p>
    <w:p w:rsidR="00B8053F" w:rsidRDefault="00B8053F" w:rsidP="00B8053F">
      <w:pPr>
        <w:pStyle w:val="ListParagraph"/>
        <w:numPr>
          <w:ilvl w:val="0"/>
          <w:numId w:val="132"/>
        </w:numPr>
        <w:ind w:firstLineChars="0"/>
      </w:pPr>
      <w:r>
        <w:t>D</w:t>
      </w:r>
      <w:r>
        <w:rPr>
          <w:rFonts w:hint="eastAsia"/>
        </w:rPr>
        <w:t xml:space="preserve">elineation </w:t>
      </w:r>
      <w:r>
        <w:t>of the rights of shareholders and other core stake holders.</w:t>
      </w:r>
    </w:p>
    <w:p w:rsidR="00B8053F" w:rsidRDefault="00B8053F" w:rsidP="00B8053F">
      <w:pPr>
        <w:pStyle w:val="ListParagraph"/>
        <w:numPr>
          <w:ilvl w:val="0"/>
          <w:numId w:val="132"/>
        </w:numPr>
        <w:ind w:firstLineChars="0"/>
      </w:pPr>
      <w:r>
        <w:t>Clearly defined manager and director governance responsibilities to stakeholders.</w:t>
      </w:r>
    </w:p>
    <w:p w:rsidR="00B8053F" w:rsidRDefault="00B8053F" w:rsidP="00B8053F">
      <w:pPr>
        <w:pStyle w:val="ListParagraph"/>
        <w:numPr>
          <w:ilvl w:val="0"/>
          <w:numId w:val="132"/>
        </w:numPr>
        <w:ind w:firstLineChars="0"/>
      </w:pPr>
      <w:r>
        <w:t>Identifiable and measurable accountabilities for the performance of the responsibilities.</w:t>
      </w:r>
    </w:p>
    <w:p w:rsidR="00B8053F" w:rsidRDefault="00B8053F" w:rsidP="00B8053F">
      <w:pPr>
        <w:pStyle w:val="ListParagraph"/>
        <w:numPr>
          <w:ilvl w:val="0"/>
          <w:numId w:val="132"/>
        </w:numPr>
        <w:ind w:firstLineChars="0"/>
      </w:pPr>
      <w:r>
        <w:t>Fairness and equitable treatment in all dealings between managers, directors and shareholders.</w:t>
      </w:r>
    </w:p>
    <w:p w:rsidR="00B8053F" w:rsidRPr="00B8053F" w:rsidRDefault="00B8053F" w:rsidP="00B8053F">
      <w:pPr>
        <w:pStyle w:val="ListParagraph"/>
        <w:numPr>
          <w:ilvl w:val="0"/>
          <w:numId w:val="132"/>
        </w:numPr>
        <w:ind w:firstLineChars="0"/>
      </w:pPr>
      <w:r>
        <w:t>Complete transparency and accuracy in disclosures regarding operations, performance, risk and financial position.</w:t>
      </w:r>
    </w:p>
    <w:p w:rsidR="00221DB9" w:rsidRDefault="00221DB9" w:rsidP="00221DB9"/>
    <w:p w:rsidR="00221DB9" w:rsidRDefault="00221DB9" w:rsidP="004E1C97">
      <w:pPr>
        <w:pStyle w:val="Level2"/>
        <w:numPr>
          <w:ilvl w:val="1"/>
          <w:numId w:val="120"/>
        </w:numPr>
      </w:pPr>
      <w:r>
        <w:rPr>
          <w:rFonts w:hint="eastAsia"/>
        </w:rPr>
        <w:t>Mer</w:t>
      </w:r>
      <w:r>
        <w:t>gers and Acquisitions</w:t>
      </w:r>
    </w:p>
    <w:p w:rsidR="00221DB9" w:rsidRDefault="00221DB9" w:rsidP="00221DB9">
      <w:pPr>
        <w:pStyle w:val="Level3"/>
        <w:spacing w:after="156"/>
      </w:pPr>
      <w:r>
        <w:rPr>
          <w:rFonts w:hint="eastAsia"/>
        </w:rPr>
        <w:t>C</w:t>
      </w:r>
      <w:r>
        <w:t>lassify merger and acquisition activities based on forms of integration and relatedness of business activities.</w:t>
      </w:r>
    </w:p>
    <w:p w:rsidR="00221DB9" w:rsidRDefault="00221DB9" w:rsidP="004E1C97">
      <w:pPr>
        <w:pStyle w:val="ListParagraph"/>
        <w:numPr>
          <w:ilvl w:val="0"/>
          <w:numId w:val="119"/>
        </w:numPr>
        <w:ind w:firstLineChars="0"/>
      </w:pPr>
      <w:r>
        <w:rPr>
          <w:rFonts w:hint="eastAsia"/>
        </w:rPr>
        <w:t xml:space="preserve">In a statutory </w:t>
      </w:r>
      <w:r>
        <w:t>merger, the acquiring company acquires all of the target’s assets and liabilities.</w:t>
      </w:r>
    </w:p>
    <w:p w:rsidR="00221DB9" w:rsidRDefault="00221DB9" w:rsidP="004E1C97">
      <w:pPr>
        <w:pStyle w:val="ListParagraph"/>
        <w:numPr>
          <w:ilvl w:val="0"/>
          <w:numId w:val="119"/>
        </w:numPr>
        <w:ind w:firstLineChars="0"/>
      </w:pPr>
      <w:r>
        <w:t>In a subsidiary merger, the target company becomes a subsidiary of the purchaser.</w:t>
      </w:r>
    </w:p>
    <w:p w:rsidR="00221DB9" w:rsidRDefault="00221DB9" w:rsidP="004E1C97">
      <w:pPr>
        <w:pStyle w:val="ListParagraph"/>
        <w:numPr>
          <w:ilvl w:val="0"/>
          <w:numId w:val="119"/>
        </w:numPr>
        <w:ind w:firstLineChars="0"/>
      </w:pPr>
      <w:r>
        <w:t>With a consolidation, both companies cease to exist in their prior form, and they come to form a new company.</w:t>
      </w:r>
    </w:p>
    <w:p w:rsidR="00017820" w:rsidRDefault="00017820" w:rsidP="00017820"/>
    <w:p w:rsidR="00017820" w:rsidRDefault="00017820" w:rsidP="00017820">
      <w:pPr>
        <w:pStyle w:val="Level3"/>
        <w:spacing w:after="156"/>
      </w:pPr>
      <w:r>
        <w:rPr>
          <w:rFonts w:hint="eastAsia"/>
        </w:rPr>
        <w:t>Explain bootstrapping of EPS and calculate a company</w:t>
      </w:r>
      <w:r>
        <w:t>’s postmerger EPS.</w:t>
      </w:r>
    </w:p>
    <w:p w:rsidR="00017820" w:rsidRDefault="00017820" w:rsidP="00017820">
      <w:r>
        <w:rPr>
          <w:rFonts w:hint="eastAsia"/>
        </w:rPr>
        <w:t xml:space="preserve">The bootstrap effects occurs when a high P/E firm acquires a low P/E firm. </w:t>
      </w:r>
      <w:r>
        <w:t>The result is a higher EPS, even when the merger creates no synergistic value.</w:t>
      </w:r>
    </w:p>
    <w:p w:rsidR="00487367" w:rsidRDefault="00487367" w:rsidP="00017820"/>
    <w:p w:rsidR="00487367" w:rsidRDefault="00487367" w:rsidP="00487367">
      <w:pPr>
        <w:pStyle w:val="Level3"/>
        <w:spacing w:after="156"/>
      </w:pPr>
      <w:r>
        <w:rPr>
          <w:rFonts w:hint="eastAsia"/>
        </w:rPr>
        <w:t>Contrast merger transaction characteristics by form of acquisition, method of payment, and attitude of target management.</w:t>
      </w:r>
    </w:p>
    <w:p w:rsidR="00487367" w:rsidRDefault="00487367" w:rsidP="00487367">
      <w:r>
        <w:t>Key differences between forms of acquisition</w:t>
      </w:r>
    </w:p>
    <w:tbl>
      <w:tblPr>
        <w:tblStyle w:val="TableGrid"/>
        <w:tblW w:w="0" w:type="auto"/>
        <w:tblLook w:val="04A0" w:firstRow="1" w:lastRow="0" w:firstColumn="1" w:lastColumn="0" w:noHBand="0" w:noVBand="1"/>
      </w:tblPr>
      <w:tblGrid>
        <w:gridCol w:w="2765"/>
        <w:gridCol w:w="2765"/>
        <w:gridCol w:w="2766"/>
      </w:tblGrid>
      <w:tr w:rsidR="00487367" w:rsidTr="00487367">
        <w:tc>
          <w:tcPr>
            <w:tcW w:w="2765" w:type="dxa"/>
          </w:tcPr>
          <w:p w:rsidR="00487367" w:rsidRDefault="00487367" w:rsidP="00487367"/>
        </w:tc>
        <w:tc>
          <w:tcPr>
            <w:tcW w:w="2765" w:type="dxa"/>
          </w:tcPr>
          <w:p w:rsidR="00487367" w:rsidRDefault="00487367" w:rsidP="00487367">
            <w:r>
              <w:rPr>
                <w:rFonts w:hint="eastAsia"/>
              </w:rPr>
              <w:t>Stock Purchase</w:t>
            </w:r>
          </w:p>
        </w:tc>
        <w:tc>
          <w:tcPr>
            <w:tcW w:w="2766" w:type="dxa"/>
          </w:tcPr>
          <w:p w:rsidR="00487367" w:rsidRDefault="00487367" w:rsidP="00487367">
            <w:r>
              <w:rPr>
                <w:rFonts w:hint="eastAsia"/>
              </w:rPr>
              <w:t>Asset Purchase</w:t>
            </w:r>
          </w:p>
        </w:tc>
      </w:tr>
      <w:tr w:rsidR="00487367" w:rsidTr="00487367">
        <w:tc>
          <w:tcPr>
            <w:tcW w:w="2765" w:type="dxa"/>
          </w:tcPr>
          <w:p w:rsidR="00487367" w:rsidRDefault="00487367" w:rsidP="00487367">
            <w:r>
              <w:rPr>
                <w:rFonts w:hint="eastAsia"/>
              </w:rPr>
              <w:t>Payment</w:t>
            </w:r>
          </w:p>
        </w:tc>
        <w:tc>
          <w:tcPr>
            <w:tcW w:w="2765" w:type="dxa"/>
          </w:tcPr>
          <w:p w:rsidR="00487367" w:rsidRDefault="00487367" w:rsidP="00487367">
            <w:r>
              <w:t>T</w:t>
            </w:r>
            <w:r>
              <w:rPr>
                <w:rFonts w:hint="eastAsia"/>
              </w:rPr>
              <w:t xml:space="preserve">o </w:t>
            </w:r>
            <w:r>
              <w:t>shareholder</w:t>
            </w:r>
          </w:p>
        </w:tc>
        <w:tc>
          <w:tcPr>
            <w:tcW w:w="2766" w:type="dxa"/>
          </w:tcPr>
          <w:p w:rsidR="00487367" w:rsidRDefault="00487367" w:rsidP="00487367">
            <w:r>
              <w:t>T</w:t>
            </w:r>
            <w:r>
              <w:rPr>
                <w:rFonts w:hint="eastAsia"/>
              </w:rPr>
              <w:t xml:space="preserve">o </w:t>
            </w:r>
            <w:r>
              <w:t>target company</w:t>
            </w:r>
          </w:p>
        </w:tc>
      </w:tr>
      <w:tr w:rsidR="00487367" w:rsidTr="00487367">
        <w:tc>
          <w:tcPr>
            <w:tcW w:w="2765" w:type="dxa"/>
          </w:tcPr>
          <w:p w:rsidR="00487367" w:rsidRDefault="00487367" w:rsidP="00487367">
            <w:r>
              <w:rPr>
                <w:rFonts w:hint="eastAsia"/>
              </w:rPr>
              <w:t>Approval</w:t>
            </w:r>
          </w:p>
        </w:tc>
        <w:tc>
          <w:tcPr>
            <w:tcW w:w="2765" w:type="dxa"/>
          </w:tcPr>
          <w:p w:rsidR="00487367" w:rsidRDefault="00487367" w:rsidP="00487367">
            <w:r>
              <w:rPr>
                <w:rFonts w:hint="eastAsia"/>
              </w:rPr>
              <w:t>Require Majority vot</w:t>
            </w:r>
            <w:r>
              <w:t>e</w:t>
            </w:r>
            <w:r>
              <w:rPr>
                <w:rFonts w:hint="eastAsia"/>
              </w:rPr>
              <w:t>s</w:t>
            </w:r>
          </w:p>
        </w:tc>
        <w:tc>
          <w:tcPr>
            <w:tcW w:w="2766" w:type="dxa"/>
          </w:tcPr>
          <w:p w:rsidR="00487367" w:rsidRDefault="00487367" w:rsidP="00487367">
            <w:r>
              <w:rPr>
                <w:rFonts w:hint="eastAsia"/>
              </w:rPr>
              <w:t>No approval needed</w:t>
            </w:r>
          </w:p>
        </w:tc>
      </w:tr>
      <w:tr w:rsidR="00487367" w:rsidTr="00487367">
        <w:tc>
          <w:tcPr>
            <w:tcW w:w="2765" w:type="dxa"/>
          </w:tcPr>
          <w:p w:rsidR="00487367" w:rsidRDefault="00487367" w:rsidP="00487367">
            <w:r>
              <w:rPr>
                <w:rFonts w:hint="eastAsia"/>
              </w:rPr>
              <w:t>Corporate taxes</w:t>
            </w:r>
          </w:p>
        </w:tc>
        <w:tc>
          <w:tcPr>
            <w:tcW w:w="2765" w:type="dxa"/>
          </w:tcPr>
          <w:p w:rsidR="00487367" w:rsidRDefault="00487367" w:rsidP="00487367">
            <w:r>
              <w:rPr>
                <w:rFonts w:hint="eastAsia"/>
              </w:rPr>
              <w:t>No</w:t>
            </w:r>
          </w:p>
        </w:tc>
        <w:tc>
          <w:tcPr>
            <w:tcW w:w="2766" w:type="dxa"/>
          </w:tcPr>
          <w:p w:rsidR="00487367" w:rsidRDefault="00487367" w:rsidP="00487367">
            <w:r>
              <w:t>Target company pays c</w:t>
            </w:r>
            <w:r>
              <w:rPr>
                <w:rFonts w:hint="eastAsia"/>
              </w:rPr>
              <w:t xml:space="preserve">apital </w:t>
            </w:r>
            <w:r>
              <w:t>gains taxes</w:t>
            </w:r>
          </w:p>
        </w:tc>
      </w:tr>
      <w:tr w:rsidR="00487367" w:rsidTr="00487367">
        <w:tc>
          <w:tcPr>
            <w:tcW w:w="2765" w:type="dxa"/>
          </w:tcPr>
          <w:p w:rsidR="00487367" w:rsidRDefault="00487367" w:rsidP="00487367">
            <w:r>
              <w:rPr>
                <w:rFonts w:hint="eastAsia"/>
              </w:rPr>
              <w:t>Shareholder taxes</w:t>
            </w:r>
          </w:p>
        </w:tc>
        <w:tc>
          <w:tcPr>
            <w:tcW w:w="2765" w:type="dxa"/>
          </w:tcPr>
          <w:p w:rsidR="00487367" w:rsidRDefault="00487367" w:rsidP="00487367">
            <w:r>
              <w:rPr>
                <w:rFonts w:hint="eastAsia"/>
              </w:rPr>
              <w:t>Shareholders pay capital gains tax</w:t>
            </w:r>
          </w:p>
        </w:tc>
        <w:tc>
          <w:tcPr>
            <w:tcW w:w="2766" w:type="dxa"/>
          </w:tcPr>
          <w:p w:rsidR="00487367" w:rsidRDefault="00487367" w:rsidP="00487367">
            <w:r>
              <w:rPr>
                <w:rFonts w:hint="eastAsia"/>
              </w:rPr>
              <w:t>No</w:t>
            </w:r>
          </w:p>
        </w:tc>
      </w:tr>
      <w:tr w:rsidR="00487367" w:rsidTr="00487367">
        <w:tc>
          <w:tcPr>
            <w:tcW w:w="2765" w:type="dxa"/>
          </w:tcPr>
          <w:p w:rsidR="00487367" w:rsidRDefault="00487367" w:rsidP="00487367">
            <w:r>
              <w:rPr>
                <w:rFonts w:hint="eastAsia"/>
              </w:rPr>
              <w:t>Liabilities</w:t>
            </w:r>
          </w:p>
        </w:tc>
        <w:tc>
          <w:tcPr>
            <w:tcW w:w="2765" w:type="dxa"/>
          </w:tcPr>
          <w:p w:rsidR="00487367" w:rsidRDefault="00487367" w:rsidP="00487367">
            <w:r>
              <w:rPr>
                <w:rFonts w:hint="eastAsia"/>
              </w:rPr>
              <w:t>Acquirer assumes liabilities</w:t>
            </w:r>
          </w:p>
        </w:tc>
        <w:tc>
          <w:tcPr>
            <w:tcW w:w="2766" w:type="dxa"/>
          </w:tcPr>
          <w:p w:rsidR="00487367" w:rsidRDefault="00487367" w:rsidP="00487367">
            <w:r>
              <w:rPr>
                <w:rFonts w:hint="eastAsia"/>
              </w:rPr>
              <w:t xml:space="preserve">Acquirer usually avoids </w:t>
            </w:r>
            <w:r>
              <w:t>assumption</w:t>
            </w:r>
            <w:r>
              <w:rPr>
                <w:rFonts w:hint="eastAsia"/>
              </w:rPr>
              <w:t xml:space="preserve"> </w:t>
            </w:r>
            <w:r>
              <w:t>of liabilities</w:t>
            </w:r>
          </w:p>
        </w:tc>
      </w:tr>
    </w:tbl>
    <w:p w:rsidR="00487367" w:rsidRDefault="00487367" w:rsidP="00487367"/>
    <w:p w:rsidR="00487367" w:rsidRDefault="00487367" w:rsidP="004E1C97">
      <w:pPr>
        <w:pStyle w:val="Level3"/>
        <w:numPr>
          <w:ilvl w:val="2"/>
          <w:numId w:val="121"/>
        </w:numPr>
        <w:spacing w:after="156"/>
      </w:pPr>
      <w:r>
        <w:rPr>
          <w:rFonts w:hint="eastAsia"/>
        </w:rPr>
        <w:t>Distinguish among pre-offer and post-offer takeover defense mechanisms.</w:t>
      </w:r>
    </w:p>
    <w:p w:rsidR="00487367" w:rsidRDefault="00487367" w:rsidP="00487367">
      <w:r>
        <w:t>Pre-Offer Defense Mechanisms</w:t>
      </w:r>
    </w:p>
    <w:p w:rsidR="00487367" w:rsidRDefault="00487367" w:rsidP="004E1C97">
      <w:pPr>
        <w:pStyle w:val="ListParagraph"/>
        <w:numPr>
          <w:ilvl w:val="0"/>
          <w:numId w:val="122"/>
        </w:numPr>
        <w:ind w:firstLineChars="0"/>
      </w:pPr>
      <w:r>
        <w:rPr>
          <w:rFonts w:hint="eastAsia"/>
        </w:rPr>
        <w:t>Poison Pill: It gives current shareholders the right to purchases additional shares of stock at extre</w:t>
      </w:r>
      <w:r>
        <w:t>mely attractive prices.</w:t>
      </w:r>
    </w:p>
    <w:p w:rsidR="00701DF4" w:rsidRDefault="00701DF4" w:rsidP="004E1C97">
      <w:pPr>
        <w:pStyle w:val="ListParagraph"/>
        <w:numPr>
          <w:ilvl w:val="0"/>
          <w:numId w:val="122"/>
        </w:numPr>
        <w:ind w:firstLineChars="0"/>
      </w:pPr>
      <w:r>
        <w:t>Poison put. These puts give bondholders the option to demand immediate repayment of their bonds if there is a hostile takeover.</w:t>
      </w:r>
    </w:p>
    <w:p w:rsidR="00701DF4" w:rsidRDefault="00701DF4" w:rsidP="004E1C97">
      <w:pPr>
        <w:pStyle w:val="ListParagraph"/>
        <w:numPr>
          <w:ilvl w:val="0"/>
          <w:numId w:val="122"/>
        </w:numPr>
        <w:ind w:firstLineChars="0"/>
      </w:pPr>
      <w:r>
        <w:t>Restrictive takeover laws</w:t>
      </w:r>
    </w:p>
    <w:p w:rsidR="00701DF4" w:rsidRDefault="00701DF4" w:rsidP="004E1C97">
      <w:pPr>
        <w:pStyle w:val="ListParagraph"/>
        <w:numPr>
          <w:ilvl w:val="0"/>
          <w:numId w:val="122"/>
        </w:numPr>
        <w:ind w:firstLineChars="0"/>
      </w:pPr>
      <w:r>
        <w:t>Staggered board: In any particular year, a bidder can win at most one-third of the board seat</w:t>
      </w:r>
      <w:r w:rsidR="00077C4E">
        <w:t>s.</w:t>
      </w:r>
    </w:p>
    <w:p w:rsidR="00747A63" w:rsidRDefault="00747A63" w:rsidP="004E1C97">
      <w:pPr>
        <w:pStyle w:val="ListParagraph"/>
        <w:numPr>
          <w:ilvl w:val="0"/>
          <w:numId w:val="122"/>
        </w:numPr>
        <w:ind w:firstLineChars="0"/>
      </w:pPr>
      <w:r>
        <w:lastRenderedPageBreak/>
        <w:t>Restricted voting rights: Equity ownership above some threshold level triggers a loss of voting rights.</w:t>
      </w:r>
    </w:p>
    <w:p w:rsidR="00747A63" w:rsidRDefault="00747A63" w:rsidP="004E1C97">
      <w:pPr>
        <w:pStyle w:val="ListParagraph"/>
        <w:numPr>
          <w:ilvl w:val="0"/>
          <w:numId w:val="122"/>
        </w:numPr>
        <w:ind w:firstLineChars="0"/>
      </w:pPr>
      <w:r>
        <w:t>Supermajority voting provision for mergers.</w:t>
      </w:r>
    </w:p>
    <w:p w:rsidR="00747A63" w:rsidRDefault="00747A63" w:rsidP="004E1C97">
      <w:pPr>
        <w:pStyle w:val="ListParagraph"/>
        <w:numPr>
          <w:ilvl w:val="0"/>
          <w:numId w:val="122"/>
        </w:numPr>
        <w:ind w:firstLineChars="0"/>
      </w:pPr>
      <w:r>
        <w:t>Fair price amendment restricts a merger offer unless a fair price is offered.</w:t>
      </w:r>
    </w:p>
    <w:p w:rsidR="00747A63" w:rsidRDefault="00747A63" w:rsidP="004E1C97">
      <w:pPr>
        <w:pStyle w:val="ListParagraph"/>
        <w:numPr>
          <w:ilvl w:val="0"/>
          <w:numId w:val="122"/>
        </w:numPr>
        <w:ind w:firstLineChars="0"/>
      </w:pPr>
      <w:r>
        <w:rPr>
          <w:rFonts w:hint="eastAsia"/>
        </w:rPr>
        <w:t>Golden parachutes.</w:t>
      </w:r>
    </w:p>
    <w:p w:rsidR="00747A63" w:rsidRDefault="00747A63" w:rsidP="00747A63"/>
    <w:p w:rsidR="00747A63" w:rsidRDefault="00747A63" w:rsidP="00747A63">
      <w:r>
        <w:rPr>
          <w:rFonts w:hint="eastAsia"/>
        </w:rPr>
        <w:t>Post-offer Defense Mechanisms.</w:t>
      </w:r>
    </w:p>
    <w:p w:rsidR="00747A63" w:rsidRDefault="00747A63" w:rsidP="004E1C97">
      <w:pPr>
        <w:pStyle w:val="ListParagraph"/>
        <w:numPr>
          <w:ilvl w:val="0"/>
          <w:numId w:val="123"/>
        </w:numPr>
        <w:ind w:firstLineChars="0"/>
      </w:pPr>
      <w:r>
        <w:t>“Just say no” defense.</w:t>
      </w:r>
    </w:p>
    <w:p w:rsidR="00747A63" w:rsidRDefault="00747A63" w:rsidP="004E1C97">
      <w:pPr>
        <w:pStyle w:val="ListParagraph"/>
        <w:numPr>
          <w:ilvl w:val="0"/>
          <w:numId w:val="123"/>
        </w:numPr>
        <w:ind w:firstLineChars="0"/>
      </w:pPr>
      <w:r>
        <w:t>Litigation</w:t>
      </w:r>
    </w:p>
    <w:p w:rsidR="00747A63" w:rsidRDefault="00747A63" w:rsidP="004E1C97">
      <w:pPr>
        <w:pStyle w:val="ListParagraph"/>
        <w:numPr>
          <w:ilvl w:val="0"/>
          <w:numId w:val="123"/>
        </w:numPr>
        <w:ind w:firstLineChars="0"/>
      </w:pPr>
      <w:r>
        <w:t>Greenmail is a payoff to the potential acquirer to terminate the hostile takeover attempt.</w:t>
      </w:r>
    </w:p>
    <w:p w:rsidR="00184E34" w:rsidRDefault="00184E34" w:rsidP="004E1C97">
      <w:pPr>
        <w:pStyle w:val="ListParagraph"/>
        <w:numPr>
          <w:ilvl w:val="0"/>
          <w:numId w:val="123"/>
        </w:numPr>
        <w:ind w:firstLineChars="0"/>
      </w:pPr>
      <w:r>
        <w:t>Share repurchases. The target company can submit a tender offer for its own shares. This forces the acquirer to raise its bid in order to stay competitive with the target’s offer and also increases the use of leverage in the target’s capital structure.</w:t>
      </w:r>
    </w:p>
    <w:p w:rsidR="00184E34" w:rsidRDefault="00184E34" w:rsidP="004E1C97">
      <w:pPr>
        <w:pStyle w:val="ListParagraph"/>
        <w:numPr>
          <w:ilvl w:val="0"/>
          <w:numId w:val="123"/>
        </w:numPr>
        <w:ind w:firstLineChars="0"/>
      </w:pPr>
      <w:r>
        <w:t>Crown jewel defense. A target may decide to sell its major asset (attractive to the acquirer) to a neutral third party.</w:t>
      </w:r>
    </w:p>
    <w:p w:rsidR="00184E34" w:rsidRDefault="008D74D9" w:rsidP="004E1C97">
      <w:pPr>
        <w:pStyle w:val="ListParagraph"/>
        <w:numPr>
          <w:ilvl w:val="0"/>
          <w:numId w:val="123"/>
        </w:numPr>
        <w:ind w:firstLineChars="0"/>
      </w:pPr>
      <w:r>
        <w:t>Pac-Man defense. After a hostile takeover offer, the target can defend itself by making a counteroffer to acquire the acquirer.</w:t>
      </w:r>
    </w:p>
    <w:p w:rsidR="008D74D9" w:rsidRDefault="008D74D9" w:rsidP="004E1C97">
      <w:pPr>
        <w:pStyle w:val="ListParagraph"/>
        <w:numPr>
          <w:ilvl w:val="0"/>
          <w:numId w:val="123"/>
        </w:numPr>
        <w:ind w:firstLineChars="0"/>
      </w:pPr>
      <w:r>
        <w:t>White knight defense. A white knight is a friendly third party that comes to the rescue of the target company. The tendency for the winner to overpay is called the winner’s curse.</w:t>
      </w:r>
    </w:p>
    <w:p w:rsidR="008D74D9" w:rsidRDefault="008D74D9" w:rsidP="004E1C97">
      <w:pPr>
        <w:pStyle w:val="ListParagraph"/>
        <w:numPr>
          <w:ilvl w:val="0"/>
          <w:numId w:val="123"/>
        </w:numPr>
        <w:ind w:firstLineChars="0"/>
      </w:pPr>
      <w:r>
        <w:t>White squire defense. The target seeks a friendly third party that buys a minority stake in the target without buying the entire company.</w:t>
      </w:r>
    </w:p>
    <w:p w:rsidR="00321E8A" w:rsidRDefault="00321E8A" w:rsidP="00321E8A"/>
    <w:p w:rsidR="00321E8A" w:rsidRDefault="00321E8A" w:rsidP="00321E8A">
      <w:pPr>
        <w:pStyle w:val="Level3"/>
        <w:spacing w:after="156"/>
      </w:pPr>
      <w:r>
        <w:rPr>
          <w:rFonts w:hint="eastAsia"/>
        </w:rPr>
        <w:t>Calculate and interpret the HHI index, and evaluate the likelihood of an antitrust challenge for a given business combination</w:t>
      </w:r>
    </w:p>
    <w:tbl>
      <w:tblPr>
        <w:tblStyle w:val="TableGrid"/>
        <w:tblW w:w="0" w:type="auto"/>
        <w:tblLook w:val="04A0" w:firstRow="1" w:lastRow="0" w:firstColumn="1" w:lastColumn="0" w:noHBand="0" w:noVBand="1"/>
      </w:tblPr>
      <w:tblGrid>
        <w:gridCol w:w="2765"/>
        <w:gridCol w:w="2765"/>
        <w:gridCol w:w="2766"/>
      </w:tblGrid>
      <w:tr w:rsidR="00321E8A" w:rsidTr="00321E8A">
        <w:tc>
          <w:tcPr>
            <w:tcW w:w="2765" w:type="dxa"/>
          </w:tcPr>
          <w:p w:rsidR="00321E8A" w:rsidRDefault="00321E8A" w:rsidP="00321E8A">
            <w:r>
              <w:rPr>
                <w:rFonts w:hint="eastAsia"/>
              </w:rPr>
              <w:t>Post-Merger HHI</w:t>
            </w:r>
          </w:p>
        </w:tc>
        <w:tc>
          <w:tcPr>
            <w:tcW w:w="2765" w:type="dxa"/>
          </w:tcPr>
          <w:p w:rsidR="00321E8A" w:rsidRDefault="00321E8A" w:rsidP="00321E8A">
            <w:r>
              <w:rPr>
                <w:rFonts w:hint="eastAsia"/>
              </w:rPr>
              <w:t>Change in HHI</w:t>
            </w:r>
          </w:p>
        </w:tc>
        <w:tc>
          <w:tcPr>
            <w:tcW w:w="2766" w:type="dxa"/>
          </w:tcPr>
          <w:p w:rsidR="00321E8A" w:rsidRDefault="00321E8A" w:rsidP="00321E8A">
            <w:r>
              <w:rPr>
                <w:rFonts w:hint="eastAsia"/>
              </w:rPr>
              <w:t>Antitrust Action</w:t>
            </w:r>
          </w:p>
        </w:tc>
      </w:tr>
      <w:tr w:rsidR="00321E8A" w:rsidTr="00321E8A">
        <w:tc>
          <w:tcPr>
            <w:tcW w:w="2765" w:type="dxa"/>
          </w:tcPr>
          <w:p w:rsidR="00321E8A" w:rsidRDefault="00321E8A" w:rsidP="00321E8A">
            <w:r>
              <w:rPr>
                <w:rFonts w:hint="eastAsia"/>
              </w:rPr>
              <w:t>&lt; 1000</w:t>
            </w:r>
          </w:p>
        </w:tc>
        <w:tc>
          <w:tcPr>
            <w:tcW w:w="2765" w:type="dxa"/>
          </w:tcPr>
          <w:p w:rsidR="00321E8A" w:rsidRDefault="00321E8A" w:rsidP="00321E8A">
            <w:r>
              <w:rPr>
                <w:rFonts w:hint="eastAsia"/>
              </w:rPr>
              <w:t>-</w:t>
            </w:r>
          </w:p>
        </w:tc>
        <w:tc>
          <w:tcPr>
            <w:tcW w:w="2766" w:type="dxa"/>
          </w:tcPr>
          <w:p w:rsidR="00321E8A" w:rsidRDefault="00321E8A" w:rsidP="00321E8A">
            <w:r>
              <w:rPr>
                <w:rFonts w:hint="eastAsia"/>
              </w:rPr>
              <w:t>-</w:t>
            </w:r>
          </w:p>
        </w:tc>
      </w:tr>
      <w:tr w:rsidR="00321E8A" w:rsidTr="00321E8A">
        <w:tc>
          <w:tcPr>
            <w:tcW w:w="2765" w:type="dxa"/>
          </w:tcPr>
          <w:p w:rsidR="00321E8A" w:rsidRDefault="00321E8A" w:rsidP="00321E8A">
            <w:r>
              <w:rPr>
                <w:rFonts w:hint="eastAsia"/>
              </w:rPr>
              <w:t>&gt;=1000 and &lt;=1800</w:t>
            </w:r>
          </w:p>
        </w:tc>
        <w:tc>
          <w:tcPr>
            <w:tcW w:w="2765" w:type="dxa"/>
          </w:tcPr>
          <w:p w:rsidR="00321E8A" w:rsidRDefault="00321E8A" w:rsidP="00321E8A">
            <w:r>
              <w:rPr>
                <w:rFonts w:hint="eastAsia"/>
              </w:rPr>
              <w:t>&gt;= 100</w:t>
            </w:r>
          </w:p>
        </w:tc>
        <w:tc>
          <w:tcPr>
            <w:tcW w:w="2766" w:type="dxa"/>
          </w:tcPr>
          <w:p w:rsidR="00321E8A" w:rsidRDefault="00321E8A" w:rsidP="00321E8A">
            <w:r>
              <w:rPr>
                <w:rFonts w:hint="eastAsia"/>
              </w:rPr>
              <w:t>Possible challenge</w:t>
            </w:r>
          </w:p>
        </w:tc>
      </w:tr>
      <w:tr w:rsidR="00321E8A" w:rsidTr="00321E8A">
        <w:tc>
          <w:tcPr>
            <w:tcW w:w="2765" w:type="dxa"/>
          </w:tcPr>
          <w:p w:rsidR="00321E8A" w:rsidRDefault="00321E8A" w:rsidP="00321E8A">
            <w:r>
              <w:rPr>
                <w:rFonts w:hint="eastAsia"/>
              </w:rPr>
              <w:t>&gt;1800</w:t>
            </w:r>
          </w:p>
        </w:tc>
        <w:tc>
          <w:tcPr>
            <w:tcW w:w="2765" w:type="dxa"/>
          </w:tcPr>
          <w:p w:rsidR="00321E8A" w:rsidRDefault="00321E8A" w:rsidP="00321E8A">
            <w:r>
              <w:rPr>
                <w:rFonts w:hint="eastAsia"/>
              </w:rPr>
              <w:t>&gt;=50</w:t>
            </w:r>
          </w:p>
        </w:tc>
        <w:tc>
          <w:tcPr>
            <w:tcW w:w="2766" w:type="dxa"/>
          </w:tcPr>
          <w:p w:rsidR="00321E8A" w:rsidRDefault="00A0190D" w:rsidP="00321E8A">
            <w:r w:rsidRPr="00A0190D">
              <w:t>probable</w:t>
            </w:r>
          </w:p>
        </w:tc>
      </w:tr>
    </w:tbl>
    <w:p w:rsidR="00321E8A" w:rsidRDefault="00321E8A" w:rsidP="00321E8A"/>
    <w:p w:rsidR="00BF713A" w:rsidRDefault="00BF713A" w:rsidP="00BF713A">
      <w:pPr>
        <w:pStyle w:val="Level3"/>
        <w:spacing w:after="156"/>
      </w:pPr>
      <w:r>
        <w:rPr>
          <w:rFonts w:hint="eastAsia"/>
        </w:rPr>
        <w:t xml:space="preserve">Compare the discounted cash flow, comparable company, and comparable transaction analyses for valuing a target </w:t>
      </w:r>
      <w:r>
        <w:t>company</w:t>
      </w:r>
      <w:r>
        <w:rPr>
          <w:rFonts w:hint="eastAsia"/>
        </w:rPr>
        <w:t>,</w:t>
      </w:r>
      <w:r>
        <w:t xml:space="preserve"> including the advantages and disadvantages.</w:t>
      </w:r>
    </w:p>
    <w:p w:rsidR="00BF713A" w:rsidRDefault="00BF713A" w:rsidP="004E1C97">
      <w:pPr>
        <w:pStyle w:val="ListParagraph"/>
        <w:numPr>
          <w:ilvl w:val="0"/>
          <w:numId w:val="124"/>
        </w:numPr>
        <w:ind w:firstLineChars="0"/>
      </w:pPr>
      <w:r>
        <w:t xml:space="preserve">Comparable company analysis uses market data from similar firms </w:t>
      </w:r>
      <w:r w:rsidRPr="00BF713A">
        <w:rPr>
          <w:b/>
        </w:rPr>
        <w:t>plus a takeover premiums</w:t>
      </w:r>
      <w:r>
        <w:t>.</w:t>
      </w:r>
    </w:p>
    <w:p w:rsidR="00EB7E52" w:rsidRDefault="00EB7E52" w:rsidP="00EB7E52">
      <w:pPr>
        <w:pStyle w:val="ListParagraph"/>
        <w:ind w:left="420" w:firstLineChars="0" w:firstLine="0"/>
      </w:pPr>
      <w:r>
        <w:t>Takeover premium is calculated as (acquiring price – stock price) / stock price * 100%</w:t>
      </w:r>
    </w:p>
    <w:p w:rsidR="00BF713A" w:rsidRDefault="00BF713A" w:rsidP="004E1C97">
      <w:pPr>
        <w:pStyle w:val="ListParagraph"/>
        <w:numPr>
          <w:ilvl w:val="0"/>
          <w:numId w:val="124"/>
        </w:numPr>
        <w:ind w:firstLineChars="0"/>
      </w:pPr>
      <w:r>
        <w:rPr>
          <w:rFonts w:hint="eastAsia"/>
        </w:rPr>
        <w:t>Comparable transaction analysis uses details from completed MA deals for companies similar to the target.</w:t>
      </w:r>
    </w:p>
    <w:p w:rsidR="005C7C79" w:rsidRDefault="005C7C79" w:rsidP="005C7C79"/>
    <w:p w:rsidR="005C7C79" w:rsidRDefault="005C7C79" w:rsidP="004E1C97">
      <w:pPr>
        <w:pStyle w:val="Level3"/>
        <w:numPr>
          <w:ilvl w:val="2"/>
          <w:numId w:val="125"/>
        </w:numPr>
        <w:spacing w:after="156"/>
      </w:pPr>
      <w:r>
        <w:rPr>
          <w:rFonts w:hint="eastAsia"/>
        </w:rPr>
        <w:t>Distinguish among equity carve-outs, spin-offs, split-offs, and liquidation.</w:t>
      </w:r>
    </w:p>
    <w:p w:rsidR="005C7C79" w:rsidRDefault="005C7C79" w:rsidP="004E1C97">
      <w:pPr>
        <w:pStyle w:val="ListParagraph"/>
        <w:numPr>
          <w:ilvl w:val="0"/>
          <w:numId w:val="126"/>
        </w:numPr>
        <w:ind w:firstLineChars="0"/>
      </w:pPr>
      <w:r>
        <w:t>Eq</w:t>
      </w:r>
      <w:r>
        <w:rPr>
          <w:rFonts w:hint="eastAsia"/>
        </w:rPr>
        <w:t xml:space="preserve">uity </w:t>
      </w:r>
      <w:r>
        <w:t>carve-outs create a new independent company by giving an equity interest in a subsidiary to outside shareholders through a public offering.</w:t>
      </w:r>
    </w:p>
    <w:p w:rsidR="005C7C79" w:rsidRDefault="005C7C79" w:rsidP="004E1C97">
      <w:pPr>
        <w:pStyle w:val="ListParagraph"/>
        <w:numPr>
          <w:ilvl w:val="0"/>
          <w:numId w:val="126"/>
        </w:numPr>
        <w:ind w:firstLineChars="0"/>
      </w:pPr>
      <w:r>
        <w:t>Spin-offs are like carve-outs. The difference is that shares are distributed to the parent company’s shareholders.</w:t>
      </w:r>
    </w:p>
    <w:p w:rsidR="00A96461" w:rsidRDefault="005C7C79" w:rsidP="00350DE8">
      <w:pPr>
        <w:pStyle w:val="ListParagraph"/>
        <w:numPr>
          <w:ilvl w:val="0"/>
          <w:numId w:val="126"/>
        </w:numPr>
        <w:ind w:firstLineChars="0"/>
      </w:pPr>
      <w:r>
        <w:t xml:space="preserve">Split-offs allow shareholders to receive new shares of a division of the parent company </w:t>
      </w:r>
      <w:r w:rsidRPr="00EB7E52">
        <w:rPr>
          <w:b/>
        </w:rPr>
        <w:t>in exchange for</w:t>
      </w:r>
      <w:r w:rsidR="00A010BD" w:rsidRPr="00EB7E52">
        <w:rPr>
          <w:b/>
        </w:rPr>
        <w:t>/giving up</w:t>
      </w:r>
      <w:r>
        <w:t xml:space="preserve"> a portion of their shares in the parent company.</w:t>
      </w:r>
      <w:r w:rsidR="009B0460">
        <w:br w:type="page"/>
      </w:r>
    </w:p>
    <w:p w:rsidR="00266229" w:rsidRDefault="00A96461" w:rsidP="004E1C97">
      <w:pPr>
        <w:pStyle w:val="Level1"/>
        <w:numPr>
          <w:ilvl w:val="0"/>
          <w:numId w:val="111"/>
        </w:numPr>
      </w:pPr>
      <w:r>
        <w:rPr>
          <w:rFonts w:hint="eastAsia"/>
        </w:rPr>
        <w:lastRenderedPageBreak/>
        <w:t>Equity Investment</w:t>
      </w:r>
    </w:p>
    <w:p w:rsidR="0017338F" w:rsidRDefault="0017338F" w:rsidP="0017338F">
      <w:pPr>
        <w:pStyle w:val="Level2"/>
        <w:numPr>
          <w:ilvl w:val="1"/>
          <w:numId w:val="86"/>
        </w:numPr>
      </w:pPr>
      <w:r>
        <w:t>Equity Valuation: Application and Process</w:t>
      </w:r>
    </w:p>
    <w:p w:rsidR="0017338F" w:rsidRDefault="0017338F" w:rsidP="0017338F">
      <w:pPr>
        <w:pStyle w:val="Level3"/>
        <w:spacing w:after="156"/>
      </w:pPr>
      <w:r>
        <w:rPr>
          <w:rFonts w:hint="eastAsia"/>
        </w:rPr>
        <w:t xml:space="preserve">Define valuation and intrinsic value and explain sources of perceived </w:t>
      </w:r>
      <w:r>
        <w:t>mispricing</w:t>
      </w:r>
      <w:r>
        <w:rPr>
          <w:rFonts w:hint="eastAsia"/>
        </w:rPr>
        <w:t>.</w:t>
      </w:r>
    </w:p>
    <w:p w:rsidR="0017338F" w:rsidRDefault="0017338F" w:rsidP="0017338F">
      <w:r>
        <w:rPr>
          <w:rFonts w:hint="eastAsia"/>
        </w:rPr>
        <w:t>IV</w:t>
      </w:r>
      <w:r w:rsidRPr="001364B3">
        <w:rPr>
          <w:rFonts w:hint="eastAsia"/>
          <w:vertAlign w:val="subscript"/>
        </w:rPr>
        <w:t>estimate</w:t>
      </w:r>
      <w:r>
        <w:rPr>
          <w:rFonts w:hint="eastAsia"/>
        </w:rPr>
        <w:t xml:space="preserve"> </w:t>
      </w:r>
      <w:r>
        <w:t>– Price = (IV</w:t>
      </w:r>
      <w:r w:rsidRPr="001364B3">
        <w:rPr>
          <w:vertAlign w:val="subscript"/>
        </w:rPr>
        <w:t xml:space="preserve">actual </w:t>
      </w:r>
      <w:r>
        <w:t>– Price) + (IV</w:t>
      </w:r>
      <w:r>
        <w:rPr>
          <w:vertAlign w:val="subscript"/>
        </w:rPr>
        <w:t>e</w:t>
      </w:r>
      <w:r w:rsidRPr="001364B3">
        <w:rPr>
          <w:vertAlign w:val="subscript"/>
        </w:rPr>
        <w:t>stimate</w:t>
      </w:r>
      <w:r>
        <w:t xml:space="preserve"> – IV</w:t>
      </w:r>
      <w:r w:rsidRPr="001364B3">
        <w:rPr>
          <w:vertAlign w:val="subscript"/>
        </w:rPr>
        <w:t>actual</w:t>
      </w:r>
      <w:r>
        <w:t>)</w:t>
      </w:r>
    </w:p>
    <w:p w:rsidR="0017338F" w:rsidRPr="001364B3" w:rsidRDefault="0017338F" w:rsidP="0017338F">
      <w:r>
        <w:t>The difference between intrinsic value between market price is the source that active investment manager attempt to identify.</w:t>
      </w:r>
    </w:p>
    <w:p w:rsidR="0017338F" w:rsidRPr="001364B3" w:rsidRDefault="0017338F" w:rsidP="0017338F"/>
    <w:p w:rsidR="0017338F" w:rsidRDefault="0017338F" w:rsidP="0017338F">
      <w:pPr>
        <w:pStyle w:val="Level3"/>
        <w:numPr>
          <w:ilvl w:val="2"/>
          <w:numId w:val="90"/>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338F" w:rsidRDefault="0017338F" w:rsidP="0017338F">
      <w:r w:rsidRPr="00764BE7">
        <w:rPr>
          <w:b/>
        </w:rPr>
        <w:t xml:space="preserve">Investment value </w:t>
      </w:r>
      <w:r>
        <w:t>is the value of a stock to a particular buyer, which depends on buyer’s specific needs and expectations.</w:t>
      </w:r>
    </w:p>
    <w:p w:rsidR="0017338F" w:rsidRPr="001766AE" w:rsidRDefault="0017338F" w:rsidP="0017338F"/>
    <w:p w:rsidR="0017338F" w:rsidRDefault="0017338F" w:rsidP="0017338F">
      <w:pPr>
        <w:pStyle w:val="Level3"/>
        <w:numPr>
          <w:ilvl w:val="2"/>
          <w:numId w:val="89"/>
        </w:numPr>
        <w:spacing w:after="156"/>
      </w:pPr>
      <w:r>
        <w:rPr>
          <w:rFonts w:hint="eastAsia"/>
        </w:rPr>
        <w:t>Describe questions that should be addressed in conducting an industry and competitive analysis.</w:t>
      </w:r>
    </w:p>
    <w:p w:rsidR="0017338F" w:rsidRDefault="0017338F" w:rsidP="0017338F">
      <w:r>
        <w:t>5 elements of industry structure:</w:t>
      </w:r>
    </w:p>
    <w:p w:rsidR="0017338F" w:rsidRDefault="0017338F" w:rsidP="0017338F">
      <w:pPr>
        <w:pStyle w:val="ListParagraph"/>
        <w:numPr>
          <w:ilvl w:val="0"/>
          <w:numId w:val="87"/>
        </w:numPr>
        <w:ind w:firstLineChars="0"/>
      </w:pPr>
      <w:r>
        <w:rPr>
          <w:rFonts w:hint="eastAsia"/>
        </w:rPr>
        <w:t>Bargaining p</w:t>
      </w:r>
      <w:r>
        <w:t>ower of buyer</w:t>
      </w:r>
    </w:p>
    <w:p w:rsidR="0017338F" w:rsidRDefault="0017338F" w:rsidP="0017338F">
      <w:pPr>
        <w:pStyle w:val="ListParagraph"/>
        <w:numPr>
          <w:ilvl w:val="0"/>
          <w:numId w:val="87"/>
        </w:numPr>
        <w:ind w:firstLineChars="0"/>
      </w:pPr>
      <w:r>
        <w:rPr>
          <w:rFonts w:hint="eastAsia"/>
        </w:rPr>
        <w:t>Bargaining p</w:t>
      </w:r>
      <w:r>
        <w:t>ower of supplier</w:t>
      </w:r>
    </w:p>
    <w:p w:rsidR="0017338F" w:rsidRDefault="0017338F" w:rsidP="0017338F">
      <w:pPr>
        <w:pStyle w:val="ListParagraph"/>
        <w:numPr>
          <w:ilvl w:val="0"/>
          <w:numId w:val="87"/>
        </w:numPr>
        <w:ind w:firstLineChars="0"/>
      </w:pPr>
      <w:r>
        <w:t>Threat of new entrants</w:t>
      </w:r>
    </w:p>
    <w:p w:rsidR="0017338F" w:rsidRDefault="0017338F" w:rsidP="0017338F">
      <w:pPr>
        <w:pStyle w:val="ListParagraph"/>
        <w:numPr>
          <w:ilvl w:val="0"/>
          <w:numId w:val="87"/>
        </w:numPr>
        <w:ind w:firstLineChars="0"/>
      </w:pPr>
      <w:r>
        <w:t>Threat of substitutes</w:t>
      </w:r>
    </w:p>
    <w:p w:rsidR="0017338F" w:rsidRDefault="0017338F" w:rsidP="0017338F">
      <w:pPr>
        <w:pStyle w:val="ListParagraph"/>
        <w:numPr>
          <w:ilvl w:val="0"/>
          <w:numId w:val="87"/>
        </w:numPr>
        <w:ind w:firstLineChars="0"/>
      </w:pPr>
      <w:r>
        <w:t>Rivalry among existing competitors</w:t>
      </w:r>
    </w:p>
    <w:p w:rsidR="0017338F" w:rsidRDefault="0017338F" w:rsidP="0017338F"/>
    <w:p w:rsidR="0017338F" w:rsidRDefault="0017338F" w:rsidP="0017338F">
      <w:pPr>
        <w:pStyle w:val="Level3"/>
        <w:numPr>
          <w:ilvl w:val="2"/>
          <w:numId w:val="88"/>
        </w:numPr>
        <w:spacing w:after="156"/>
      </w:pPr>
      <w:r>
        <w:rPr>
          <w:rFonts w:hint="eastAsia"/>
        </w:rPr>
        <w:t>Describe sum-of-the-parts valuation and conglomerate discounts.</w:t>
      </w:r>
    </w:p>
    <w:p w:rsidR="0017338F" w:rsidRDefault="0017338F" w:rsidP="0017338F">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17338F" w:rsidRDefault="0017338F" w:rsidP="0017338F"/>
    <w:p w:rsidR="0017338F" w:rsidRDefault="0017338F" w:rsidP="0017338F">
      <w:pPr>
        <w:pStyle w:val="Level2"/>
      </w:pPr>
      <w:r>
        <w:rPr>
          <w:rFonts w:hint="eastAsia"/>
        </w:rPr>
        <w:t>Return Concepts</w:t>
      </w:r>
    </w:p>
    <w:p w:rsidR="0017338F" w:rsidRDefault="0017338F" w:rsidP="0017338F">
      <w:pPr>
        <w:pStyle w:val="Level3"/>
        <w:spacing w:after="156"/>
      </w:pPr>
      <w:r>
        <w:rPr>
          <w:rFonts w:hint="eastAsia"/>
        </w:rPr>
        <w:t>Calculate and interpret an equity risk premium using historical and forward-looking estimation approaches.</w:t>
      </w:r>
    </w:p>
    <w:p w:rsidR="0017338F" w:rsidRDefault="0017338F" w:rsidP="0017338F">
      <w:r>
        <w:rPr>
          <w:rFonts w:hint="eastAsia"/>
        </w:rPr>
        <w:t>Ibbotson-Chen model</w:t>
      </w:r>
    </w:p>
    <w:p w:rsidR="0017338F" w:rsidRDefault="0017338F" w:rsidP="0017338F">
      <w:r>
        <w:t>Equity risk premium = (1+long-term inflation forecast)*(1+growth in real earning)*(1+growth in P/E ratio) – 1 + dividend yield (income growth) – risk free rate</w:t>
      </w:r>
    </w:p>
    <w:p w:rsidR="0017338F" w:rsidRDefault="0017338F" w:rsidP="0017338F">
      <w:r>
        <w:t>Inflation can be derived from YTM of 20-year T-bonds – YTM of 20-year TIPS.</w:t>
      </w:r>
    </w:p>
    <w:p w:rsidR="0017338F" w:rsidRPr="006C54F2" w:rsidRDefault="0017338F" w:rsidP="0017338F"/>
    <w:p w:rsidR="0017338F" w:rsidRDefault="0017338F" w:rsidP="0017338F">
      <w:pPr>
        <w:pStyle w:val="Level3"/>
        <w:numPr>
          <w:ilvl w:val="2"/>
          <w:numId w:val="91"/>
        </w:numPr>
        <w:spacing w:after="156"/>
      </w:pPr>
      <w:r>
        <w:rPr>
          <w:rFonts w:hint="eastAsia"/>
        </w:rPr>
        <w:t>Estimate the required return on an equity investment using the CAPM, the Fama-French model, the Pastor-Stam</w:t>
      </w:r>
      <w:r>
        <w:t>baugh model, macro-economic multifactor models, and the build-up method.</w:t>
      </w:r>
    </w:p>
    <w:p w:rsidR="0017338F" w:rsidRDefault="0017338F" w:rsidP="0017338F">
      <w:pPr>
        <w:pStyle w:val="ListParagraph"/>
        <w:numPr>
          <w:ilvl w:val="0"/>
          <w:numId w:val="128"/>
        </w:numPr>
        <w:ind w:firstLineChars="0"/>
      </w:pPr>
      <w:r>
        <w:rPr>
          <w:rFonts w:hint="eastAsia"/>
        </w:rPr>
        <w:t>Fama-French Model</w:t>
      </w:r>
    </w:p>
    <w:p w:rsidR="0017338F" w:rsidRDefault="0017338F" w:rsidP="0017338F">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17338F" w:rsidRPr="00A54760" w:rsidRDefault="004D72DD" w:rsidP="0017338F">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17338F">
        <w:rPr>
          <w:rFonts w:hint="eastAsia"/>
        </w:rPr>
        <w:t xml:space="preserve"> = </w:t>
      </w:r>
      <w:r w:rsidR="0017338F">
        <w:t>return of h</w:t>
      </w:r>
      <w:r w:rsidR="0017338F">
        <w:rPr>
          <w:rFonts w:hint="eastAsia"/>
        </w:rPr>
        <w:t xml:space="preserve">igh book-to-market </w:t>
      </w:r>
      <w:r w:rsidR="0017338F">
        <w:t>security, which is usually value stock</w:t>
      </w:r>
    </w:p>
    <w:p w:rsidR="0017338F" w:rsidRDefault="0017338F" w:rsidP="0017338F">
      <w:pPr>
        <w:pStyle w:val="ListParagraph"/>
        <w:numPr>
          <w:ilvl w:val="0"/>
          <w:numId w:val="128"/>
        </w:numPr>
        <w:ind w:firstLineChars="0"/>
      </w:pPr>
      <w:r>
        <w:rPr>
          <w:rFonts w:hint="eastAsia"/>
        </w:rPr>
        <w:t>Pastor-Stambaugh Model adds a liquidity factor to the Fama-French model.</w:t>
      </w:r>
    </w:p>
    <w:p w:rsidR="0017338F" w:rsidRDefault="0017338F" w:rsidP="0017338F">
      <w:pPr>
        <w:pStyle w:val="ListParagraph"/>
        <w:numPr>
          <w:ilvl w:val="0"/>
          <w:numId w:val="128"/>
        </w:numPr>
        <w:ind w:firstLineChars="0"/>
      </w:pPr>
      <w:r>
        <w:t>Build-up model is usually applied to closely held companies where betas are not obtainable.</w:t>
      </w:r>
    </w:p>
    <w:p w:rsidR="0017338F" w:rsidRDefault="0017338F" w:rsidP="0017338F"/>
    <w:p w:rsidR="0017338F" w:rsidRDefault="0017338F" w:rsidP="0017338F">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17338F" w:rsidRDefault="0017338F" w:rsidP="0017338F">
      <w:r>
        <w:t>(Blume’s) Adjusted Beta for Public Companies</w:t>
      </w:r>
    </w:p>
    <w:p w:rsidR="0017338F" w:rsidRDefault="0017338F" w:rsidP="0017338F">
      <w:r>
        <w:t>Adjusted beta = (2/3 * beta) + (1/3 * 1)</w:t>
      </w:r>
    </w:p>
    <w:p w:rsidR="0017338F" w:rsidRDefault="0017338F" w:rsidP="0017338F"/>
    <w:p w:rsidR="0017338F" w:rsidRDefault="0017338F" w:rsidP="0017338F">
      <w:pPr>
        <w:pStyle w:val="Level3"/>
        <w:numPr>
          <w:ilvl w:val="2"/>
          <w:numId w:val="127"/>
        </w:numPr>
        <w:spacing w:after="156"/>
      </w:pPr>
      <w:r>
        <w:rPr>
          <w:rFonts w:hint="eastAsia"/>
        </w:rPr>
        <w:t>Explain international considerations in required return estimation</w:t>
      </w:r>
    </w:p>
    <w:p w:rsidR="0017338F" w:rsidRPr="000C4AD8" w:rsidRDefault="0017338F" w:rsidP="0017338F">
      <w:r>
        <w:t>Among the issues that concern analysts estimating the required return of equities in a global context are exchange rates and data and model issues in emerging markets.</w:t>
      </w:r>
    </w:p>
    <w:p w:rsidR="0017338F" w:rsidRDefault="0017338F" w:rsidP="0017338F"/>
    <w:p w:rsidR="0017338F" w:rsidRDefault="0017338F" w:rsidP="0017338F">
      <w:pPr>
        <w:pStyle w:val="Level2"/>
        <w:numPr>
          <w:ilvl w:val="1"/>
          <w:numId w:val="92"/>
        </w:numPr>
      </w:pPr>
      <w:r>
        <w:rPr>
          <w:rFonts w:hint="eastAsia"/>
        </w:rPr>
        <w:t xml:space="preserve">Your </w:t>
      </w:r>
      <w:r>
        <w:t>S</w:t>
      </w:r>
      <w:r>
        <w:rPr>
          <w:rFonts w:hint="eastAsia"/>
        </w:rPr>
        <w:t>trategy Needs a Strategy</w:t>
      </w:r>
    </w:p>
    <w:p w:rsidR="0017338F" w:rsidRDefault="0017338F" w:rsidP="0017338F">
      <w:pPr>
        <w:pStyle w:val="Level3"/>
        <w:numPr>
          <w:ilvl w:val="2"/>
          <w:numId w:val="92"/>
        </w:numPr>
        <w:spacing w:after="156"/>
      </w:pPr>
      <w:r>
        <w:rPr>
          <w:rFonts w:hint="eastAsia"/>
        </w:rPr>
        <w:t>De</w:t>
      </w:r>
      <w:r>
        <w:t>scribe how an industry’s predictability and malleability are expected to affect the choice of an appropriate corporate strategy.</w:t>
      </w:r>
    </w:p>
    <w:tbl>
      <w:tblPr>
        <w:tblStyle w:val="TableGrid"/>
        <w:tblW w:w="0" w:type="auto"/>
        <w:tblLook w:val="04A0" w:firstRow="1" w:lastRow="0" w:firstColumn="1" w:lastColumn="0" w:noHBand="0" w:noVBand="1"/>
      </w:tblPr>
      <w:tblGrid>
        <w:gridCol w:w="2765"/>
        <w:gridCol w:w="2765"/>
        <w:gridCol w:w="2766"/>
      </w:tblGrid>
      <w:tr w:rsidR="0017338F" w:rsidTr="00350DE8">
        <w:tc>
          <w:tcPr>
            <w:tcW w:w="2765" w:type="dxa"/>
          </w:tcPr>
          <w:p w:rsidR="0017338F" w:rsidRDefault="0017338F" w:rsidP="00350DE8"/>
        </w:tc>
        <w:tc>
          <w:tcPr>
            <w:tcW w:w="2765" w:type="dxa"/>
          </w:tcPr>
          <w:p w:rsidR="0017338F" w:rsidRDefault="0017338F" w:rsidP="00350DE8">
            <w:r>
              <w:rPr>
                <w:rFonts w:hint="eastAsia"/>
              </w:rPr>
              <w:t>Less Predictable</w:t>
            </w:r>
          </w:p>
        </w:tc>
        <w:tc>
          <w:tcPr>
            <w:tcW w:w="2766" w:type="dxa"/>
          </w:tcPr>
          <w:p w:rsidR="0017338F" w:rsidRDefault="0017338F" w:rsidP="00350DE8">
            <w:r>
              <w:rPr>
                <w:rFonts w:hint="eastAsia"/>
              </w:rPr>
              <w:t>More Predictable</w:t>
            </w:r>
          </w:p>
        </w:tc>
      </w:tr>
      <w:tr w:rsidR="0017338F" w:rsidTr="00350DE8">
        <w:tc>
          <w:tcPr>
            <w:tcW w:w="2765" w:type="dxa"/>
          </w:tcPr>
          <w:p w:rsidR="0017338F" w:rsidRDefault="0017338F" w:rsidP="00350DE8">
            <w:r>
              <w:rPr>
                <w:rFonts w:hint="eastAsia"/>
              </w:rPr>
              <w:t>Less Malleable</w:t>
            </w:r>
          </w:p>
        </w:tc>
        <w:tc>
          <w:tcPr>
            <w:tcW w:w="2765" w:type="dxa"/>
          </w:tcPr>
          <w:p w:rsidR="0017338F" w:rsidRDefault="0017338F" w:rsidP="00350DE8">
            <w:r>
              <w:rPr>
                <w:rFonts w:hint="eastAsia"/>
              </w:rPr>
              <w:t>Adaptive</w:t>
            </w:r>
          </w:p>
        </w:tc>
        <w:tc>
          <w:tcPr>
            <w:tcW w:w="2766" w:type="dxa"/>
          </w:tcPr>
          <w:p w:rsidR="0017338F" w:rsidRDefault="0017338F" w:rsidP="00350DE8">
            <w:r>
              <w:rPr>
                <w:rFonts w:hint="eastAsia"/>
              </w:rPr>
              <w:t>Classic</w:t>
            </w:r>
          </w:p>
        </w:tc>
      </w:tr>
      <w:tr w:rsidR="0017338F" w:rsidTr="00350DE8">
        <w:tc>
          <w:tcPr>
            <w:tcW w:w="2765" w:type="dxa"/>
          </w:tcPr>
          <w:p w:rsidR="0017338F" w:rsidRDefault="0017338F" w:rsidP="00350DE8">
            <w:r>
              <w:t>More</w:t>
            </w:r>
            <w:r>
              <w:rPr>
                <w:rFonts w:hint="eastAsia"/>
              </w:rPr>
              <w:t xml:space="preserve"> Malleable</w:t>
            </w:r>
          </w:p>
        </w:tc>
        <w:tc>
          <w:tcPr>
            <w:tcW w:w="2765" w:type="dxa"/>
          </w:tcPr>
          <w:p w:rsidR="0017338F" w:rsidRDefault="0017338F" w:rsidP="00350DE8">
            <w:r>
              <w:rPr>
                <w:rFonts w:hint="eastAsia"/>
              </w:rPr>
              <w:t>Shaping</w:t>
            </w:r>
          </w:p>
        </w:tc>
        <w:tc>
          <w:tcPr>
            <w:tcW w:w="2766" w:type="dxa"/>
          </w:tcPr>
          <w:p w:rsidR="0017338F" w:rsidRDefault="0017338F" w:rsidP="00350DE8">
            <w:r>
              <w:rPr>
                <w:rFonts w:hint="eastAsia"/>
              </w:rPr>
              <w:t>Visionary</w:t>
            </w:r>
          </w:p>
        </w:tc>
      </w:tr>
    </w:tbl>
    <w:p w:rsidR="0017338F" w:rsidRDefault="0017338F" w:rsidP="0017338F"/>
    <w:p w:rsidR="0017338F" w:rsidRDefault="0017338F" w:rsidP="0017338F">
      <w:pPr>
        <w:pStyle w:val="Level2"/>
      </w:pPr>
      <w:r>
        <w:rPr>
          <w:rFonts w:hint="eastAsia"/>
        </w:rPr>
        <w:t>Industry and Company Analysis</w:t>
      </w:r>
    </w:p>
    <w:p w:rsidR="0017338F" w:rsidRDefault="0017338F" w:rsidP="0017338F">
      <w:pPr>
        <w:pStyle w:val="Level3"/>
        <w:spacing w:after="156"/>
      </w:pPr>
      <w:r>
        <w:rPr>
          <w:rFonts w:hint="eastAsia"/>
        </w:rPr>
        <w:t>Forecast the following costs: COGS, SG&amp;A, financing costs and income taxes</w:t>
      </w:r>
    </w:p>
    <w:p w:rsidR="0017338F" w:rsidRDefault="0017338F" w:rsidP="0017338F">
      <w:r>
        <w:t>Gross interest expense = Gross debt * interest rate</w:t>
      </w:r>
    </w:p>
    <w:p w:rsidR="0017338F" w:rsidRDefault="0017338F" w:rsidP="0017338F">
      <w:r>
        <w:t>Net interest expense = Gross interest expense – interest income on cash and short-term debt securities</w:t>
      </w:r>
    </w:p>
    <w:p w:rsidR="0017338F" w:rsidRDefault="0017338F" w:rsidP="0017338F">
      <w:r>
        <w:t>Net debt = Gross debt – cash, cash equivalent and short-term securities.</w:t>
      </w:r>
    </w:p>
    <w:p w:rsidR="0017338F" w:rsidRDefault="0017338F" w:rsidP="0017338F"/>
    <w:p w:rsidR="0017338F" w:rsidRDefault="0017338F" w:rsidP="0017338F">
      <w:pPr>
        <w:pStyle w:val="Level3"/>
        <w:numPr>
          <w:ilvl w:val="2"/>
          <w:numId w:val="94"/>
        </w:numPr>
        <w:spacing w:after="156"/>
      </w:pPr>
      <w:r>
        <w:rPr>
          <w:rFonts w:hint="eastAsia"/>
        </w:rPr>
        <w:t>Describe the relationship between return on invested capital and competitive advantage.</w:t>
      </w:r>
    </w:p>
    <w:p w:rsidR="0017338F" w:rsidRDefault="0017338F" w:rsidP="0017338F">
      <w:r>
        <w:t xml:space="preserve">Return on invested capital = net operating profit </w:t>
      </w:r>
      <w:r w:rsidRPr="007A45F2">
        <w:rPr>
          <w:b/>
        </w:rPr>
        <w:t>adjusted for taxes</w:t>
      </w:r>
      <w:r>
        <w:t xml:space="preserve"> divided by invested capital.</w:t>
      </w:r>
    </w:p>
    <w:p w:rsidR="0017338F" w:rsidRDefault="0017338F" w:rsidP="0017338F">
      <w:r>
        <w:t>It allows comparisons across firms with different capital structures.</w:t>
      </w:r>
    </w:p>
    <w:p w:rsidR="0017338F" w:rsidRDefault="0017338F" w:rsidP="0017338F">
      <w:r>
        <w:t xml:space="preserve">Return on capital employed is similar to return on invested capital, but uses </w:t>
      </w:r>
      <w:r w:rsidRPr="005179C9">
        <w:rPr>
          <w:b/>
        </w:rPr>
        <w:t>pretax</w:t>
      </w:r>
      <w:r>
        <w:t xml:space="preserve"> operating earnings in the numerator.</w:t>
      </w:r>
    </w:p>
    <w:p w:rsidR="0017338F" w:rsidRDefault="0017338F" w:rsidP="0017338F"/>
    <w:p w:rsidR="0017338F" w:rsidRDefault="0017338F" w:rsidP="0017338F">
      <w:pPr>
        <w:pStyle w:val="Level2"/>
      </w:pPr>
      <w:r>
        <w:rPr>
          <w:rFonts w:hint="eastAsia"/>
        </w:rPr>
        <w:t>D</w:t>
      </w:r>
      <w:r>
        <w:t>iscounted Dividend Valuation</w:t>
      </w:r>
    </w:p>
    <w:p w:rsidR="0017338F" w:rsidRDefault="0017338F" w:rsidP="0017338F">
      <w:pPr>
        <w:pStyle w:val="Level3"/>
        <w:numPr>
          <w:ilvl w:val="2"/>
          <w:numId w:val="95"/>
        </w:numPr>
        <w:spacing w:after="156"/>
      </w:pPr>
      <w:r>
        <w:rPr>
          <w:rFonts w:hint="eastAsia"/>
        </w:rPr>
        <w:t>Calculate and interpret the PV of growth opportunities and the component of the leading PE related to PVGO</w:t>
      </w:r>
    </w:p>
    <w:p w:rsidR="0017338F" w:rsidRDefault="0017338F" w:rsidP="0017338F">
      <w:r>
        <w:t>V</w:t>
      </w:r>
      <w:r w:rsidRPr="00C41795">
        <w:rPr>
          <w:vertAlign w:val="subscript"/>
        </w:rPr>
        <w:t>0</w:t>
      </w:r>
      <w:r>
        <w:t xml:space="preserve"> = E</w:t>
      </w:r>
      <w:r w:rsidRPr="00C41795">
        <w:rPr>
          <w:vertAlign w:val="subscript"/>
        </w:rPr>
        <w:t>1</w:t>
      </w:r>
      <w:r>
        <w:t>/r + PVGO</w:t>
      </w:r>
    </w:p>
    <w:p w:rsidR="0017338F" w:rsidRDefault="0017338F" w:rsidP="0017338F"/>
    <w:p w:rsidR="0017338F" w:rsidRDefault="0017338F" w:rsidP="0017338F"/>
    <w:p w:rsidR="0017338F" w:rsidRDefault="0017338F" w:rsidP="0017338F"/>
    <w:p w:rsidR="0017338F" w:rsidRDefault="0017338F" w:rsidP="0017338F"/>
    <w:p w:rsidR="0017338F" w:rsidRDefault="0017338F" w:rsidP="0017338F">
      <w:pPr>
        <w:pStyle w:val="Level3"/>
        <w:numPr>
          <w:ilvl w:val="2"/>
          <w:numId w:val="96"/>
        </w:numPr>
        <w:spacing w:after="156"/>
      </w:pPr>
      <w:r>
        <w:rPr>
          <w:rFonts w:hint="eastAsia"/>
        </w:rPr>
        <w:lastRenderedPageBreak/>
        <w:t>Explain the assumptions and justify the selection of the two-stage DDM, the H-model, the three-stage DDM, or spreadsheet modeling to value a company</w:t>
      </w:r>
      <w:r>
        <w:t>’s common shares</w:t>
      </w:r>
    </w:p>
    <w:p w:rsidR="0017338F" w:rsidRDefault="0017338F" w:rsidP="0017338F">
      <w:r>
        <w:t>H-model:</w:t>
      </w:r>
    </w:p>
    <w:p w:rsidR="0017338F" w:rsidRPr="006563A7" w:rsidRDefault="004D72DD" w:rsidP="0017338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6563A7" w:rsidRPr="00C41795" w:rsidRDefault="006563A7" w:rsidP="0017338F"/>
    <w:p w:rsidR="0017338F" w:rsidRDefault="0017338F" w:rsidP="0017338F">
      <w:pPr>
        <w:pStyle w:val="Level3"/>
        <w:numPr>
          <w:ilvl w:val="2"/>
          <w:numId w:val="97"/>
        </w:numPr>
        <w:spacing w:after="156"/>
      </w:pPr>
      <w:r>
        <w:rPr>
          <w:rFonts w:hint="eastAsia"/>
        </w:rPr>
        <w:t xml:space="preserve">Calculate and interpret the SGR of a company and demonstrate the use of </w:t>
      </w:r>
      <w:r>
        <w:t>DuPont</w:t>
      </w:r>
      <w:r>
        <w:rPr>
          <w:rFonts w:hint="eastAsia"/>
        </w:rPr>
        <w:t xml:space="preserve"> analysis to estimate a company</w:t>
      </w:r>
      <w:r>
        <w:t>’s sustainable growth rate.</w:t>
      </w:r>
    </w:p>
    <w:p w:rsidR="0017338F" w:rsidRDefault="0017338F" w:rsidP="0017338F">
      <w:r>
        <w:t>When calculating ROE, use accounting data at beginning of a year.</w:t>
      </w:r>
    </w:p>
    <w:p w:rsidR="0017338F" w:rsidRDefault="0017338F" w:rsidP="0017338F"/>
    <w:p w:rsidR="0017338F" w:rsidRDefault="0017338F" w:rsidP="0017338F">
      <w:pPr>
        <w:pStyle w:val="Level2"/>
      </w:pPr>
      <w:r>
        <w:rPr>
          <w:rFonts w:hint="eastAsia"/>
        </w:rPr>
        <w:t>Free Cash Flow Valuation</w:t>
      </w:r>
    </w:p>
    <w:p w:rsidR="0017338F" w:rsidRDefault="0017338F" w:rsidP="0017338F">
      <w:pPr>
        <w:pStyle w:val="Level3"/>
        <w:spacing w:after="156"/>
      </w:pPr>
      <w:r>
        <w:rPr>
          <w:rFonts w:hint="eastAsia"/>
        </w:rPr>
        <w:t>Compare the FCFF and FCFE approaches to valuation.</w:t>
      </w:r>
    </w:p>
    <w:p w:rsidR="0017338F" w:rsidRDefault="0017338F" w:rsidP="0017338F">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17338F" w:rsidRDefault="0017338F" w:rsidP="0017338F"/>
    <w:p w:rsidR="0017338F" w:rsidRDefault="0017338F" w:rsidP="0017338F">
      <w:pPr>
        <w:pStyle w:val="Level3"/>
        <w:spacing w:after="156"/>
      </w:pPr>
      <w:r>
        <w:rPr>
          <w:rFonts w:hint="eastAsia"/>
        </w:rPr>
        <w:t>Explain the appropriate adjustments to NI, EBIT, EBITDA and CFO to calculate FCFF and FCFE.</w:t>
      </w:r>
    </w:p>
    <w:p w:rsidR="0017338F" w:rsidRDefault="0017338F" w:rsidP="0017338F">
      <w:r>
        <w:t>FCFF = NI + NCC + Interest * (1 – tax) – FCInv – WCInv</w:t>
      </w:r>
    </w:p>
    <w:p w:rsidR="0017338F" w:rsidRDefault="0017338F" w:rsidP="0017338F">
      <w:r>
        <w:t>FCFF = EBIT * (1 – tax) + Depreciation – FCInv – WCInv</w:t>
      </w:r>
    </w:p>
    <w:p w:rsidR="0017338F" w:rsidRDefault="0017338F" w:rsidP="0017338F">
      <w:r>
        <w:t>FCFF = EBITDA * (1 – tax) + Depreciation * tax – FCInv – WCInv</w:t>
      </w:r>
    </w:p>
    <w:p w:rsidR="0017338F" w:rsidRDefault="0017338F" w:rsidP="0017338F">
      <w:r>
        <w:t>FCFE = FCFF – interest * (1 – tax) + net borrowing</w:t>
      </w:r>
    </w:p>
    <w:p w:rsidR="0017338F" w:rsidRDefault="0017338F" w:rsidP="0017338F"/>
    <w:p w:rsidR="0017338F" w:rsidRDefault="0017338F" w:rsidP="0017338F">
      <w:r>
        <w:t>*Non-cash charge includes depreciation and restructuring charge. Added them back to NI.</w:t>
      </w:r>
    </w:p>
    <w:p w:rsidR="0017338F" w:rsidRDefault="0017338F" w:rsidP="0017338F"/>
    <w:p w:rsidR="0017338F" w:rsidRDefault="0017338F" w:rsidP="0017338F">
      <w:pPr>
        <w:pStyle w:val="ListParagraph"/>
        <w:numPr>
          <w:ilvl w:val="0"/>
          <w:numId w:val="98"/>
        </w:numPr>
        <w:ind w:firstLineChars="0"/>
      </w:pPr>
      <w:r>
        <w:rPr>
          <w:rFonts w:hint="eastAsia"/>
        </w:rPr>
        <w:t xml:space="preserve">Preferred dividend is </w:t>
      </w:r>
      <w:r>
        <w:t>subtracted</w:t>
      </w:r>
      <w:r>
        <w:rPr>
          <w:rFonts w:hint="eastAsia"/>
        </w:rPr>
        <w:t xml:space="preserve"> from </w:t>
      </w:r>
      <w:r>
        <w:t>EBIT with interest</w:t>
      </w:r>
    </w:p>
    <w:p w:rsidR="0017338F" w:rsidRDefault="0017338F" w:rsidP="0017338F">
      <w:pPr>
        <w:pStyle w:val="ListParagraph"/>
        <w:numPr>
          <w:ilvl w:val="0"/>
          <w:numId w:val="98"/>
        </w:numPr>
        <w:ind w:firstLineChars="0"/>
      </w:pPr>
      <w:r>
        <w:t xml:space="preserve">Assume there’s no PP&amp;E sold, </w:t>
      </w:r>
    </w:p>
    <w:p w:rsidR="0017338F" w:rsidRDefault="0017338F" w:rsidP="0017338F">
      <w:pPr>
        <w:pStyle w:val="ListParagraph"/>
        <w:ind w:left="420" w:firstLineChars="0"/>
      </w:pPr>
      <w:r>
        <w:t>Begin net BV PP&amp;E</w:t>
      </w:r>
    </w:p>
    <w:p w:rsidR="0017338F" w:rsidRDefault="0017338F" w:rsidP="0017338F">
      <w:pPr>
        <w:pStyle w:val="ListParagraph"/>
        <w:ind w:left="420" w:firstLineChars="0" w:firstLine="0"/>
      </w:pPr>
      <w:r>
        <w:t>-</w:t>
      </w:r>
      <w:r>
        <w:tab/>
        <w:t>Depreciation</w:t>
      </w:r>
    </w:p>
    <w:p w:rsidR="0017338F" w:rsidRDefault="0017338F" w:rsidP="0017338F">
      <w:pPr>
        <w:pStyle w:val="ListParagraph"/>
        <w:ind w:left="420" w:firstLineChars="0" w:firstLine="0"/>
      </w:pPr>
      <w:r>
        <w:t>+</w:t>
      </w:r>
      <w:r>
        <w:tab/>
        <w:t>FCInv</w:t>
      </w:r>
    </w:p>
    <w:p w:rsidR="0017338F" w:rsidRDefault="0017338F" w:rsidP="0017338F">
      <w:pPr>
        <w:pStyle w:val="ListParagraph"/>
        <w:ind w:left="420" w:firstLineChars="0" w:firstLine="0"/>
      </w:pPr>
      <w:r>
        <w:t>=</w:t>
      </w:r>
      <w:r>
        <w:tab/>
        <w:t>End net BV PP&amp;E</w:t>
      </w:r>
    </w:p>
    <w:p w:rsidR="0017338F" w:rsidRDefault="0017338F" w:rsidP="0017338F">
      <w:pPr>
        <w:pStyle w:val="ListParagraph"/>
        <w:ind w:left="420" w:firstLineChars="0" w:firstLine="0"/>
      </w:pPr>
      <w:r>
        <w:t>FCInv = End gross BV PP&amp;E – begin gross VB PP&amp;E</w:t>
      </w:r>
    </w:p>
    <w:p w:rsidR="0017338F" w:rsidRDefault="0017338F" w:rsidP="0017338F">
      <w:pPr>
        <w:pStyle w:val="ListParagraph"/>
        <w:numPr>
          <w:ilvl w:val="0"/>
          <w:numId w:val="98"/>
        </w:numPr>
        <w:ind w:firstLineChars="0"/>
      </w:pPr>
      <w:r>
        <w:rPr>
          <w:rFonts w:hint="eastAsia"/>
        </w:rPr>
        <w:t>Notes payable is not included in WCInv, but in net borrowing.</w:t>
      </w:r>
    </w:p>
    <w:p w:rsidR="0017338F" w:rsidRDefault="0017338F" w:rsidP="0017338F"/>
    <w:p w:rsidR="0017338F" w:rsidRDefault="0017338F" w:rsidP="0017338F">
      <w:pPr>
        <w:pStyle w:val="Level3"/>
        <w:numPr>
          <w:ilvl w:val="2"/>
          <w:numId w:val="99"/>
        </w:numPr>
        <w:spacing w:after="156"/>
      </w:pPr>
      <w:r>
        <w:rPr>
          <w:rFonts w:hint="eastAsia"/>
        </w:rPr>
        <w:t>Describe approaches for forecasting FCFF and FCFE.</w:t>
      </w:r>
    </w:p>
    <w:p w:rsidR="0017338F" w:rsidRDefault="0017338F" w:rsidP="0017338F">
      <w:r>
        <w:t>FCFE = NI + (1 – DR) * (Depreciation – FCInv – WCInv)</w:t>
      </w:r>
    </w:p>
    <w:p w:rsidR="0017338F" w:rsidRDefault="0017338F" w:rsidP="0017338F">
      <w:r>
        <w:t>DR = target debt-to-asset ratio</w:t>
      </w:r>
    </w:p>
    <w:p w:rsidR="0017338F" w:rsidRDefault="0017338F" w:rsidP="0017338F"/>
    <w:p w:rsidR="0017338F" w:rsidRDefault="0017338F" w:rsidP="0017338F">
      <w:pPr>
        <w:pStyle w:val="Level2"/>
      </w:pPr>
      <w:r>
        <w:rPr>
          <w:rFonts w:hint="eastAsia"/>
        </w:rPr>
        <w:t>Market-Based Valuation: Price and Enterprise Value Multiples</w:t>
      </w:r>
    </w:p>
    <w:p w:rsidR="0017338F" w:rsidRDefault="0017338F" w:rsidP="0017338F">
      <w:pPr>
        <w:pStyle w:val="Level3"/>
        <w:spacing w:after="156"/>
      </w:pPr>
      <w:r>
        <w:t>Calculate and interpret a justified price multiple.</w:t>
      </w:r>
    </w:p>
    <w:p w:rsidR="0017338F" w:rsidRDefault="0017338F" w:rsidP="0017338F">
      <w:r>
        <w:t>P/E Ratio</w:t>
      </w:r>
    </w:p>
    <w:p w:rsidR="0017338F" w:rsidRDefault="0017338F" w:rsidP="0017338F">
      <w:pPr>
        <w:pStyle w:val="ListParagraph"/>
        <w:numPr>
          <w:ilvl w:val="0"/>
          <w:numId w:val="98"/>
        </w:numPr>
        <w:ind w:firstLineChars="0"/>
      </w:pPr>
      <w:r>
        <w:t>T</w:t>
      </w:r>
      <w:r>
        <w:rPr>
          <w:rFonts w:hint="eastAsia"/>
        </w:rPr>
        <w:t xml:space="preserve">railing </w:t>
      </w:r>
      <w:r>
        <w:t>P/E = market price per share / EPS over previous 12 months</w:t>
      </w:r>
    </w:p>
    <w:p w:rsidR="0017338F" w:rsidRDefault="0017338F" w:rsidP="0017338F">
      <w:pPr>
        <w:pStyle w:val="ListParagraph"/>
        <w:numPr>
          <w:ilvl w:val="0"/>
          <w:numId w:val="98"/>
        </w:numPr>
        <w:ind w:firstLineChars="0"/>
      </w:pPr>
      <w:r>
        <w:lastRenderedPageBreak/>
        <w:t>Leading P/E = market price per share / forecasted EPS over next 12 months</w:t>
      </w:r>
    </w:p>
    <w:p w:rsidR="0017338F" w:rsidRDefault="0017338F" w:rsidP="0017338F">
      <w:r>
        <w:rPr>
          <w:rFonts w:hint="eastAsia"/>
        </w:rPr>
        <w:t>Justified</w:t>
      </w:r>
      <w:r>
        <w:t xml:space="preserve"> P/E multiples are affected by inflation rates and the ability of companies to pass through inflation in their costs in the form of higher prices to customers.</w:t>
      </w:r>
    </w:p>
    <w:p w:rsidR="0017338F" w:rsidRDefault="0017338F" w:rsidP="0017338F">
      <w:r>
        <w:t>If a company resides in a country with higher inflation rate, its P/E multiples will be lower.</w:t>
      </w:r>
    </w:p>
    <w:p w:rsidR="0017338F" w:rsidRDefault="0017338F" w:rsidP="0017338F">
      <w:r>
        <w:t>If a company has higher pass through rate, its P/E multiples will be lower.</w:t>
      </w:r>
    </w:p>
    <w:p w:rsidR="0017338F" w:rsidRDefault="0017338F" w:rsidP="0017338F"/>
    <w:p w:rsidR="0017338F" w:rsidRDefault="0017338F" w:rsidP="0017338F">
      <w:r>
        <w:rPr>
          <w:rFonts w:hint="eastAsia"/>
        </w:rPr>
        <w:t>Dividend Yield</w:t>
      </w:r>
    </w:p>
    <w:p w:rsidR="0017338F" w:rsidRDefault="0017338F" w:rsidP="0017338F">
      <w:pPr>
        <w:pStyle w:val="ListParagraph"/>
        <w:numPr>
          <w:ilvl w:val="0"/>
          <w:numId w:val="101"/>
        </w:numPr>
        <w:ind w:firstLineChars="0"/>
      </w:pPr>
      <w:r>
        <w:t>T</w:t>
      </w:r>
      <w:r>
        <w:rPr>
          <w:rFonts w:hint="eastAsia"/>
        </w:rPr>
        <w:t xml:space="preserve">railing </w:t>
      </w:r>
      <w:r>
        <w:t xml:space="preserve">D/P = 4 * </w:t>
      </w:r>
      <w:r w:rsidRPr="009F7214">
        <w:rPr>
          <w:b/>
        </w:rPr>
        <w:t>most recent quarterly dividend</w:t>
      </w:r>
      <w:r>
        <w:t xml:space="preserve"> / market price per share</w:t>
      </w:r>
    </w:p>
    <w:p w:rsidR="0017338F" w:rsidRDefault="0017338F" w:rsidP="0017338F">
      <w:pPr>
        <w:pStyle w:val="ListParagraph"/>
        <w:numPr>
          <w:ilvl w:val="0"/>
          <w:numId w:val="101"/>
        </w:numPr>
        <w:ind w:firstLineChars="0"/>
      </w:pPr>
      <w:r>
        <w:t xml:space="preserve">Leading D/P = </w:t>
      </w:r>
      <w:r w:rsidRPr="009F7214">
        <w:rPr>
          <w:b/>
        </w:rPr>
        <w:t>forecasted dividends over next 4 quarters</w:t>
      </w:r>
      <w:r>
        <w:t xml:space="preserve"> / market price per share</w:t>
      </w:r>
    </w:p>
    <w:p w:rsidR="0017338F" w:rsidRDefault="0017338F" w:rsidP="0017338F"/>
    <w:p w:rsidR="0017338F" w:rsidRDefault="0017338F" w:rsidP="0017338F">
      <w:pPr>
        <w:pStyle w:val="Level3"/>
        <w:numPr>
          <w:ilvl w:val="2"/>
          <w:numId w:val="102"/>
        </w:numPr>
        <w:spacing w:after="156"/>
      </w:pPr>
      <w:r>
        <w:rPr>
          <w:rFonts w:hint="eastAsia"/>
        </w:rPr>
        <w:t xml:space="preserve">Calculate and interpret underlying earnings, explain methods of normalizing EPS and </w:t>
      </w:r>
      <w:r>
        <w:t>calculate</w:t>
      </w:r>
      <w:r>
        <w:rPr>
          <w:rFonts w:hint="eastAsia"/>
        </w:rPr>
        <w:t xml:space="preserve"> </w:t>
      </w:r>
      <w:r>
        <w:t>normalized EPS</w:t>
      </w:r>
    </w:p>
    <w:p w:rsidR="0017338F" w:rsidRDefault="0017338F" w:rsidP="0017338F">
      <w:r>
        <w:t>Normalized Earnings</w:t>
      </w:r>
    </w:p>
    <w:p w:rsidR="0017338F" w:rsidRDefault="0017338F" w:rsidP="0017338F">
      <w:pPr>
        <w:pStyle w:val="ListParagraph"/>
        <w:numPr>
          <w:ilvl w:val="0"/>
          <w:numId w:val="103"/>
        </w:numPr>
        <w:ind w:firstLineChars="0"/>
      </w:pPr>
      <w:r>
        <w:rPr>
          <w:rFonts w:hint="eastAsia"/>
        </w:rPr>
        <w:t>Under the method of historical average EPS, it is estimated as the average EPS over some recent period.</w:t>
      </w:r>
    </w:p>
    <w:p w:rsidR="0017338F" w:rsidRDefault="0017338F" w:rsidP="0017338F">
      <w:pPr>
        <w:pStyle w:val="ListParagraph"/>
        <w:numPr>
          <w:ilvl w:val="0"/>
          <w:numId w:val="103"/>
        </w:numPr>
        <w:ind w:firstLineChars="0"/>
      </w:pPr>
      <w:r>
        <w:t>Under the method of average return on equity, it is estimated as the average ROE multiplied by the current book value per share.</w:t>
      </w:r>
    </w:p>
    <w:p w:rsidR="0017338F" w:rsidRPr="00F03B3F" w:rsidRDefault="0017338F" w:rsidP="0017338F">
      <w:pPr>
        <w:rPr>
          <w:lang w:val="en"/>
        </w:rPr>
      </w:pPr>
      <w:r>
        <w:rPr>
          <w:lang w:val="en"/>
        </w:rPr>
        <w:t>High P/E</w:t>
      </w:r>
      <w:r w:rsidRPr="00F03B3F">
        <w:rPr>
          <w:lang w:val="en"/>
        </w:rPr>
        <w:t xml:space="preserve"> on depressed EPS at the bottom of the cycle and l</w:t>
      </w:r>
      <w:r>
        <w:rPr>
          <w:lang w:val="en"/>
        </w:rPr>
        <w:t>ow P/E</w:t>
      </w:r>
      <w:r w:rsidRPr="00F03B3F">
        <w:rPr>
          <w:lang w:val="en"/>
        </w:rPr>
        <w:t xml:space="preserve"> on unusually high EPS at the top of the cycle reflect the countercyclical property of P/E known as the </w:t>
      </w:r>
      <w:r w:rsidRPr="00F03B3F">
        <w:rPr>
          <w:b/>
          <w:lang w:val="en"/>
        </w:rPr>
        <w:t>Molodovsky</w:t>
      </w:r>
      <w:r w:rsidRPr="00F03B3F">
        <w:rPr>
          <w:lang w:val="en"/>
        </w:rPr>
        <w:t xml:space="preserve"> effect.</w:t>
      </w:r>
    </w:p>
    <w:p w:rsidR="0017338F" w:rsidRDefault="0017338F" w:rsidP="0017338F"/>
    <w:p w:rsidR="0017338F" w:rsidRDefault="0017338F" w:rsidP="0017338F">
      <w:pPr>
        <w:pStyle w:val="Level3"/>
        <w:numPr>
          <w:ilvl w:val="2"/>
          <w:numId w:val="104"/>
        </w:numPr>
        <w:spacing w:after="156"/>
      </w:pPr>
      <w:r>
        <w:rPr>
          <w:rFonts w:hint="eastAsia"/>
        </w:rPr>
        <w:t>Calculate and interpret the justified P/E, P/B and P/S for a stock, based on forecasted fundamentals.</w:t>
      </w:r>
    </w:p>
    <w:p w:rsidR="0017338F" w:rsidRDefault="0017338F" w:rsidP="0017338F">
      <w:r>
        <w:t>Justified P/B ratio = (ROE – g) / (r – g)</w:t>
      </w:r>
    </w:p>
    <w:p w:rsidR="0017338F" w:rsidRDefault="0017338F" w:rsidP="0017338F"/>
    <w:p w:rsidR="0017338F" w:rsidRDefault="0017338F" w:rsidP="0017338F">
      <w:pPr>
        <w:pStyle w:val="Level3"/>
        <w:numPr>
          <w:ilvl w:val="2"/>
          <w:numId w:val="105"/>
        </w:numPr>
        <w:spacing w:after="156"/>
      </w:pPr>
      <w:r>
        <w:rPr>
          <w:rFonts w:hint="eastAsia"/>
        </w:rPr>
        <w:t>Calculate and interpret the P/E-to-growth ratio and explain its use in relative valuation.</w:t>
      </w:r>
    </w:p>
    <w:p w:rsidR="0017338F" w:rsidRDefault="0017338F" w:rsidP="0017338F">
      <w:r>
        <w:t>PEG ratio = P/E ratio / g</w:t>
      </w:r>
    </w:p>
    <w:p w:rsidR="0017338F" w:rsidRDefault="0017338F" w:rsidP="0017338F">
      <w:r>
        <w:rPr>
          <w:rFonts w:hint="eastAsia"/>
        </w:rPr>
        <w:t>PEG ratio does not factor in differences in risk, and does not account for differences in the duration of growth.</w:t>
      </w:r>
    </w:p>
    <w:p w:rsidR="0017338F" w:rsidRDefault="0017338F" w:rsidP="0017338F"/>
    <w:p w:rsidR="0017338F" w:rsidRDefault="0017338F" w:rsidP="0017338F">
      <w:pPr>
        <w:pStyle w:val="Level3"/>
        <w:numPr>
          <w:ilvl w:val="2"/>
          <w:numId w:val="106"/>
        </w:numPr>
        <w:spacing w:after="156"/>
      </w:pPr>
      <w:r>
        <w:rPr>
          <w:rFonts w:hint="eastAsia"/>
        </w:rPr>
        <w:t>Calculate and interpret EV multiples and evaluate the use of EV/EBITDA</w:t>
      </w:r>
    </w:p>
    <w:p w:rsidR="0017338F" w:rsidRDefault="0017338F" w:rsidP="0017338F">
      <w:r>
        <w:t xml:space="preserve">EV = MV of common stock + MV of preferred stock + MV of </w:t>
      </w:r>
      <w:r w:rsidRPr="00387A0E">
        <w:rPr>
          <w:b/>
        </w:rPr>
        <w:t>long-term</w:t>
      </w:r>
      <w:r>
        <w:t xml:space="preserve"> debt + minority interest – cash and investment</w:t>
      </w:r>
    </w:p>
    <w:p w:rsidR="0017338F" w:rsidRDefault="0017338F" w:rsidP="0017338F"/>
    <w:p w:rsidR="0017338F" w:rsidRDefault="0017338F" w:rsidP="0017338F">
      <w:pPr>
        <w:pStyle w:val="Level2"/>
      </w:pPr>
      <w:r>
        <w:rPr>
          <w:rFonts w:hint="eastAsia"/>
        </w:rPr>
        <w:t>Residual Income Valuation</w:t>
      </w:r>
    </w:p>
    <w:p w:rsidR="0017338F" w:rsidRDefault="0017338F" w:rsidP="0017338F">
      <w:pPr>
        <w:pStyle w:val="Level3"/>
        <w:spacing w:after="156"/>
      </w:pPr>
      <w:r>
        <w:rPr>
          <w:rFonts w:hint="eastAsia"/>
        </w:rPr>
        <w:t>Calculate and interpret residual income, economic value added, and market value added.</w:t>
      </w:r>
    </w:p>
    <w:p w:rsidR="0017338F" w:rsidRDefault="0017338F" w:rsidP="0017338F">
      <w:r>
        <w:t>Economic value added = net operating profit after tax – (WACC * total capital)</w:t>
      </w:r>
    </w:p>
    <w:p w:rsidR="0017338F" w:rsidRDefault="0017338F" w:rsidP="0017338F">
      <w:r>
        <w:tab/>
      </w:r>
      <w:r>
        <w:tab/>
      </w:r>
      <w:r>
        <w:tab/>
      </w:r>
      <w:r>
        <w:tab/>
        <w:t xml:space="preserve">   = EBIT * (1 – t) - $WACC</w:t>
      </w:r>
    </w:p>
    <w:p w:rsidR="0017338F" w:rsidRDefault="0017338F" w:rsidP="0017338F">
      <w:r>
        <w:t>Market value added = market value of total capital (debt &amp; equity) – book value of total capital</w:t>
      </w:r>
    </w:p>
    <w:p w:rsidR="0017338F" w:rsidRDefault="0017338F" w:rsidP="0017338F"/>
    <w:p w:rsidR="0017338F" w:rsidRDefault="0017338F" w:rsidP="0017338F">
      <w:pPr>
        <w:pStyle w:val="Level3"/>
        <w:spacing w:after="156"/>
      </w:pPr>
      <w:r>
        <w:t>Calculate the intrinsic value of a common stock using the RI model and compare value recognition in RI and other PV models.</w:t>
      </w:r>
    </w:p>
    <w:p w:rsidR="0017338F" w:rsidRPr="00FA4B4D" w:rsidRDefault="0017338F" w:rsidP="0017338F">
      <w:r>
        <w:lastRenderedPageBreak/>
        <w:t>RI</w:t>
      </w:r>
      <w:r w:rsidRPr="00A440A2">
        <w:rPr>
          <w:vertAlign w:val="subscript"/>
        </w:rPr>
        <w:t>t</w:t>
      </w:r>
      <w:r>
        <w:t xml:space="preserve"> = E</w:t>
      </w:r>
      <w:r w:rsidRPr="00A440A2">
        <w:rPr>
          <w:vertAlign w:val="subscript"/>
        </w:rPr>
        <w:t>t</w:t>
      </w:r>
      <w:r>
        <w:t xml:space="preserve"> – (r * B</w:t>
      </w:r>
      <w:r w:rsidRPr="0017102C">
        <w:rPr>
          <w:vertAlign w:val="subscript"/>
        </w:rPr>
        <w:t>t-1</w:t>
      </w:r>
      <w:r>
        <w:t>) = (ROE – r) * B</w:t>
      </w:r>
      <w:r w:rsidRPr="0017102C">
        <w:rPr>
          <w:vertAlign w:val="subscript"/>
        </w:rPr>
        <w:t>t-1</w:t>
      </w:r>
      <w:r>
        <w:t xml:space="preserve"> = EBIT * (1 – t) – (total capital * R</w:t>
      </w:r>
      <w:r w:rsidRPr="00FA4B4D">
        <w:rPr>
          <w:vertAlign w:val="subscript"/>
        </w:rPr>
        <w:t>wacc</w:t>
      </w:r>
      <w:r>
        <w:t>)</w:t>
      </w:r>
    </w:p>
    <w:p w:rsidR="0017338F" w:rsidRDefault="0017338F" w:rsidP="0017338F">
      <w:pPr>
        <w:pStyle w:val="Level3"/>
        <w:numPr>
          <w:ilvl w:val="2"/>
          <w:numId w:val="107"/>
        </w:numPr>
        <w:spacing w:after="156"/>
      </w:pPr>
      <w:r>
        <w:rPr>
          <w:rFonts w:hint="eastAsia"/>
        </w:rPr>
        <w:t>Explain continuing RI and justify an estimate of continuing RI at the forecast horizon, given company and industry prospects.</w:t>
      </w:r>
    </w:p>
    <w:p w:rsidR="0017338F" w:rsidRPr="00F03B3F" w:rsidRDefault="0017338F" w:rsidP="0017338F">
      <w:pPr>
        <w:rPr>
          <w:b/>
        </w:rPr>
      </w:pPr>
      <w:r w:rsidRPr="00F03B3F">
        <w:rPr>
          <w:b/>
        </w:rPr>
        <w:t>Assumption #3: Residual Income Declines over Time to Zero</w:t>
      </w:r>
    </w:p>
    <w:p w:rsidR="0017338F" w:rsidRDefault="0017338F" w:rsidP="0017338F">
      <w:r>
        <w:rPr>
          <w:rFonts w:hint="eastAsia"/>
        </w:rPr>
        <w:t>PV of continuing RI in year T-1 = RI</w:t>
      </w:r>
      <w:r w:rsidRPr="006E52F1">
        <w:rPr>
          <w:rFonts w:hint="eastAsia"/>
          <w:vertAlign w:val="subscript"/>
        </w:rPr>
        <w:t>T</w:t>
      </w:r>
      <w:r>
        <w:rPr>
          <w:rFonts w:hint="eastAsia"/>
        </w:rPr>
        <w:t xml:space="preserve"> / (1 + r </w:t>
      </w:r>
      <w:r>
        <w:t>–</w:t>
      </w:r>
      <w:r>
        <w:rPr>
          <w:rFonts w:hint="eastAsia"/>
        </w:rPr>
        <w:t xml:space="preserve"> w)</w:t>
      </w:r>
    </w:p>
    <w:p w:rsidR="0017338F" w:rsidRDefault="0017338F" w:rsidP="0017338F">
      <w:r>
        <w:t>Where w = persistence factor</w:t>
      </w:r>
    </w:p>
    <w:p w:rsidR="0017338F" w:rsidRDefault="0017338F" w:rsidP="0017338F">
      <w:r>
        <w:t>This PV already includes RI in year T.</w:t>
      </w:r>
    </w:p>
    <w:p w:rsidR="0017338F" w:rsidRPr="00F03B3F" w:rsidRDefault="0017338F" w:rsidP="0017338F">
      <w:pPr>
        <w:rPr>
          <w:b/>
        </w:rPr>
      </w:pPr>
      <w:r w:rsidRPr="00F03B3F">
        <w:rPr>
          <w:b/>
        </w:rPr>
        <w:t>Assumption #4: Residual Income Declines to Long-Run Level in Mature Industry</w:t>
      </w:r>
    </w:p>
    <w:p w:rsidR="0017338F" w:rsidRDefault="0017338F" w:rsidP="0017338F">
      <w:r>
        <w:t>PV of continuing RI in year T-1 = (P</w:t>
      </w:r>
      <w:r w:rsidRPr="00FC7075">
        <w:rPr>
          <w:vertAlign w:val="subscript"/>
        </w:rPr>
        <w:t>T</w:t>
      </w:r>
      <w:r>
        <w:t xml:space="preserve"> – B</w:t>
      </w:r>
      <w:r w:rsidRPr="00FC7075">
        <w:rPr>
          <w:vertAlign w:val="subscript"/>
        </w:rPr>
        <w:t>T</w:t>
      </w:r>
      <w:r>
        <w:t xml:space="preserve"> + RI</w:t>
      </w:r>
      <w:r w:rsidRPr="00FC7075">
        <w:rPr>
          <w:vertAlign w:val="subscript"/>
        </w:rPr>
        <w:t>T</w:t>
      </w:r>
      <w:r>
        <w:t>) / (1 + r)</w:t>
      </w:r>
    </w:p>
    <w:p w:rsidR="0017338F" w:rsidRDefault="0017338F" w:rsidP="0017338F"/>
    <w:p w:rsidR="0017338F" w:rsidRDefault="0017338F" w:rsidP="0017338F">
      <w:pPr>
        <w:pStyle w:val="Level2"/>
      </w:pPr>
      <w:r>
        <w:rPr>
          <w:rFonts w:hint="eastAsia"/>
        </w:rPr>
        <w:t>Private Company Valuation</w:t>
      </w:r>
    </w:p>
    <w:p w:rsidR="0017338F" w:rsidRDefault="0017338F" w:rsidP="0017338F">
      <w:pPr>
        <w:pStyle w:val="Level3"/>
        <w:numPr>
          <w:ilvl w:val="2"/>
          <w:numId w:val="108"/>
        </w:numPr>
        <w:spacing w:after="156"/>
      </w:pPr>
      <w:r>
        <w:rPr>
          <w:rFonts w:hint="eastAsia"/>
        </w:rPr>
        <w:t xml:space="preserve">Calculate the value of a private company using free cash flow, </w:t>
      </w:r>
      <w:r>
        <w:t>capitalized</w:t>
      </w:r>
      <w:r>
        <w:rPr>
          <w:rFonts w:hint="eastAsia"/>
        </w:rPr>
        <w:t xml:space="preserve"> </w:t>
      </w:r>
      <w:r>
        <w:t>cash flow, and excess earnings methods.</w:t>
      </w:r>
    </w:p>
    <w:p w:rsidR="0017338F" w:rsidRDefault="0017338F" w:rsidP="0017338F">
      <w:r>
        <w:rPr>
          <w:rFonts w:hint="eastAsia"/>
        </w:rPr>
        <w:t>The excess earning method</w:t>
      </w:r>
    </w:p>
    <w:p w:rsidR="0017338F" w:rsidRDefault="0017338F" w:rsidP="0017338F">
      <w:r>
        <w:t>Excess earning0 = normalized earning – fixed asset * R</w:t>
      </w:r>
      <w:r w:rsidRPr="001C614B">
        <w:rPr>
          <w:vertAlign w:val="subscript"/>
        </w:rPr>
        <w:t>fa</w:t>
      </w:r>
      <w:r>
        <w:t xml:space="preserve"> – working capital * R</w:t>
      </w:r>
      <w:r w:rsidRPr="001C614B">
        <w:rPr>
          <w:vertAlign w:val="subscript"/>
        </w:rPr>
        <w:t>wc</w:t>
      </w:r>
    </w:p>
    <w:p w:rsidR="0017338F" w:rsidRDefault="0017338F" w:rsidP="0017338F">
      <w:r>
        <w:t>RI = excess earning0 * (1 + g) / (r</w:t>
      </w:r>
      <w:r w:rsidRPr="00D439C7">
        <w:rPr>
          <w:vertAlign w:val="subscript"/>
        </w:rPr>
        <w:t>intangible</w:t>
      </w:r>
      <w:r>
        <w:t xml:space="preserve"> – g)</w:t>
      </w:r>
    </w:p>
    <w:p w:rsidR="0017338F" w:rsidRDefault="0017338F" w:rsidP="0017338F">
      <w:r>
        <w:t>V = fixed asset + working capital + RI (intangible’s value)</w:t>
      </w:r>
    </w:p>
    <w:p w:rsidR="0017338F" w:rsidRDefault="0017338F" w:rsidP="0017338F"/>
    <w:p w:rsidR="0017338F" w:rsidRDefault="0017338F" w:rsidP="0017338F">
      <w:pPr>
        <w:pStyle w:val="Level3"/>
        <w:numPr>
          <w:ilvl w:val="2"/>
          <w:numId w:val="109"/>
        </w:numPr>
        <w:spacing w:after="156"/>
      </w:pPr>
      <w:r>
        <w:t>Calculate the value of a private company based on market approach method and describe advantages and disadvantages of each method.</w:t>
      </w:r>
    </w:p>
    <w:p w:rsidR="0017338F" w:rsidRDefault="0017338F" w:rsidP="0017338F">
      <w:r>
        <w:t>Guideline Public Company Method</w:t>
      </w:r>
    </w:p>
    <w:p w:rsidR="0017338F" w:rsidRDefault="0017338F" w:rsidP="0017338F">
      <w:r>
        <w:rPr>
          <w:rFonts w:hint="eastAsia"/>
        </w:rPr>
        <w:t xml:space="preserve">GPCM uses price multiples from trade data for public companies, with adjustments to the multiples to account for differences between the subject firm and the </w:t>
      </w:r>
      <w:r>
        <w:t>comparables</w:t>
      </w:r>
      <w:r>
        <w:rPr>
          <w:rFonts w:hint="eastAsia"/>
        </w:rPr>
        <w:t>.</w:t>
      </w:r>
    </w:p>
    <w:p w:rsidR="0017338F" w:rsidRDefault="0017338F" w:rsidP="0017338F">
      <w:r>
        <w:t>Control premium adjustments are made only to the equity portion of the firm’s value.</w:t>
      </w:r>
    </w:p>
    <w:p w:rsidR="0017338F" w:rsidRPr="00F264C3" w:rsidRDefault="0017338F" w:rsidP="0017338F"/>
    <w:p w:rsidR="0017338F" w:rsidRDefault="0017338F" w:rsidP="0017338F">
      <w:r>
        <w:rPr>
          <w:rFonts w:hint="eastAsia"/>
        </w:rPr>
        <w:t>Guideline Transactions Method</w:t>
      </w:r>
    </w:p>
    <w:p w:rsidR="0017338F" w:rsidRDefault="0017338F" w:rsidP="0017338F">
      <w:r>
        <w:t xml:space="preserve">When using this method, prior acquisition values for </w:t>
      </w:r>
      <w:r w:rsidRPr="00915406">
        <w:rPr>
          <w:b/>
        </w:rPr>
        <w:t>entire</w:t>
      </w:r>
      <w:r>
        <w:t xml:space="preserve"> companies that already reflect any control premiums are used, </w:t>
      </w:r>
      <w:r w:rsidRPr="00915406">
        <w:rPr>
          <w:b/>
        </w:rPr>
        <w:t>so no additional adjustments for a controlling interest in necessary</w:t>
      </w:r>
      <w:r>
        <w:t>.</w:t>
      </w:r>
    </w:p>
    <w:p w:rsidR="0017338F" w:rsidRDefault="0017338F" w:rsidP="0017338F"/>
    <w:p w:rsidR="0017338F" w:rsidRDefault="0017338F" w:rsidP="0017338F">
      <w:r>
        <w:t>Prior Transaction Method</w:t>
      </w:r>
    </w:p>
    <w:p w:rsidR="0017338F" w:rsidRDefault="0017338F" w:rsidP="0017338F">
      <w:r>
        <w:t xml:space="preserve">PTM uses transactions data from the stock of the actual subject company and is most appropriate when </w:t>
      </w:r>
      <w:r w:rsidRPr="00051936">
        <w:rPr>
          <w:b/>
        </w:rPr>
        <w:t>valuing minority interests</w:t>
      </w:r>
      <w:r>
        <w:t>.</w:t>
      </w:r>
    </w:p>
    <w:p w:rsidR="0017338F" w:rsidRDefault="0017338F" w:rsidP="0017338F"/>
    <w:p w:rsidR="0017338F" w:rsidRDefault="0017338F" w:rsidP="0017338F">
      <w:pPr>
        <w:pStyle w:val="Level3"/>
        <w:spacing w:after="156"/>
      </w:pPr>
      <w:r>
        <w:t>Explain and evaluate the effects on private company valuations of discounts and premiums based on control and marketability.</w:t>
      </w:r>
    </w:p>
    <w:p w:rsidR="0017338F" w:rsidRPr="00593E45" w:rsidRDefault="0017338F" w:rsidP="0017338F">
      <w:r>
        <w:t>The discount for lack of control = 1 – 1 / (1 + control premium)</w:t>
      </w:r>
    </w:p>
    <w:p w:rsidR="00266229" w:rsidRDefault="00266229" w:rsidP="00C84712">
      <w:pPr>
        <w:pStyle w:val="Level2"/>
        <w:numPr>
          <w:ilvl w:val="0"/>
          <w:numId w:val="0"/>
        </w:numPr>
      </w:pPr>
      <w:r>
        <w:br w:type="page"/>
      </w:r>
    </w:p>
    <w:p w:rsidR="00710222" w:rsidRDefault="00266229" w:rsidP="008432D3">
      <w:pPr>
        <w:pStyle w:val="Level1"/>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ListParagraph"/>
        <w:numPr>
          <w:ilvl w:val="0"/>
          <w:numId w:val="71"/>
        </w:numPr>
        <w:ind w:firstLineChars="0"/>
      </w:pPr>
      <w:r>
        <w:rPr>
          <w:rFonts w:hint="eastAsia"/>
        </w:rPr>
        <w:t>Exemption from taxation.</w:t>
      </w:r>
    </w:p>
    <w:p w:rsidR="004413B8" w:rsidRDefault="004413B8" w:rsidP="002A6A88">
      <w:pPr>
        <w:pStyle w:val="ListParagraph"/>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1A3CC1">
      <w:pPr>
        <w:pStyle w:val="Level3"/>
        <w:spacing w:after="156"/>
      </w:pPr>
      <w:r>
        <w:rPr>
          <w:rFonts w:hint="eastAsia"/>
        </w:rPr>
        <w:t xml:space="preserve">Interpret and compare financial performance of PE funds </w:t>
      </w:r>
      <w:r>
        <w:t>from</w:t>
      </w:r>
      <w:r>
        <w:rPr>
          <w:rFonts w:hint="eastAsia"/>
        </w:rPr>
        <w:t xml:space="preserve"> the perspective of an investor.</w:t>
      </w:r>
    </w:p>
    <w:p w:rsidR="000E068F" w:rsidRDefault="000E068F" w:rsidP="000E068F">
      <w:r>
        <w:lastRenderedPageBreak/>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numPr>
          <w:ilvl w:val="2"/>
          <w:numId w:val="77"/>
        </w:numPr>
        <w:spacing w:after="156"/>
      </w:pPr>
      <w:r>
        <w:rPr>
          <w:rFonts w:hint="eastAsia"/>
        </w:rPr>
        <w:t>Describe the components of return to a commodity futures and a portfolio of commodity futures.</w:t>
      </w:r>
    </w:p>
    <w:p w:rsidR="00CE599D" w:rsidRDefault="00CE599D" w:rsidP="002A6A88">
      <w:pPr>
        <w:pStyle w:val="ListParagraph"/>
        <w:numPr>
          <w:ilvl w:val="0"/>
          <w:numId w:val="78"/>
        </w:numPr>
        <w:ind w:firstLineChars="0"/>
      </w:pPr>
      <w:r>
        <w:rPr>
          <w:rFonts w:hint="eastAsia"/>
        </w:rPr>
        <w:t>Spot return</w:t>
      </w:r>
    </w:p>
    <w:p w:rsidR="00CE599D" w:rsidRDefault="00CE599D" w:rsidP="002A6A88">
      <w:pPr>
        <w:pStyle w:val="ListParagraph"/>
        <w:numPr>
          <w:ilvl w:val="0"/>
          <w:numId w:val="78"/>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2A6A88">
      <w:pPr>
        <w:pStyle w:val="ListParagraph"/>
        <w:numPr>
          <w:ilvl w:val="0"/>
          <w:numId w:val="78"/>
        </w:numPr>
        <w:ind w:firstLineChars="0"/>
      </w:pPr>
      <w:r>
        <w:t>Collateral return</w:t>
      </w:r>
    </w:p>
    <w:p w:rsidR="00CD5943" w:rsidRDefault="00CE599D" w:rsidP="002A6A88">
      <w:pPr>
        <w:pStyle w:val="ListParagraph"/>
        <w:numPr>
          <w:ilvl w:val="0"/>
          <w:numId w:val="78"/>
        </w:numPr>
        <w:ind w:firstLineChars="0"/>
      </w:pPr>
      <w:r>
        <w:t>Rebalancing return</w:t>
      </w:r>
    </w:p>
    <w:p w:rsidR="00CD5943" w:rsidRDefault="00CD5943" w:rsidP="001A3CC1">
      <w:pPr>
        <w:pStyle w:val="Level2"/>
      </w:pPr>
      <w:r>
        <w:br w:type="page"/>
      </w:r>
    </w:p>
    <w:p w:rsidR="00CE599D" w:rsidRDefault="00CD5943" w:rsidP="002A6A88">
      <w:pPr>
        <w:pStyle w:val="Level1"/>
        <w:numPr>
          <w:ilvl w:val="0"/>
          <w:numId w:val="79"/>
        </w:numPr>
      </w:pPr>
      <w:r>
        <w:lastRenderedPageBreak/>
        <w:t>Portfolio Management</w:t>
      </w:r>
    </w:p>
    <w:p w:rsidR="00CD5943" w:rsidRDefault="00CD5943" w:rsidP="002A6A88">
      <w:pPr>
        <w:pStyle w:val="Level2"/>
        <w:numPr>
          <w:ilvl w:val="1"/>
          <w:numId w:val="80"/>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4D72DD"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4D72DD"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the return to asset i</w:t>
      </w:r>
    </w:p>
    <w:p w:rsidR="00CD5943" w:rsidRDefault="004D72DD"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the expected return of asset i</w:t>
      </w:r>
    </w:p>
    <w:p w:rsidR="00CD5943" w:rsidRPr="00CD5943" w:rsidRDefault="004D72DD"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 ..., K</w:t>
      </w:r>
    </w:p>
    <w:p w:rsidR="00CD5943" w:rsidRDefault="004D72DD"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4D72DD"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4D72DD"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4D72DD"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2A6A88">
      <w:pPr>
        <w:pStyle w:val="ListParagraph"/>
        <w:numPr>
          <w:ilvl w:val="0"/>
          <w:numId w:val="81"/>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2A6A88">
      <w:pPr>
        <w:pStyle w:val="ListParagraph"/>
        <w:numPr>
          <w:ilvl w:val="0"/>
          <w:numId w:val="81"/>
        </w:numPr>
        <w:ind w:firstLineChars="0"/>
      </w:pPr>
      <w:r>
        <w:t>Company share-related factors: These factors directly incorporate investors’ expectation, including earning/dividend yield, book-to-market.</w:t>
      </w:r>
    </w:p>
    <w:p w:rsidR="007249A8" w:rsidRPr="00220CB1" w:rsidRDefault="007249A8" w:rsidP="002A6A88">
      <w:pPr>
        <w:pStyle w:val="ListParagraph"/>
        <w:numPr>
          <w:ilvl w:val="0"/>
          <w:numId w:val="81"/>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1A3CC1">
      <w:pPr>
        <w:pStyle w:val="Level2"/>
      </w:pPr>
      <w:r>
        <w:t>Analysis of Active Portfolio Management</w:t>
      </w:r>
    </w:p>
    <w:p w:rsidR="00287645" w:rsidRDefault="00287645" w:rsidP="002A6A88">
      <w:pPr>
        <w:pStyle w:val="Level3"/>
        <w:numPr>
          <w:ilvl w:val="0"/>
          <w:numId w:val="82"/>
        </w:numPr>
        <w:spacing w:after="156"/>
      </w:pPr>
      <w:r>
        <w:rPr>
          <w:rFonts w:hint="eastAsia"/>
        </w:rPr>
        <w:t xml:space="preserve">Active </w:t>
      </w:r>
      <w:r>
        <w:t>Management and Value Added</w:t>
      </w:r>
    </w:p>
    <w:p w:rsidR="00287645" w:rsidRDefault="00287645" w:rsidP="002A6A88">
      <w:pPr>
        <w:pStyle w:val="ListParagraph"/>
        <w:numPr>
          <w:ilvl w:val="1"/>
          <w:numId w:val="82"/>
        </w:numPr>
        <w:ind w:firstLineChars="0"/>
      </w:pPr>
      <w:r>
        <w:rPr>
          <w:rFonts w:hint="eastAsia"/>
        </w:rPr>
        <w:t xml:space="preserve">Measuring Value </w:t>
      </w:r>
      <w:r>
        <w:t>Added</w:t>
      </w:r>
    </w:p>
    <w:p w:rsidR="00287645" w:rsidRPr="00287645" w:rsidRDefault="004D72DD"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4D72DD"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2A6A88">
      <w:pPr>
        <w:pStyle w:val="ListParagraph"/>
        <w:numPr>
          <w:ilvl w:val="1"/>
          <w:numId w:val="82"/>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4D72DD"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4D72DD"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2A6A88">
      <w:pPr>
        <w:pStyle w:val="ListParagraph"/>
        <w:numPr>
          <w:ilvl w:val="0"/>
          <w:numId w:val="82"/>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r>
        <w:t>STD(R</w:t>
      </w:r>
      <w:r w:rsidRPr="007A14C1">
        <w:rPr>
          <w:vertAlign w:val="subscript"/>
        </w:rPr>
        <w:t>Aorignal</w:t>
      </w:r>
      <w:r>
        <w:t>),</w:t>
      </w:r>
      <w:r w:rsidR="009F3D8C">
        <w:t xml:space="preserve"> </w:t>
      </w:r>
      <w:r>
        <w:rPr>
          <w:rFonts w:hint="eastAsia"/>
        </w:rPr>
        <w:lastRenderedPageBreak/>
        <w:t>the maximum sharp ratio</w:t>
      </w:r>
      <w:r>
        <w:t xml:space="preserve"> of the portfolio should be:</w:t>
      </w:r>
    </w:p>
    <w:p w:rsidR="007A14C1" w:rsidRPr="007A14C1" w:rsidRDefault="004D72DD"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r w:rsidRPr="00B004B4">
        <w:rPr>
          <w:b/>
        </w:rPr>
        <w:t>STD(R</w:t>
      </w:r>
      <w:r w:rsidRPr="00B004B4">
        <w:rPr>
          <w:b/>
          <w:vertAlign w:val="subscript"/>
        </w:rPr>
        <w:t>Aoptimal</w:t>
      </w:r>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4D72DD"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4D72DD"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4D72DD"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can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4D72DD"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65805"/>
                    </a:xfrm>
                    <a:prstGeom prst="rect">
                      <a:avLst/>
                    </a:prstGeom>
                  </pic:spPr>
                </pic:pic>
              </a:graphicData>
            </a:graphic>
          </wp:inline>
        </w:drawing>
      </w:r>
    </w:p>
    <w:p w:rsidR="004C20EA" w:rsidRPr="004C20EA" w:rsidRDefault="004C20EA" w:rsidP="002A6A88">
      <w:pPr>
        <w:pStyle w:val="ListParagraph"/>
        <w:numPr>
          <w:ilvl w:val="0"/>
          <w:numId w:val="83"/>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2A6A88">
      <w:pPr>
        <w:pStyle w:val="ListParagraph"/>
        <w:numPr>
          <w:ilvl w:val="0"/>
          <w:numId w:val="83"/>
        </w:numPr>
        <w:ind w:firstLineChars="0"/>
      </w:pPr>
      <w:r>
        <w:rPr>
          <w:rFonts w:hint="eastAsia"/>
        </w:rPr>
        <w:lastRenderedPageBreak/>
        <w:t xml:space="preserve">According to </w:t>
      </w:r>
      <w:r>
        <w:t xml:space="preserve">Grinold rule, </w:t>
      </w:r>
    </w:p>
    <w:p w:rsidR="002C230A" w:rsidRPr="00BE7D70" w:rsidRDefault="004D72DD"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can be scaled to</w:t>
      </w:r>
      <w:r w:rsidR="00BE7D70">
        <w:t>:</w:t>
      </w:r>
    </w:p>
    <w:p w:rsidR="00BE7D70" w:rsidRDefault="004D72DD"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4D72DD"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2A6A88">
      <w:pPr>
        <w:pStyle w:val="ListParagraph"/>
        <w:numPr>
          <w:ilvl w:val="0"/>
          <w:numId w:val="83"/>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2A6A88">
      <w:pPr>
        <w:pStyle w:val="ListParagraph"/>
        <w:numPr>
          <w:ilvl w:val="0"/>
          <w:numId w:val="83"/>
        </w:numPr>
        <w:ind w:firstLineChars="0"/>
      </w:pPr>
      <w:r>
        <w:rPr>
          <w:rFonts w:hint="eastAsia"/>
        </w:rPr>
        <w:t xml:space="preserve">The Basic </w:t>
      </w:r>
      <w:r w:rsidR="000C5EE0">
        <w:t>F</w:t>
      </w:r>
      <w:r>
        <w:rPr>
          <w:rFonts w:hint="eastAsia"/>
        </w:rPr>
        <w:t>undamental Law:</w:t>
      </w:r>
    </w:p>
    <w:p w:rsidR="00E85B5B" w:rsidRPr="001E280F" w:rsidRDefault="004D72DD"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4D72DD"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2A6A88">
      <w:pPr>
        <w:pStyle w:val="ListParagraph"/>
        <w:numPr>
          <w:ilvl w:val="0"/>
          <w:numId w:val="83"/>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r>
        <w:t>w</w:t>
      </w:r>
      <w:r w:rsidRPr="00FB5509">
        <w:rPr>
          <w:vertAlign w:val="subscript"/>
        </w:rPr>
        <w:t>i</w:t>
      </w:r>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r w:rsidRPr="00B004B4">
        <w:rPr>
          <w:b/>
        </w:rPr>
        <w:t>STD(R</w:t>
      </w:r>
      <w:r w:rsidRPr="00B004B4">
        <w:rPr>
          <w:b/>
          <w:vertAlign w:val="subscript"/>
        </w:rPr>
        <w:t>Aoptimal</w:t>
      </w:r>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4D72DD"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4D72DD"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2A6A88">
      <w:pPr>
        <w:pStyle w:val="ListParagraph"/>
        <w:numPr>
          <w:ilvl w:val="0"/>
          <w:numId w:val="84"/>
        </w:numPr>
        <w:ind w:firstLineChars="0"/>
      </w:pPr>
      <w:r>
        <w:rPr>
          <w:rFonts w:hint="eastAsia"/>
        </w:rPr>
        <w:t>Practical Limitations</w:t>
      </w:r>
    </w:p>
    <w:p w:rsidR="00170F8C" w:rsidRDefault="00170F8C" w:rsidP="002A6A88">
      <w:pPr>
        <w:pStyle w:val="ListParagraph"/>
        <w:numPr>
          <w:ilvl w:val="1"/>
          <w:numId w:val="84"/>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2A6A88">
      <w:pPr>
        <w:pStyle w:val="ListParagraph"/>
        <w:numPr>
          <w:ilvl w:val="1"/>
          <w:numId w:val="84"/>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1A3CC1">
      <w:pPr>
        <w:pStyle w:val="Level2"/>
      </w:pPr>
      <w:r>
        <w:rPr>
          <w:rFonts w:hint="eastAsia"/>
        </w:rPr>
        <w:t xml:space="preserve">Economics and </w:t>
      </w:r>
      <w:r>
        <w:t>Investment Markets</w:t>
      </w:r>
    </w:p>
    <w:p w:rsidR="00386348" w:rsidRDefault="00386348" w:rsidP="00386348"/>
    <w:p w:rsidR="00E912C0" w:rsidRDefault="00E912C0" w:rsidP="002A6A88">
      <w:pPr>
        <w:pStyle w:val="ListParagraph"/>
        <w:numPr>
          <w:ilvl w:val="0"/>
          <w:numId w:val="83"/>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Price of an investment = E</w:t>
      </w:r>
      <w:r w:rsidRPr="00386348">
        <w:rPr>
          <w:vertAlign w:val="subscript"/>
        </w:rPr>
        <w:t>t</w:t>
      </w:r>
      <w:r>
        <w:t>[m˜</w:t>
      </w:r>
      <w:r w:rsidRPr="00386348">
        <w:rPr>
          <w:vertAlign w:val="subscript"/>
        </w:rPr>
        <w:t>t,s</w:t>
      </w:r>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2A6A88">
      <w:pPr>
        <w:pStyle w:val="ListParagraph"/>
        <w:numPr>
          <w:ilvl w:val="0"/>
          <w:numId w:val="83"/>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2A6A88">
      <w:pPr>
        <w:pStyle w:val="ListParagraph"/>
        <w:numPr>
          <w:ilvl w:val="0"/>
          <w:numId w:val="83"/>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2A6A88">
      <w:pPr>
        <w:pStyle w:val="ListParagraph"/>
        <w:numPr>
          <w:ilvl w:val="0"/>
          <w:numId w:val="85"/>
        </w:numPr>
        <w:ind w:firstLineChars="0"/>
      </w:pPr>
      <w:r>
        <w:rPr>
          <w:rFonts w:hint="eastAsia"/>
        </w:rPr>
        <w:t>The market expects the future rate will increase.</w:t>
      </w:r>
    </w:p>
    <w:p w:rsidR="001C3E62" w:rsidRPr="00E912C0" w:rsidRDefault="001C3E62" w:rsidP="002A6A88">
      <w:pPr>
        <w:pStyle w:val="ListParagraph"/>
        <w:numPr>
          <w:ilvl w:val="0"/>
          <w:numId w:val="85"/>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03" w:usb1="190F00C0" w:usb2="00000010" w:usb3="00000000" w:csb0="803E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B11E53F0"/>
    <w:lvl w:ilvl="0">
      <w:start w:val="1"/>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ECD6F75"/>
    <w:multiLevelType w:val="hybridMultilevel"/>
    <w:tmpl w:val="3B0C9D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32C2762"/>
    <w:multiLevelType w:val="hybridMultilevel"/>
    <w:tmpl w:val="2766EF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184A0EA5"/>
    <w:multiLevelType w:val="hybridMultilevel"/>
    <w:tmpl w:val="2B5A8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8907DD4"/>
    <w:multiLevelType w:val="hybridMultilevel"/>
    <w:tmpl w:val="F59CF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1D3833D9"/>
    <w:multiLevelType w:val="hybridMultilevel"/>
    <w:tmpl w:val="7EA29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ECF26E7"/>
    <w:multiLevelType w:val="hybridMultilevel"/>
    <w:tmpl w:val="3CA62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6F6741B"/>
    <w:multiLevelType w:val="hybridMultilevel"/>
    <w:tmpl w:val="A002F166"/>
    <w:lvl w:ilvl="0" w:tplc="D2F49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15:restartNumberingAfterBreak="0">
    <w:nsid w:val="2FD66ACE"/>
    <w:multiLevelType w:val="hybridMultilevel"/>
    <w:tmpl w:val="81D09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9885048"/>
    <w:multiLevelType w:val="hybridMultilevel"/>
    <w:tmpl w:val="5C9AE5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3ABB5776"/>
    <w:multiLevelType w:val="hybridMultilevel"/>
    <w:tmpl w:val="CEF2CE30"/>
    <w:lvl w:ilvl="0" w:tplc="9AD8B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0152834"/>
    <w:multiLevelType w:val="hybridMultilevel"/>
    <w:tmpl w:val="16148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6"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524315B2"/>
    <w:multiLevelType w:val="hybridMultilevel"/>
    <w:tmpl w:val="CF64E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64B95F49"/>
    <w:multiLevelType w:val="hybridMultilevel"/>
    <w:tmpl w:val="8EFE0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0"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3"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4"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5"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757979EB"/>
    <w:multiLevelType w:val="hybridMultilevel"/>
    <w:tmpl w:val="F3BC1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76A44B36"/>
    <w:multiLevelType w:val="hybridMultilevel"/>
    <w:tmpl w:val="295C2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1" w15:restartNumberingAfterBreak="0">
    <w:nsid w:val="78465750"/>
    <w:multiLevelType w:val="hybridMultilevel"/>
    <w:tmpl w:val="C10C7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3"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6"/>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9"/>
  </w:num>
  <w:num w:numId="5">
    <w:abstractNumId w:val="54"/>
  </w:num>
  <w:num w:numId="6">
    <w:abstractNumId w:val="64"/>
  </w:num>
  <w:num w:numId="7">
    <w:abstractNumId w:val="29"/>
  </w:num>
  <w:num w:numId="8">
    <w:abstractNumId w:val="68"/>
  </w:num>
  <w:num w:numId="9">
    <w:abstractNumId w:val="19"/>
  </w:num>
  <w:num w:numId="10">
    <w:abstractNumId w:val="9"/>
  </w:num>
  <w:num w:numId="11">
    <w:abstractNumId w:val="18"/>
  </w:num>
  <w:num w:numId="12">
    <w:abstractNumId w:val="52"/>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59"/>
  </w:num>
  <w:num w:numId="16">
    <w:abstractNumId w:val="74"/>
  </w:num>
  <w:num w:numId="17">
    <w:abstractNumId w:val="22"/>
  </w:num>
  <w:num w:numId="18">
    <w:abstractNumId w:val="14"/>
  </w:num>
  <w:num w:numId="19">
    <w:abstractNumId w:val="17"/>
  </w:num>
  <w:num w:numId="20">
    <w:abstractNumId w:val="8"/>
  </w:num>
  <w:num w:numId="21">
    <w:abstractNumId w:val="33"/>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5"/>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4"/>
  </w:num>
  <w:num w:numId="27">
    <w:abstractNumId w:val="53"/>
  </w:num>
  <w:num w:numId="28">
    <w:abstractNumId w:val="62"/>
  </w:num>
  <w:num w:numId="29">
    <w:abstractNumId w:val="12"/>
  </w:num>
  <w:num w:numId="30">
    <w:abstractNumId w:val="58"/>
  </w:num>
  <w:num w:numId="31">
    <w:abstractNumId w:val="4"/>
  </w:num>
  <w:num w:numId="32">
    <w:abstractNumId w:val="41"/>
  </w:num>
  <w:num w:numId="33">
    <w:abstractNumId w:val="3"/>
  </w:num>
  <w:num w:numId="34">
    <w:abstractNumId w:val="48"/>
  </w:num>
  <w:num w:numId="35">
    <w:abstractNumId w:val="25"/>
  </w:num>
  <w:num w:numId="36">
    <w:abstractNumId w:val="27"/>
  </w:num>
  <w:num w:numId="37">
    <w:abstractNumId w:val="51"/>
  </w:num>
  <w:num w:numId="38">
    <w:abstractNumId w:val="32"/>
  </w:num>
  <w:num w:numId="39">
    <w:abstractNumId w:val="61"/>
  </w:num>
  <w:num w:numId="40">
    <w:abstractNumId w:val="49"/>
  </w:num>
  <w:num w:numId="41">
    <w:abstractNumId w:val="42"/>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35"/>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num>
  <w:num w:numId="49">
    <w:abstractNumId w:val="70"/>
  </w:num>
  <w:num w:numId="50">
    <w:abstractNumId w:val="40"/>
  </w:num>
  <w:num w:numId="51">
    <w:abstractNumId w:val="46"/>
  </w:num>
  <w:num w:numId="52">
    <w:abstractNumId w:val="45"/>
  </w:num>
  <w:num w:numId="53">
    <w:abstractNumId w:val="65"/>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0"/>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3"/>
  </w:num>
  <w:num w:numId="59">
    <w:abstractNumId w:val="57"/>
  </w:num>
  <w:num w:numId="60">
    <w:abstractNumId w:val="28"/>
  </w:num>
  <w:num w:numId="61">
    <w:abstractNumId w:val="47"/>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3"/>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
    <w:lvlOverride w:ilvl="0">
      <w:startOverride w:val="9"/>
    </w:lvlOverride>
    <w:lvlOverride w:ilvl="1">
      <w:startOverride w:val="4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60"/>
  </w:num>
  <w:num w:numId="79">
    <w:abstractNumId w:val="10"/>
    <w:lvlOverride w:ilvl="0">
      <w:startOverride w:val="10"/>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8"/>
  </w:num>
  <w:num w:numId="82">
    <w:abstractNumId w:val="63"/>
  </w:num>
  <w:num w:numId="83">
    <w:abstractNumId w:val="66"/>
  </w:num>
  <w:num w:numId="84">
    <w:abstractNumId w:val="72"/>
  </w:num>
  <w:num w:numId="85">
    <w:abstractNumId w:val="5"/>
  </w:num>
  <w:num w:numId="86">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3"/>
  </w:num>
  <w:num w:numId="88">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44"/>
  </w:num>
  <w:num w:numId="99">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0"/>
    <w:lvlOverride w:ilvl="0">
      <w:startOverride w:val="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0"/>
  </w:num>
  <w:num w:numId="102">
    <w:abstractNumId w:val="10"/>
    <w:lvlOverride w:ilvl="0">
      <w:startOverride w:val="7"/>
    </w:lvlOverride>
    <w:lvlOverride w:ilvl="1">
      <w:startOverride w:val="36"/>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
  </w:num>
  <w:num w:numId="104">
    <w:abstractNumId w:val="10"/>
    <w:lvlOverride w:ilvl="0">
      <w:startOverride w:val="7"/>
    </w:lvlOverride>
    <w:lvlOverride w:ilvl="1">
      <w:startOverride w:val="36"/>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
    <w:lvlOverride w:ilvl="0">
      <w:startOverride w:val="7"/>
    </w:lvlOverride>
    <w:lvlOverride w:ilvl="1">
      <w:startOverride w:val="36"/>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
    <w:lvlOverride w:ilvl="0">
      <w:startOverride w:val="7"/>
    </w:lvlOverride>
    <w:lvlOverride w:ilvl="1">
      <w:startOverride w:val="36"/>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
    <w:lvlOverride w:ilvl="0">
      <w:startOverride w:val="7"/>
    </w:lvlOverride>
    <w:lvlOverride w:ilvl="1">
      <w:startOverride w:val="37"/>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0"/>
    <w:lvlOverride w:ilvl="0">
      <w:startOverride w:val="7"/>
    </w:lvlOverride>
    <w:lvlOverride w:ilvl="1">
      <w:startOverride w:val="3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0"/>
    <w:lvlOverride w:ilvl="0">
      <w:startOverride w:val="7"/>
    </w:lvlOverride>
    <w:lvlOverride w:ilvl="1">
      <w:startOverride w:val="38"/>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
  </w:num>
  <w:num w:numId="111">
    <w:abstractNumId w:val="10"/>
    <w:lvlOverride w:ilvl="0">
      <w:startOverride w:val="6"/>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
    <w:lvlOverride w:ilvl="0">
      <w:startOverride w:val="5"/>
    </w:lvlOverride>
    <w:lvlOverride w:ilvl="1">
      <w:startOverride w:val="2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7"/>
  </w:num>
  <w:num w:numId="114">
    <w:abstractNumId w:val="10"/>
    <w:lvlOverride w:ilvl="0">
      <w:startOverride w:val="5"/>
    </w:lvlOverride>
    <w:lvlOverride w:ilvl="1">
      <w:startOverride w:val="2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0"/>
    <w:lvlOverride w:ilvl="0">
      <w:startOverride w:val="5"/>
    </w:lvlOverride>
    <w:lvlOverride w:ilvl="1">
      <w:startOverride w:val="25"/>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0"/>
    <w:lvlOverride w:ilvl="0">
      <w:startOverride w:val="5"/>
    </w:lvlOverride>
    <w:lvlOverride w:ilvl="1">
      <w:startOverride w:val="25"/>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0"/>
    <w:lvlOverride w:ilvl="0">
      <w:startOverride w:val="5"/>
    </w:lvlOverride>
    <w:lvlOverride w:ilvl="1">
      <w:startOverride w:val="2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67"/>
  </w:num>
  <w:num w:numId="119">
    <w:abstractNumId w:val="71"/>
  </w:num>
  <w:num w:numId="120">
    <w:abstractNumId w:val="10"/>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0"/>
    <w:lvlOverride w:ilvl="0">
      <w:startOverride w:val="5"/>
    </w:lvlOverride>
    <w:lvlOverride w:ilvl="1">
      <w:startOverride w:val="2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5"/>
  </w:num>
  <w:num w:numId="123">
    <w:abstractNumId w:val="31"/>
  </w:num>
  <w:num w:numId="124">
    <w:abstractNumId w:val="50"/>
  </w:num>
  <w:num w:numId="125">
    <w:abstractNumId w:val="10"/>
    <w:lvlOverride w:ilvl="0">
      <w:startOverride w:val="5"/>
    </w:lvlOverride>
    <w:lvlOverride w:ilvl="1">
      <w:startOverride w:val="28"/>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21"/>
  </w:num>
  <w:num w:numId="127">
    <w:abstractNumId w:val="10"/>
    <w:lvlOverride w:ilvl="0">
      <w:startOverride w:val="6"/>
    </w:lvlOverride>
    <w:lvlOverride w:ilvl="1">
      <w:startOverride w:val="3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69"/>
  </w:num>
  <w:num w:numId="129">
    <w:abstractNumId w:val="10"/>
    <w:lvlOverride w:ilvl="0">
      <w:startOverride w:val="5"/>
    </w:lvlOverride>
    <w:lvlOverride w:ilvl="1">
      <w:startOverride w:val="23"/>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6"/>
  </w:num>
  <w:num w:numId="131">
    <w:abstractNumId w:val="16"/>
  </w:num>
  <w:num w:numId="132">
    <w:abstractNumId w:val="13"/>
  </w:num>
  <w:num w:numId="133">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1"/>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17820"/>
    <w:rsid w:val="000240B9"/>
    <w:rsid w:val="0002581E"/>
    <w:rsid w:val="0003615D"/>
    <w:rsid w:val="00047CF8"/>
    <w:rsid w:val="000501D7"/>
    <w:rsid w:val="00051936"/>
    <w:rsid w:val="0005263B"/>
    <w:rsid w:val="00052B85"/>
    <w:rsid w:val="00054E46"/>
    <w:rsid w:val="000570B4"/>
    <w:rsid w:val="000616D7"/>
    <w:rsid w:val="00063085"/>
    <w:rsid w:val="000701FA"/>
    <w:rsid w:val="00070C73"/>
    <w:rsid w:val="00077C4E"/>
    <w:rsid w:val="00093DAC"/>
    <w:rsid w:val="000A3E90"/>
    <w:rsid w:val="000A713B"/>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40D4"/>
    <w:rsid w:val="001255A3"/>
    <w:rsid w:val="0012721B"/>
    <w:rsid w:val="00132B88"/>
    <w:rsid w:val="00133033"/>
    <w:rsid w:val="00134635"/>
    <w:rsid w:val="001364B3"/>
    <w:rsid w:val="001466D3"/>
    <w:rsid w:val="00154F68"/>
    <w:rsid w:val="00156DCF"/>
    <w:rsid w:val="00170F8C"/>
    <w:rsid w:val="0017102C"/>
    <w:rsid w:val="0017194D"/>
    <w:rsid w:val="0017338F"/>
    <w:rsid w:val="001766AE"/>
    <w:rsid w:val="001824C7"/>
    <w:rsid w:val="00184E34"/>
    <w:rsid w:val="001861C5"/>
    <w:rsid w:val="001A3CC1"/>
    <w:rsid w:val="001B5487"/>
    <w:rsid w:val="001B7134"/>
    <w:rsid w:val="001C1432"/>
    <w:rsid w:val="001C3E62"/>
    <w:rsid w:val="001C4317"/>
    <w:rsid w:val="001C614B"/>
    <w:rsid w:val="001D021E"/>
    <w:rsid w:val="001D0B87"/>
    <w:rsid w:val="001E1AB4"/>
    <w:rsid w:val="001E280F"/>
    <w:rsid w:val="001E6961"/>
    <w:rsid w:val="001F2E01"/>
    <w:rsid w:val="00203003"/>
    <w:rsid w:val="00204AE0"/>
    <w:rsid w:val="0020594C"/>
    <w:rsid w:val="00215022"/>
    <w:rsid w:val="00220CB1"/>
    <w:rsid w:val="00221DB9"/>
    <w:rsid w:val="00222734"/>
    <w:rsid w:val="00226A5C"/>
    <w:rsid w:val="00234572"/>
    <w:rsid w:val="00234A7A"/>
    <w:rsid w:val="00246770"/>
    <w:rsid w:val="00253C7B"/>
    <w:rsid w:val="00257B6C"/>
    <w:rsid w:val="00266229"/>
    <w:rsid w:val="00273A6A"/>
    <w:rsid w:val="00280739"/>
    <w:rsid w:val="00287645"/>
    <w:rsid w:val="00290D82"/>
    <w:rsid w:val="002913E7"/>
    <w:rsid w:val="00294B50"/>
    <w:rsid w:val="002960F8"/>
    <w:rsid w:val="002A2A9B"/>
    <w:rsid w:val="002A6141"/>
    <w:rsid w:val="002A6A88"/>
    <w:rsid w:val="002C230A"/>
    <w:rsid w:val="002D587E"/>
    <w:rsid w:val="002E4345"/>
    <w:rsid w:val="002E6255"/>
    <w:rsid w:val="002F1C07"/>
    <w:rsid w:val="002F6763"/>
    <w:rsid w:val="002F7EB9"/>
    <w:rsid w:val="00304853"/>
    <w:rsid w:val="00305900"/>
    <w:rsid w:val="00306DA1"/>
    <w:rsid w:val="0031243D"/>
    <w:rsid w:val="0031575C"/>
    <w:rsid w:val="00317F5D"/>
    <w:rsid w:val="00320EB6"/>
    <w:rsid w:val="00320ED6"/>
    <w:rsid w:val="00321E8A"/>
    <w:rsid w:val="00325FF5"/>
    <w:rsid w:val="003267A7"/>
    <w:rsid w:val="00345794"/>
    <w:rsid w:val="00347A75"/>
    <w:rsid w:val="00350161"/>
    <w:rsid w:val="00350DE8"/>
    <w:rsid w:val="0036091B"/>
    <w:rsid w:val="00360F07"/>
    <w:rsid w:val="00363E72"/>
    <w:rsid w:val="00371F50"/>
    <w:rsid w:val="00374FBB"/>
    <w:rsid w:val="0038628A"/>
    <w:rsid w:val="00386348"/>
    <w:rsid w:val="0039620B"/>
    <w:rsid w:val="003A0254"/>
    <w:rsid w:val="003B5CCE"/>
    <w:rsid w:val="003B6CFB"/>
    <w:rsid w:val="003B6E62"/>
    <w:rsid w:val="003D3103"/>
    <w:rsid w:val="003D56C0"/>
    <w:rsid w:val="003E2C07"/>
    <w:rsid w:val="003E459D"/>
    <w:rsid w:val="003F64BE"/>
    <w:rsid w:val="00402384"/>
    <w:rsid w:val="00410DF3"/>
    <w:rsid w:val="004117C8"/>
    <w:rsid w:val="00411D36"/>
    <w:rsid w:val="004413B8"/>
    <w:rsid w:val="00442B75"/>
    <w:rsid w:val="00444503"/>
    <w:rsid w:val="00452C60"/>
    <w:rsid w:val="00456255"/>
    <w:rsid w:val="00456CA8"/>
    <w:rsid w:val="00460FFE"/>
    <w:rsid w:val="00463778"/>
    <w:rsid w:val="00463C33"/>
    <w:rsid w:val="004739C7"/>
    <w:rsid w:val="0048016C"/>
    <w:rsid w:val="0048527A"/>
    <w:rsid w:val="00487367"/>
    <w:rsid w:val="00491669"/>
    <w:rsid w:val="00495CD4"/>
    <w:rsid w:val="004A4BFD"/>
    <w:rsid w:val="004B0B7C"/>
    <w:rsid w:val="004B3263"/>
    <w:rsid w:val="004B388B"/>
    <w:rsid w:val="004C11F1"/>
    <w:rsid w:val="004C20EA"/>
    <w:rsid w:val="004C2EC2"/>
    <w:rsid w:val="004C301A"/>
    <w:rsid w:val="004D2FFF"/>
    <w:rsid w:val="004D72DD"/>
    <w:rsid w:val="004E1C97"/>
    <w:rsid w:val="004E271F"/>
    <w:rsid w:val="004E3F72"/>
    <w:rsid w:val="004E4174"/>
    <w:rsid w:val="004F12B0"/>
    <w:rsid w:val="004F1DA7"/>
    <w:rsid w:val="004F574D"/>
    <w:rsid w:val="00500E1D"/>
    <w:rsid w:val="0050322A"/>
    <w:rsid w:val="00503409"/>
    <w:rsid w:val="0050639C"/>
    <w:rsid w:val="00513616"/>
    <w:rsid w:val="00515653"/>
    <w:rsid w:val="00516592"/>
    <w:rsid w:val="00516D4C"/>
    <w:rsid w:val="005179C9"/>
    <w:rsid w:val="00523ABC"/>
    <w:rsid w:val="00540A2A"/>
    <w:rsid w:val="005434EB"/>
    <w:rsid w:val="00544AC6"/>
    <w:rsid w:val="00562FCF"/>
    <w:rsid w:val="005673BB"/>
    <w:rsid w:val="005767CB"/>
    <w:rsid w:val="00580BA6"/>
    <w:rsid w:val="0058329C"/>
    <w:rsid w:val="005846B5"/>
    <w:rsid w:val="005853A2"/>
    <w:rsid w:val="00586F43"/>
    <w:rsid w:val="00591F8C"/>
    <w:rsid w:val="00593E45"/>
    <w:rsid w:val="00596200"/>
    <w:rsid w:val="005A2628"/>
    <w:rsid w:val="005A5265"/>
    <w:rsid w:val="005B2223"/>
    <w:rsid w:val="005B7E5E"/>
    <w:rsid w:val="005C78A1"/>
    <w:rsid w:val="005C7C79"/>
    <w:rsid w:val="005D1753"/>
    <w:rsid w:val="005D7202"/>
    <w:rsid w:val="005E635F"/>
    <w:rsid w:val="005F5459"/>
    <w:rsid w:val="00600887"/>
    <w:rsid w:val="00600C54"/>
    <w:rsid w:val="00617880"/>
    <w:rsid w:val="0062408B"/>
    <w:rsid w:val="00640D54"/>
    <w:rsid w:val="006425E2"/>
    <w:rsid w:val="006563A7"/>
    <w:rsid w:val="00660167"/>
    <w:rsid w:val="0066072A"/>
    <w:rsid w:val="006622B6"/>
    <w:rsid w:val="00662CA5"/>
    <w:rsid w:val="006647B8"/>
    <w:rsid w:val="006736A9"/>
    <w:rsid w:val="00675641"/>
    <w:rsid w:val="006757CF"/>
    <w:rsid w:val="00695AFC"/>
    <w:rsid w:val="006A1718"/>
    <w:rsid w:val="006A787C"/>
    <w:rsid w:val="006C135E"/>
    <w:rsid w:val="006C1BB2"/>
    <w:rsid w:val="006C54F2"/>
    <w:rsid w:val="006D151C"/>
    <w:rsid w:val="006D3233"/>
    <w:rsid w:val="006E2987"/>
    <w:rsid w:val="006E4FC9"/>
    <w:rsid w:val="006E52F1"/>
    <w:rsid w:val="006E6824"/>
    <w:rsid w:val="006F3026"/>
    <w:rsid w:val="006F5583"/>
    <w:rsid w:val="00701021"/>
    <w:rsid w:val="00701DF4"/>
    <w:rsid w:val="007022A7"/>
    <w:rsid w:val="00710222"/>
    <w:rsid w:val="00715010"/>
    <w:rsid w:val="00715754"/>
    <w:rsid w:val="0071713E"/>
    <w:rsid w:val="00722094"/>
    <w:rsid w:val="00724723"/>
    <w:rsid w:val="007249A8"/>
    <w:rsid w:val="00730184"/>
    <w:rsid w:val="00731669"/>
    <w:rsid w:val="00732468"/>
    <w:rsid w:val="007334D9"/>
    <w:rsid w:val="00734705"/>
    <w:rsid w:val="007370D4"/>
    <w:rsid w:val="00747A63"/>
    <w:rsid w:val="00750BB0"/>
    <w:rsid w:val="00757707"/>
    <w:rsid w:val="00757B19"/>
    <w:rsid w:val="007614DB"/>
    <w:rsid w:val="00761F9A"/>
    <w:rsid w:val="00764BE7"/>
    <w:rsid w:val="007760F0"/>
    <w:rsid w:val="00780C4F"/>
    <w:rsid w:val="00780DD1"/>
    <w:rsid w:val="007818E6"/>
    <w:rsid w:val="00790AC7"/>
    <w:rsid w:val="007924CA"/>
    <w:rsid w:val="007936C4"/>
    <w:rsid w:val="0079479F"/>
    <w:rsid w:val="007A0DAE"/>
    <w:rsid w:val="007A14C1"/>
    <w:rsid w:val="007A35D8"/>
    <w:rsid w:val="007A43A8"/>
    <w:rsid w:val="007A45F2"/>
    <w:rsid w:val="007B00B1"/>
    <w:rsid w:val="007B0489"/>
    <w:rsid w:val="007B69A9"/>
    <w:rsid w:val="007D7051"/>
    <w:rsid w:val="007D76EC"/>
    <w:rsid w:val="007E5BB2"/>
    <w:rsid w:val="007E73E0"/>
    <w:rsid w:val="007F345E"/>
    <w:rsid w:val="0080259D"/>
    <w:rsid w:val="008032AB"/>
    <w:rsid w:val="008064B3"/>
    <w:rsid w:val="00807A90"/>
    <w:rsid w:val="00812756"/>
    <w:rsid w:val="00813F79"/>
    <w:rsid w:val="0081498A"/>
    <w:rsid w:val="0082145D"/>
    <w:rsid w:val="0082560F"/>
    <w:rsid w:val="00830517"/>
    <w:rsid w:val="00831664"/>
    <w:rsid w:val="0084114C"/>
    <w:rsid w:val="008432D3"/>
    <w:rsid w:val="008461AA"/>
    <w:rsid w:val="00864259"/>
    <w:rsid w:val="00865CB2"/>
    <w:rsid w:val="0087671A"/>
    <w:rsid w:val="00877725"/>
    <w:rsid w:val="008830A1"/>
    <w:rsid w:val="00883DFE"/>
    <w:rsid w:val="00884E4F"/>
    <w:rsid w:val="008860FC"/>
    <w:rsid w:val="00891E23"/>
    <w:rsid w:val="00892EA8"/>
    <w:rsid w:val="008A169B"/>
    <w:rsid w:val="008A3382"/>
    <w:rsid w:val="008A59EE"/>
    <w:rsid w:val="008A7BA8"/>
    <w:rsid w:val="008B210A"/>
    <w:rsid w:val="008B31CD"/>
    <w:rsid w:val="008B73AD"/>
    <w:rsid w:val="008C5483"/>
    <w:rsid w:val="008D74D9"/>
    <w:rsid w:val="008F6F09"/>
    <w:rsid w:val="00900FBA"/>
    <w:rsid w:val="00902BE5"/>
    <w:rsid w:val="009050FA"/>
    <w:rsid w:val="00906123"/>
    <w:rsid w:val="00906CE5"/>
    <w:rsid w:val="00907043"/>
    <w:rsid w:val="00915406"/>
    <w:rsid w:val="00922D7A"/>
    <w:rsid w:val="00923866"/>
    <w:rsid w:val="00924531"/>
    <w:rsid w:val="0092521A"/>
    <w:rsid w:val="00945101"/>
    <w:rsid w:val="00954BBA"/>
    <w:rsid w:val="00956EB5"/>
    <w:rsid w:val="00972837"/>
    <w:rsid w:val="009767DB"/>
    <w:rsid w:val="0098519B"/>
    <w:rsid w:val="009854F5"/>
    <w:rsid w:val="0098747C"/>
    <w:rsid w:val="00993802"/>
    <w:rsid w:val="00994E5F"/>
    <w:rsid w:val="009A1436"/>
    <w:rsid w:val="009A4155"/>
    <w:rsid w:val="009B0460"/>
    <w:rsid w:val="009B7C5F"/>
    <w:rsid w:val="009D03C4"/>
    <w:rsid w:val="009D2E11"/>
    <w:rsid w:val="009D5F6B"/>
    <w:rsid w:val="009E159E"/>
    <w:rsid w:val="009F0530"/>
    <w:rsid w:val="009F07A0"/>
    <w:rsid w:val="009F3D8C"/>
    <w:rsid w:val="009F6DC7"/>
    <w:rsid w:val="009F7214"/>
    <w:rsid w:val="009F7819"/>
    <w:rsid w:val="00A010BD"/>
    <w:rsid w:val="00A0190D"/>
    <w:rsid w:val="00A04034"/>
    <w:rsid w:val="00A15137"/>
    <w:rsid w:val="00A21EAC"/>
    <w:rsid w:val="00A32184"/>
    <w:rsid w:val="00A34699"/>
    <w:rsid w:val="00A41EBF"/>
    <w:rsid w:val="00A43F2A"/>
    <w:rsid w:val="00A440A2"/>
    <w:rsid w:val="00A466F5"/>
    <w:rsid w:val="00A54760"/>
    <w:rsid w:val="00A5711E"/>
    <w:rsid w:val="00A66E43"/>
    <w:rsid w:val="00A72B40"/>
    <w:rsid w:val="00A74ABD"/>
    <w:rsid w:val="00A75CA9"/>
    <w:rsid w:val="00A761D9"/>
    <w:rsid w:val="00A808C7"/>
    <w:rsid w:val="00A81A09"/>
    <w:rsid w:val="00A81E74"/>
    <w:rsid w:val="00A83D5F"/>
    <w:rsid w:val="00A93803"/>
    <w:rsid w:val="00A95554"/>
    <w:rsid w:val="00A96461"/>
    <w:rsid w:val="00AA0F56"/>
    <w:rsid w:val="00AA3281"/>
    <w:rsid w:val="00AA6A22"/>
    <w:rsid w:val="00AA6F1F"/>
    <w:rsid w:val="00AB0881"/>
    <w:rsid w:val="00AB2DC0"/>
    <w:rsid w:val="00AB2EDD"/>
    <w:rsid w:val="00AB3F8B"/>
    <w:rsid w:val="00AC1BB9"/>
    <w:rsid w:val="00AD3A2D"/>
    <w:rsid w:val="00AE05DB"/>
    <w:rsid w:val="00AE4977"/>
    <w:rsid w:val="00AE6C86"/>
    <w:rsid w:val="00AE7828"/>
    <w:rsid w:val="00AF0484"/>
    <w:rsid w:val="00AF38AA"/>
    <w:rsid w:val="00AF46A3"/>
    <w:rsid w:val="00AF5F44"/>
    <w:rsid w:val="00AF775A"/>
    <w:rsid w:val="00AF7DAE"/>
    <w:rsid w:val="00B004B4"/>
    <w:rsid w:val="00B02717"/>
    <w:rsid w:val="00B15563"/>
    <w:rsid w:val="00B17D53"/>
    <w:rsid w:val="00B2385E"/>
    <w:rsid w:val="00B30454"/>
    <w:rsid w:val="00B34C82"/>
    <w:rsid w:val="00B47456"/>
    <w:rsid w:val="00B47A19"/>
    <w:rsid w:val="00B548AB"/>
    <w:rsid w:val="00B54B5D"/>
    <w:rsid w:val="00B71486"/>
    <w:rsid w:val="00B72665"/>
    <w:rsid w:val="00B8053F"/>
    <w:rsid w:val="00B873AA"/>
    <w:rsid w:val="00B92D2B"/>
    <w:rsid w:val="00B92DC7"/>
    <w:rsid w:val="00B96884"/>
    <w:rsid w:val="00BB06C1"/>
    <w:rsid w:val="00BB3793"/>
    <w:rsid w:val="00BB5883"/>
    <w:rsid w:val="00BB6853"/>
    <w:rsid w:val="00BB79D2"/>
    <w:rsid w:val="00BC07DD"/>
    <w:rsid w:val="00BC5830"/>
    <w:rsid w:val="00BC63B1"/>
    <w:rsid w:val="00BC6785"/>
    <w:rsid w:val="00BD2016"/>
    <w:rsid w:val="00BD3304"/>
    <w:rsid w:val="00BD39A6"/>
    <w:rsid w:val="00BD424E"/>
    <w:rsid w:val="00BD7BAA"/>
    <w:rsid w:val="00BE2297"/>
    <w:rsid w:val="00BE740D"/>
    <w:rsid w:val="00BE7D70"/>
    <w:rsid w:val="00BE7E09"/>
    <w:rsid w:val="00BF13B4"/>
    <w:rsid w:val="00BF261E"/>
    <w:rsid w:val="00BF532E"/>
    <w:rsid w:val="00BF5D79"/>
    <w:rsid w:val="00BF713A"/>
    <w:rsid w:val="00C01A54"/>
    <w:rsid w:val="00C06711"/>
    <w:rsid w:val="00C06A60"/>
    <w:rsid w:val="00C07F29"/>
    <w:rsid w:val="00C10348"/>
    <w:rsid w:val="00C20CDC"/>
    <w:rsid w:val="00C22DC6"/>
    <w:rsid w:val="00C26A42"/>
    <w:rsid w:val="00C272BE"/>
    <w:rsid w:val="00C34ABC"/>
    <w:rsid w:val="00C36156"/>
    <w:rsid w:val="00C37B67"/>
    <w:rsid w:val="00C41795"/>
    <w:rsid w:val="00C43873"/>
    <w:rsid w:val="00C4502C"/>
    <w:rsid w:val="00C47E3F"/>
    <w:rsid w:val="00C56FA4"/>
    <w:rsid w:val="00C678D0"/>
    <w:rsid w:val="00C84712"/>
    <w:rsid w:val="00CA474F"/>
    <w:rsid w:val="00CB5977"/>
    <w:rsid w:val="00CC1682"/>
    <w:rsid w:val="00CC1FC6"/>
    <w:rsid w:val="00CC2658"/>
    <w:rsid w:val="00CC28BA"/>
    <w:rsid w:val="00CD5943"/>
    <w:rsid w:val="00CE0484"/>
    <w:rsid w:val="00CE4249"/>
    <w:rsid w:val="00CE599D"/>
    <w:rsid w:val="00CE7D64"/>
    <w:rsid w:val="00CF2B9F"/>
    <w:rsid w:val="00CF43BA"/>
    <w:rsid w:val="00D02223"/>
    <w:rsid w:val="00D052DF"/>
    <w:rsid w:val="00D127D9"/>
    <w:rsid w:val="00D13198"/>
    <w:rsid w:val="00D16157"/>
    <w:rsid w:val="00D165E2"/>
    <w:rsid w:val="00D224F7"/>
    <w:rsid w:val="00D22731"/>
    <w:rsid w:val="00D22CDF"/>
    <w:rsid w:val="00D23806"/>
    <w:rsid w:val="00D326D6"/>
    <w:rsid w:val="00D434DD"/>
    <w:rsid w:val="00D439C7"/>
    <w:rsid w:val="00D450E5"/>
    <w:rsid w:val="00D465D0"/>
    <w:rsid w:val="00D466BE"/>
    <w:rsid w:val="00D53B85"/>
    <w:rsid w:val="00D54DEF"/>
    <w:rsid w:val="00D567BE"/>
    <w:rsid w:val="00D568DA"/>
    <w:rsid w:val="00D6321E"/>
    <w:rsid w:val="00D652BC"/>
    <w:rsid w:val="00D75FD1"/>
    <w:rsid w:val="00D77A72"/>
    <w:rsid w:val="00D830A7"/>
    <w:rsid w:val="00D840FD"/>
    <w:rsid w:val="00DA0562"/>
    <w:rsid w:val="00DA0BBA"/>
    <w:rsid w:val="00DA3F31"/>
    <w:rsid w:val="00DB4670"/>
    <w:rsid w:val="00DC6795"/>
    <w:rsid w:val="00DC698F"/>
    <w:rsid w:val="00DD2901"/>
    <w:rsid w:val="00DD763D"/>
    <w:rsid w:val="00DE6830"/>
    <w:rsid w:val="00DE6F0F"/>
    <w:rsid w:val="00DF1827"/>
    <w:rsid w:val="00DF2A38"/>
    <w:rsid w:val="00DF5B05"/>
    <w:rsid w:val="00DF7B58"/>
    <w:rsid w:val="00E0256D"/>
    <w:rsid w:val="00E0456C"/>
    <w:rsid w:val="00E04863"/>
    <w:rsid w:val="00E25B17"/>
    <w:rsid w:val="00E3110D"/>
    <w:rsid w:val="00E35E61"/>
    <w:rsid w:val="00E427A7"/>
    <w:rsid w:val="00E47C6D"/>
    <w:rsid w:val="00E53130"/>
    <w:rsid w:val="00E619B8"/>
    <w:rsid w:val="00E653E7"/>
    <w:rsid w:val="00E67DB6"/>
    <w:rsid w:val="00E700CC"/>
    <w:rsid w:val="00E76CB4"/>
    <w:rsid w:val="00E85325"/>
    <w:rsid w:val="00E85B5B"/>
    <w:rsid w:val="00E912C0"/>
    <w:rsid w:val="00E9415F"/>
    <w:rsid w:val="00EB2E3C"/>
    <w:rsid w:val="00EB7E52"/>
    <w:rsid w:val="00EC2981"/>
    <w:rsid w:val="00EC438F"/>
    <w:rsid w:val="00EC54A4"/>
    <w:rsid w:val="00EE7038"/>
    <w:rsid w:val="00EF49A6"/>
    <w:rsid w:val="00EF5D5A"/>
    <w:rsid w:val="00EF5EF8"/>
    <w:rsid w:val="00F0104C"/>
    <w:rsid w:val="00F014F5"/>
    <w:rsid w:val="00F14226"/>
    <w:rsid w:val="00F2484C"/>
    <w:rsid w:val="00F31C18"/>
    <w:rsid w:val="00F43AAE"/>
    <w:rsid w:val="00F44526"/>
    <w:rsid w:val="00F56786"/>
    <w:rsid w:val="00F67B2D"/>
    <w:rsid w:val="00F74197"/>
    <w:rsid w:val="00F80A82"/>
    <w:rsid w:val="00F90B8A"/>
    <w:rsid w:val="00F940DE"/>
    <w:rsid w:val="00F9560C"/>
    <w:rsid w:val="00F97CA8"/>
    <w:rsid w:val="00FA1231"/>
    <w:rsid w:val="00FA2208"/>
    <w:rsid w:val="00FA4B4D"/>
    <w:rsid w:val="00FB3592"/>
    <w:rsid w:val="00FB50C9"/>
    <w:rsid w:val="00FB529E"/>
    <w:rsid w:val="00FB5509"/>
    <w:rsid w:val="00FC61F5"/>
    <w:rsid w:val="00FC7075"/>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110"/>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110"/>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AE05DB"/>
    <w:pPr>
      <w:numPr>
        <w:ilvl w:val="2"/>
        <w:numId w:val="110"/>
      </w:numPr>
      <w:spacing w:afterLines="50" w:after="50"/>
      <w:ind w:firstLineChars="0"/>
      <w:outlineLvl w:val="2"/>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AE05DB"/>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SimSun" w:eastAsia="SimSun" w:hAnsi="SimSun" w:cs="SimSun"/>
      <w:kern w:val="0"/>
      <w:sz w:val="24"/>
      <w:szCs w:val="24"/>
    </w:rPr>
  </w:style>
  <w:style w:type="paragraph" w:styleId="NoSpacing">
    <w:name w:val="No Spacing"/>
    <w:uiPriority w:val="1"/>
    <w:qFormat/>
    <w:rsid w:val="009B046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67600">
      <w:bodyDiv w:val="1"/>
      <w:marLeft w:val="0"/>
      <w:marRight w:val="0"/>
      <w:marTop w:val="0"/>
      <w:marBottom w:val="0"/>
      <w:divBdr>
        <w:top w:val="none" w:sz="0" w:space="0" w:color="auto"/>
        <w:left w:val="none" w:sz="0" w:space="0" w:color="auto"/>
        <w:bottom w:val="none" w:sz="0" w:space="0" w:color="auto"/>
        <w:right w:val="none" w:sz="0" w:space="0" w:color="auto"/>
      </w:divBdr>
    </w:div>
    <w:div w:id="342821228">
      <w:bodyDiv w:val="1"/>
      <w:marLeft w:val="0"/>
      <w:marRight w:val="0"/>
      <w:marTop w:val="0"/>
      <w:marBottom w:val="0"/>
      <w:divBdr>
        <w:top w:val="none" w:sz="0" w:space="0" w:color="auto"/>
        <w:left w:val="none" w:sz="0" w:space="0" w:color="auto"/>
        <w:bottom w:val="none" w:sz="0" w:space="0" w:color="auto"/>
        <w:right w:val="none" w:sz="0" w:space="0" w:color="auto"/>
      </w:divBdr>
      <w:divsChild>
        <w:div w:id="76682308">
          <w:marLeft w:val="0"/>
          <w:marRight w:val="0"/>
          <w:marTop w:val="0"/>
          <w:marBottom w:val="0"/>
          <w:divBdr>
            <w:top w:val="none" w:sz="0" w:space="0" w:color="auto"/>
            <w:left w:val="none" w:sz="0" w:space="0" w:color="auto"/>
            <w:bottom w:val="none" w:sz="0" w:space="0" w:color="auto"/>
            <w:right w:val="none" w:sz="0" w:space="0" w:color="auto"/>
          </w:divBdr>
          <w:divsChild>
            <w:div w:id="1382705066">
              <w:marLeft w:val="0"/>
              <w:marRight w:val="0"/>
              <w:marTop w:val="0"/>
              <w:marBottom w:val="0"/>
              <w:divBdr>
                <w:top w:val="none" w:sz="0" w:space="0" w:color="auto"/>
                <w:left w:val="none" w:sz="0" w:space="0" w:color="auto"/>
                <w:bottom w:val="none" w:sz="0" w:space="0" w:color="auto"/>
                <w:right w:val="none" w:sz="0" w:space="0" w:color="auto"/>
              </w:divBdr>
              <w:divsChild>
                <w:div w:id="14658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F4C59-A128-4F1C-B4C0-E76D61931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9560</TotalTime>
  <Pages>53</Pages>
  <Words>14732</Words>
  <Characters>83978</Characters>
  <Application>Microsoft Office Word</Application>
  <DocSecurity>0</DocSecurity>
  <Lines>699</Lines>
  <Paragraphs>197</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98513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445</cp:revision>
  <cp:lastPrinted>2015-12-17T06:04:00Z</cp:lastPrinted>
  <dcterms:created xsi:type="dcterms:W3CDTF">2015-12-08T04:36:00Z</dcterms:created>
  <dcterms:modified xsi:type="dcterms:W3CDTF">2016-03-23T05:31:00Z</dcterms:modified>
</cp:coreProperties>
</file>