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5313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E5313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E5313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5313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5313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5313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5313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5313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E5313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E5313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5313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5313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E5313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E5313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5313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5313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5313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E5313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E5313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E5313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5313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E5313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rPr>
          <w:rFonts w:hint="eastAsia"/>
        </w:rPr>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rPr>
          <w:rFonts w:hint="eastAsia"/>
        </w:rPr>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Pr>
        <w:rPr>
          <w:rFonts w:hint="eastAsia"/>
        </w:rPr>
      </w:pPr>
    </w:p>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pPr>
              <w:rPr>
                <w:rFonts w:hint="eastAsia"/>
              </w:rPr>
            </w:pPr>
          </w:p>
        </w:tc>
        <w:tc>
          <w:tcPr>
            <w:tcW w:w="2074" w:type="dxa"/>
          </w:tcPr>
          <w:p w:rsidR="00C01A54" w:rsidRDefault="00C01A54" w:rsidP="00C01A54">
            <w:pPr>
              <w:rPr>
                <w:rFonts w:hint="eastAsia"/>
              </w:rPr>
            </w:pPr>
            <w:r>
              <w:rPr>
                <w:rFonts w:hint="eastAsia"/>
              </w:rPr>
              <w:t>Held-to-Maturity</w:t>
            </w:r>
          </w:p>
        </w:tc>
        <w:tc>
          <w:tcPr>
            <w:tcW w:w="2074" w:type="dxa"/>
          </w:tcPr>
          <w:p w:rsidR="00C01A54" w:rsidRDefault="00C01A54" w:rsidP="00C01A54">
            <w:pPr>
              <w:rPr>
                <w:rFonts w:hint="eastAsia"/>
              </w:rPr>
            </w:pPr>
            <w:r>
              <w:rPr>
                <w:rFonts w:hint="eastAsia"/>
              </w:rPr>
              <w:t>Held-for-trading</w:t>
            </w:r>
          </w:p>
        </w:tc>
        <w:tc>
          <w:tcPr>
            <w:tcW w:w="2074" w:type="dxa"/>
          </w:tcPr>
          <w:p w:rsidR="00C01A54" w:rsidRDefault="00C01A54" w:rsidP="00C01A54">
            <w:pPr>
              <w:rPr>
                <w:rFonts w:hint="eastAsia"/>
              </w:rPr>
            </w:pPr>
            <w:r>
              <w:rPr>
                <w:rFonts w:hint="eastAsia"/>
              </w:rPr>
              <w:t>Available-for-sale</w:t>
            </w:r>
          </w:p>
        </w:tc>
      </w:tr>
      <w:tr w:rsidR="00C01A54" w:rsidTr="00C01A54">
        <w:tc>
          <w:tcPr>
            <w:tcW w:w="2074" w:type="dxa"/>
          </w:tcPr>
          <w:p w:rsidR="00C01A54" w:rsidRDefault="00C01A54" w:rsidP="00C01A54">
            <w:pPr>
              <w:rPr>
                <w:rFonts w:hint="eastAsia"/>
              </w:rPr>
            </w:pPr>
            <w:r>
              <w:rPr>
                <w:rFonts w:hint="eastAsia"/>
              </w:rPr>
              <w:t>Balance sheet</w:t>
            </w:r>
            <w:r>
              <w:t>*</w:t>
            </w:r>
          </w:p>
        </w:tc>
        <w:tc>
          <w:tcPr>
            <w:tcW w:w="2074" w:type="dxa"/>
          </w:tcPr>
          <w:p w:rsidR="00C01A54" w:rsidRDefault="00C01A54" w:rsidP="00C01A54">
            <w:pPr>
              <w:rPr>
                <w:rFonts w:hint="eastAsia"/>
              </w:rPr>
            </w:pPr>
            <w:r>
              <w:rPr>
                <w:rFonts w:hint="eastAsia"/>
              </w:rPr>
              <w:t>Amortized cost</w:t>
            </w:r>
          </w:p>
        </w:tc>
        <w:tc>
          <w:tcPr>
            <w:tcW w:w="2074" w:type="dxa"/>
          </w:tcPr>
          <w:p w:rsidR="00C01A54" w:rsidRDefault="00C01A54" w:rsidP="00C01A54">
            <w:pPr>
              <w:rPr>
                <w:rFonts w:hint="eastAsia"/>
              </w:rPr>
            </w:pPr>
            <w:r>
              <w:rPr>
                <w:rFonts w:hint="eastAsia"/>
              </w:rPr>
              <w:t>Fair value</w:t>
            </w:r>
          </w:p>
        </w:tc>
        <w:tc>
          <w:tcPr>
            <w:tcW w:w="2074" w:type="dxa"/>
          </w:tcPr>
          <w:p w:rsidR="00C01A54" w:rsidRDefault="00C01A54" w:rsidP="00C01A54">
            <w:pPr>
              <w:rPr>
                <w:rFonts w:hint="eastAsia"/>
              </w:rPr>
            </w:pPr>
            <w:r>
              <w:rPr>
                <w:rFonts w:hint="eastAsia"/>
              </w:rPr>
              <w:t>Fair value</w:t>
            </w:r>
          </w:p>
        </w:tc>
      </w:tr>
      <w:tr w:rsidR="00C01A54" w:rsidTr="00C01A54">
        <w:tc>
          <w:tcPr>
            <w:tcW w:w="2074" w:type="dxa"/>
          </w:tcPr>
          <w:p w:rsidR="00C01A54" w:rsidRDefault="00C01A54" w:rsidP="00C01A54">
            <w:pPr>
              <w:rPr>
                <w:rFonts w:hint="eastAsia"/>
              </w:rPr>
            </w:pPr>
            <w:r>
              <w:rPr>
                <w:rFonts w:hint="eastAsia"/>
              </w:rPr>
              <w:t>Income statement</w:t>
            </w:r>
          </w:p>
        </w:tc>
        <w:tc>
          <w:tcPr>
            <w:tcW w:w="2074" w:type="dxa"/>
          </w:tcPr>
          <w:p w:rsidR="00C01A54" w:rsidRDefault="00C01A54" w:rsidP="00C01A54">
            <w:pPr>
              <w:rPr>
                <w:rFonts w:hint="eastAsia"/>
              </w:rPr>
            </w:pPr>
            <w:r>
              <w:rPr>
                <w:rFonts w:hint="eastAsia"/>
              </w:rPr>
              <w:t>Interest (including amortization)</w:t>
            </w:r>
          </w:p>
          <w:p w:rsidR="00C01A54" w:rsidRDefault="00C01A54" w:rsidP="00C01A54">
            <w:pPr>
              <w:rPr>
                <w:rFonts w:hint="eastAsia"/>
              </w:rPr>
            </w:pPr>
            <w:r>
              <w:t>Realized Gain &amp; Loss</w:t>
            </w:r>
          </w:p>
        </w:tc>
        <w:tc>
          <w:tcPr>
            <w:tcW w:w="2074" w:type="dxa"/>
          </w:tcPr>
          <w:p w:rsidR="00C01A54" w:rsidRDefault="00C01A54" w:rsidP="00C01A54">
            <w:pPr>
              <w:rPr>
                <w:rFonts w:hint="eastAsia"/>
              </w:rPr>
            </w:pPr>
            <w:r>
              <w:rPr>
                <w:rFonts w:hint="eastAsia"/>
              </w:rPr>
              <w:t>Interest</w:t>
            </w:r>
          </w:p>
          <w:p w:rsidR="00C01A54" w:rsidRDefault="00C01A54" w:rsidP="00C01A54">
            <w:r>
              <w:t>Dividends</w:t>
            </w:r>
          </w:p>
          <w:p w:rsidR="00C01A54" w:rsidRPr="00C01A54" w:rsidRDefault="00C01A54" w:rsidP="00C01A54">
            <w:pPr>
              <w:rPr>
                <w:rFonts w:hint="eastAsia"/>
              </w:rPr>
            </w:pPr>
            <w:r>
              <w:t>Realized/Unrealized Gain &amp; Loss</w:t>
            </w:r>
          </w:p>
        </w:tc>
        <w:tc>
          <w:tcPr>
            <w:tcW w:w="2074" w:type="dxa"/>
          </w:tcPr>
          <w:p w:rsidR="00C01A54" w:rsidRDefault="00C01A54" w:rsidP="00C01A54">
            <w:pPr>
              <w:rPr>
                <w:rFonts w:hint="eastAsia"/>
              </w:rPr>
            </w:pPr>
            <w:r>
              <w:rPr>
                <w:rFonts w:hint="eastAsia"/>
              </w:rPr>
              <w:t>Inter</w:t>
            </w:r>
            <w:r>
              <w:t>e</w:t>
            </w:r>
            <w:r>
              <w:rPr>
                <w:rFonts w:hint="eastAsia"/>
              </w:rPr>
              <w:t>st</w:t>
            </w:r>
          </w:p>
          <w:p w:rsidR="00C01A54" w:rsidRDefault="00C01A54" w:rsidP="00C01A54">
            <w:pPr>
              <w:rPr>
                <w:rFonts w:hint="eastAsia"/>
              </w:rPr>
            </w:pPr>
            <w:r>
              <w:rPr>
                <w:rFonts w:hint="eastAsia"/>
              </w:rPr>
              <w:t>Dividends</w:t>
            </w:r>
          </w:p>
          <w:p w:rsidR="00C01A54" w:rsidRDefault="00C01A54" w:rsidP="00C01A54">
            <w:r>
              <w:t>Realized Gain &amp; Loss</w:t>
            </w:r>
          </w:p>
          <w:p w:rsidR="00C01A54" w:rsidRPr="00C01A54" w:rsidRDefault="00C01A54" w:rsidP="00C01A54">
            <w:pPr>
              <w:rPr>
                <w:rFonts w:hint="eastAsia"/>
              </w:rPr>
            </w:pPr>
            <w:r>
              <w:t>Foreign exchanges gain or loss on debt securities (</w:t>
            </w:r>
            <w:r w:rsidRPr="00C01A54">
              <w:rPr>
                <w:b/>
                <w:i/>
              </w:rPr>
              <w:t>IFRS only</w:t>
            </w:r>
            <w:r>
              <w:t>)</w:t>
            </w:r>
          </w:p>
        </w:tc>
      </w:tr>
      <w:tr w:rsidR="00C01A54" w:rsidTr="00C01A54">
        <w:tc>
          <w:tcPr>
            <w:tcW w:w="2074" w:type="dxa"/>
          </w:tcPr>
          <w:p w:rsidR="00C01A54" w:rsidRDefault="00C01A54" w:rsidP="00C01A54">
            <w:pPr>
              <w:rPr>
                <w:rFonts w:hint="eastAsia"/>
              </w:rPr>
            </w:pPr>
            <w:r>
              <w:rPr>
                <w:rFonts w:hint="eastAsia"/>
              </w:rPr>
              <w:t>Other comprehensive income</w:t>
            </w:r>
          </w:p>
        </w:tc>
        <w:tc>
          <w:tcPr>
            <w:tcW w:w="2074" w:type="dxa"/>
          </w:tcPr>
          <w:p w:rsidR="00C01A54" w:rsidRDefault="00C01A54" w:rsidP="00C01A54">
            <w:pPr>
              <w:rPr>
                <w:rFonts w:hint="eastAsia"/>
              </w:rPr>
            </w:pPr>
          </w:p>
        </w:tc>
        <w:tc>
          <w:tcPr>
            <w:tcW w:w="2074" w:type="dxa"/>
          </w:tcPr>
          <w:p w:rsidR="00C01A54" w:rsidRDefault="00C01A54" w:rsidP="00C01A54">
            <w:pPr>
              <w:rPr>
                <w:rFonts w:hint="eastAsia"/>
              </w:rPr>
            </w:pPr>
          </w:p>
        </w:tc>
        <w:tc>
          <w:tcPr>
            <w:tcW w:w="2074" w:type="dxa"/>
          </w:tcPr>
          <w:p w:rsidR="00C01A54" w:rsidRPr="00C01A54" w:rsidRDefault="00C01A54" w:rsidP="00C01A54">
            <w:pPr>
              <w:rPr>
                <w:rFonts w:hint="eastAsia"/>
              </w:rPr>
            </w:pPr>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pPr>
              <w:rPr>
                <w:rFonts w:hint="eastAsia"/>
              </w:rPr>
            </w:pPr>
            <w:r>
              <w:rPr>
                <w:rFonts w:hint="eastAsia"/>
              </w:rPr>
              <w:t>From</w:t>
            </w:r>
          </w:p>
        </w:tc>
        <w:tc>
          <w:tcPr>
            <w:tcW w:w="1714" w:type="dxa"/>
          </w:tcPr>
          <w:p w:rsidR="00BC63B1" w:rsidRDefault="00BC63B1" w:rsidP="00C01A54">
            <w:pPr>
              <w:rPr>
                <w:rFonts w:hint="eastAsia"/>
              </w:rPr>
            </w:pPr>
            <w:r>
              <w:rPr>
                <w:rFonts w:hint="eastAsia"/>
              </w:rPr>
              <w:t>To</w:t>
            </w:r>
          </w:p>
        </w:tc>
        <w:tc>
          <w:tcPr>
            <w:tcW w:w="4820" w:type="dxa"/>
          </w:tcPr>
          <w:p w:rsidR="00BC63B1" w:rsidRDefault="00BC63B1" w:rsidP="00C01A54">
            <w:pPr>
              <w:rPr>
                <w:rFonts w:hint="eastAsia"/>
              </w:rPr>
            </w:pPr>
            <w:r>
              <w:rPr>
                <w:rFonts w:hint="eastAsia"/>
              </w:rPr>
              <w:t>Unrealized Gain</w:t>
            </w:r>
            <w:r>
              <w:t xml:space="preserve"> or Loss</w:t>
            </w:r>
          </w:p>
        </w:tc>
      </w:tr>
      <w:tr w:rsidR="00BC63B1" w:rsidTr="00BC63B1">
        <w:tc>
          <w:tcPr>
            <w:tcW w:w="1825" w:type="dxa"/>
          </w:tcPr>
          <w:p w:rsidR="00BC63B1" w:rsidRDefault="00BC63B1" w:rsidP="00C01A54">
            <w:pPr>
              <w:rPr>
                <w:rFonts w:hint="eastAsia"/>
              </w:rPr>
            </w:pPr>
            <w:r>
              <w:rPr>
                <w:rFonts w:hint="eastAsia"/>
              </w:rPr>
              <w:t>Held-for-trading</w:t>
            </w:r>
            <w:r>
              <w:t>*</w:t>
            </w:r>
          </w:p>
        </w:tc>
        <w:tc>
          <w:tcPr>
            <w:tcW w:w="1714" w:type="dxa"/>
          </w:tcPr>
          <w:p w:rsidR="00BC63B1" w:rsidRDefault="00BC63B1" w:rsidP="00C01A54">
            <w:pPr>
              <w:rPr>
                <w:rFonts w:hint="eastAsia"/>
              </w:rPr>
            </w:pPr>
            <w:r>
              <w:rPr>
                <w:rFonts w:hint="eastAsia"/>
              </w:rPr>
              <w:t>Any</w:t>
            </w:r>
          </w:p>
        </w:tc>
        <w:tc>
          <w:tcPr>
            <w:tcW w:w="4820" w:type="dxa"/>
          </w:tcPr>
          <w:p w:rsidR="00BC63B1" w:rsidRDefault="00BC63B1" w:rsidP="00C01A54">
            <w:pPr>
              <w:rPr>
                <w:rFonts w:hint="eastAsia"/>
              </w:rPr>
            </w:pPr>
            <w:r>
              <w:rPr>
                <w:rFonts w:hint="eastAsia"/>
              </w:rPr>
              <w:t>Income Statement</w:t>
            </w:r>
          </w:p>
        </w:tc>
      </w:tr>
      <w:tr w:rsidR="00BC63B1" w:rsidTr="00BC63B1">
        <w:tc>
          <w:tcPr>
            <w:tcW w:w="1825" w:type="dxa"/>
          </w:tcPr>
          <w:p w:rsidR="00BC63B1" w:rsidRDefault="00BC63B1" w:rsidP="00C01A54">
            <w:pPr>
              <w:rPr>
                <w:rFonts w:hint="eastAsia"/>
              </w:rPr>
            </w:pPr>
            <w:r>
              <w:rPr>
                <w:rFonts w:hint="eastAsia"/>
              </w:rPr>
              <w:t>Held-to-maturity</w:t>
            </w:r>
          </w:p>
        </w:tc>
        <w:tc>
          <w:tcPr>
            <w:tcW w:w="1714" w:type="dxa"/>
          </w:tcPr>
          <w:p w:rsidR="00BC63B1" w:rsidRDefault="00BC63B1" w:rsidP="00C01A54">
            <w:pPr>
              <w:rPr>
                <w:rFonts w:hint="eastAsia"/>
              </w:rPr>
            </w:pPr>
            <w:r>
              <w:rPr>
                <w:rFonts w:hint="eastAsia"/>
              </w:rPr>
              <w:t>Held-for-trading</w:t>
            </w:r>
            <w:r>
              <w:t>*</w:t>
            </w:r>
          </w:p>
        </w:tc>
        <w:tc>
          <w:tcPr>
            <w:tcW w:w="4820" w:type="dxa"/>
          </w:tcPr>
          <w:p w:rsidR="00BC63B1" w:rsidRDefault="00BC63B1" w:rsidP="00C01A54">
            <w:pPr>
              <w:rPr>
                <w:rFonts w:hint="eastAsia"/>
              </w:rPr>
            </w:pPr>
            <w:r>
              <w:rPr>
                <w:rFonts w:hint="eastAsia"/>
              </w:rPr>
              <w:t>Income Statement</w:t>
            </w:r>
          </w:p>
        </w:tc>
      </w:tr>
      <w:tr w:rsidR="00BC63B1" w:rsidTr="00BC63B1">
        <w:tc>
          <w:tcPr>
            <w:tcW w:w="1825" w:type="dxa"/>
          </w:tcPr>
          <w:p w:rsidR="00BC63B1" w:rsidRDefault="00BC63B1" w:rsidP="00BC63B1">
            <w:pPr>
              <w:rPr>
                <w:rFonts w:hint="eastAsia"/>
              </w:rPr>
            </w:pPr>
            <w:r>
              <w:rPr>
                <w:rFonts w:hint="eastAsia"/>
              </w:rPr>
              <w:t>Held-to-maturity</w:t>
            </w:r>
          </w:p>
        </w:tc>
        <w:tc>
          <w:tcPr>
            <w:tcW w:w="1714" w:type="dxa"/>
          </w:tcPr>
          <w:p w:rsidR="00BC63B1" w:rsidRDefault="00BC63B1" w:rsidP="00BC63B1">
            <w:pPr>
              <w:rPr>
                <w:rFonts w:hint="eastAsia"/>
              </w:rPr>
            </w:pPr>
            <w:r>
              <w:rPr>
                <w:rFonts w:hint="eastAsia"/>
              </w:rPr>
              <w:t>Available-for-sale</w:t>
            </w:r>
          </w:p>
        </w:tc>
        <w:tc>
          <w:tcPr>
            <w:tcW w:w="4820" w:type="dxa"/>
          </w:tcPr>
          <w:p w:rsidR="00BC63B1" w:rsidRDefault="00BC63B1" w:rsidP="00BC63B1">
            <w:pPr>
              <w:rPr>
                <w:rFonts w:hint="eastAsia"/>
              </w:rPr>
            </w:pPr>
            <w:r>
              <w:rPr>
                <w:rFonts w:hint="eastAsia"/>
              </w:rPr>
              <w:t>Other comprehensive income</w:t>
            </w:r>
          </w:p>
        </w:tc>
      </w:tr>
      <w:tr w:rsidR="00BC63B1" w:rsidTr="00BC63B1">
        <w:tc>
          <w:tcPr>
            <w:tcW w:w="1825" w:type="dxa"/>
          </w:tcPr>
          <w:p w:rsidR="00BC63B1" w:rsidRDefault="00BC63B1" w:rsidP="00BC63B1">
            <w:pPr>
              <w:rPr>
                <w:rFonts w:hint="eastAsia"/>
              </w:rPr>
            </w:pPr>
            <w:r>
              <w:rPr>
                <w:rFonts w:hint="eastAsia"/>
              </w:rPr>
              <w:t>Available-for-sale</w:t>
            </w:r>
          </w:p>
        </w:tc>
        <w:tc>
          <w:tcPr>
            <w:tcW w:w="1714" w:type="dxa"/>
          </w:tcPr>
          <w:p w:rsidR="00BC63B1" w:rsidRDefault="00BC63B1" w:rsidP="00BC63B1">
            <w:pPr>
              <w:rPr>
                <w:rFonts w:hint="eastAsia"/>
              </w:rPr>
            </w:pPr>
            <w:r>
              <w:rPr>
                <w:rFonts w:hint="eastAsia"/>
              </w:rPr>
              <w:t>Held-to-maturity</w:t>
            </w:r>
          </w:p>
        </w:tc>
        <w:tc>
          <w:tcPr>
            <w:tcW w:w="4820" w:type="dxa"/>
          </w:tcPr>
          <w:p w:rsidR="00BC63B1" w:rsidRDefault="00BC63B1" w:rsidP="00BC63B1">
            <w:pPr>
              <w:rPr>
                <w:rFonts w:hint="eastAsia"/>
              </w:rPr>
            </w:pPr>
            <w:r>
              <w:rPr>
                <w:rFonts w:hint="eastAsia"/>
              </w:rPr>
              <w:t>Amortize out of other comprehensive income</w:t>
            </w:r>
          </w:p>
        </w:tc>
      </w:tr>
      <w:tr w:rsidR="00BC63B1" w:rsidTr="00BC63B1">
        <w:tc>
          <w:tcPr>
            <w:tcW w:w="1825" w:type="dxa"/>
          </w:tcPr>
          <w:p w:rsidR="00BC63B1" w:rsidRPr="00C01A54" w:rsidRDefault="00BC63B1" w:rsidP="00BC63B1">
            <w:pPr>
              <w:rPr>
                <w:rFonts w:hint="eastAsia"/>
              </w:rPr>
            </w:pPr>
            <w:r>
              <w:rPr>
                <w:rFonts w:hint="eastAsia"/>
              </w:rPr>
              <w:t>Available-for-sale</w:t>
            </w:r>
          </w:p>
        </w:tc>
        <w:tc>
          <w:tcPr>
            <w:tcW w:w="1714" w:type="dxa"/>
          </w:tcPr>
          <w:p w:rsidR="00BC63B1" w:rsidRDefault="00BC63B1" w:rsidP="00BC63B1">
            <w:pPr>
              <w:rPr>
                <w:rFonts w:hint="eastAsia"/>
              </w:rPr>
            </w:pPr>
            <w:r>
              <w:rPr>
                <w:rFonts w:hint="eastAsia"/>
              </w:rPr>
              <w:t>Held-for-trading</w:t>
            </w:r>
            <w:r>
              <w:t>*</w:t>
            </w:r>
          </w:p>
        </w:tc>
        <w:tc>
          <w:tcPr>
            <w:tcW w:w="4820" w:type="dxa"/>
          </w:tcPr>
          <w:p w:rsidR="00BC63B1" w:rsidRDefault="00BC63B1" w:rsidP="00BC63B1">
            <w:pPr>
              <w:rPr>
                <w:rFonts w:hint="eastAsia"/>
              </w:rPr>
            </w:pPr>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For hold-to-maturity and available-for-sale securities, write down to fair value and recognized on the income statement.</w:t>
      </w:r>
    </w:p>
    <w:p w:rsidR="00B54B5D" w:rsidRDefault="00B54B5D" w:rsidP="00C01A54">
      <w:r>
        <w:t>A reversal of impairment losses is not allowed.</w:t>
      </w:r>
    </w:p>
    <w:p w:rsidR="00B54B5D" w:rsidRDefault="00B54B5D" w:rsidP="00C01A54"/>
    <w:p w:rsidR="00B54B5D" w:rsidRDefault="00B54B5D" w:rsidP="00C01A54">
      <w:pPr>
        <w:rPr>
          <w:rFonts w:hint="eastAsia"/>
        </w:rPr>
      </w:pPr>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rPr>
          <w:rFonts w:hint="eastAsia"/>
        </w:rPr>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EF5D5A">
      <w:pPr>
        <w:rPr>
          <w:rFonts w:hint="eastAsia"/>
        </w:rPr>
      </w:pP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w:t>
      </w:r>
      <w:r>
        <w:t xml:space="preserve"> increases investor’s ‘investment’ account on the balance sheet and recognized on investee’s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B17D53" w:rsidRDefault="00B17D53" w:rsidP="004C11F1">
      <w:pPr>
        <w:pStyle w:val="ListParagraph"/>
        <w:numPr>
          <w:ilvl w:val="0"/>
          <w:numId w:val="50"/>
        </w:numPr>
        <w:ind w:firstLineChars="0"/>
      </w:pPr>
      <w:r>
        <w:lastRenderedPageBreak/>
        <w:t>US GAAP allows fair value option. 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w:t>
      </w:r>
      <w:r>
        <w:t>investee’s net identifiable asset</w:t>
      </w:r>
      <w:r>
        <w: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374FBB" w:rsidRDefault="00374FBB"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rPr>
          <w:rFonts w:hint="eastAsia"/>
        </w:rPr>
      </w:pPr>
      <w:r>
        <w:rPr>
          <w:rFonts w:hint="eastAsia"/>
        </w:rPr>
        <w:t>Business combinations</w:t>
      </w:r>
    </w:p>
    <w:p w:rsidR="00374FBB" w:rsidRDefault="00374FBB" w:rsidP="00374FBB">
      <w:pPr>
        <w:rPr>
          <w:rFonts w:hint="eastAsia"/>
        </w:rPr>
      </w:pPr>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xml:space="preserve">: the </w:t>
      </w:r>
      <w:r>
        <w:t>acquisition</w:t>
      </w:r>
      <w:r>
        <w:t xml:space="preserve">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t>US GAAP requires full goodwill.</w:t>
      </w:r>
    </w:p>
    <w:p w:rsidR="00732468" w:rsidRDefault="00732468" w:rsidP="00732468">
      <w:pPr>
        <w:rPr>
          <w:rFonts w:hint="eastAsia"/>
        </w:rPr>
      </w:pPr>
      <w:r>
        <w:t xml:space="preserve">  IFRS permits both full/partial goodwill</w:t>
      </w:r>
    </w:p>
    <w:p w:rsidR="00AF0484" w:rsidRDefault="00AF0484" w:rsidP="00AF0484"/>
    <w:p w:rsidR="00AF0484" w:rsidRDefault="00AF0484" w:rsidP="00AF0484">
      <w:r>
        <w:rPr>
          <w:rFonts w:hint="eastAsia"/>
        </w:rPr>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rPr>
          <w:rFonts w:hint="eastAsia"/>
        </w:rPr>
      </w:pPr>
      <w:r>
        <w:rPr>
          <w:rFonts w:hint="eastAsia"/>
        </w:rPr>
        <w:t xml:space="preserve">If the carrying value of the corporate exceeds the </w:t>
      </w:r>
      <w:r w:rsidRPr="00C26A42">
        <w:rPr>
          <w:rFonts w:hint="eastAsia"/>
          <w:b/>
          <w:i/>
        </w:rPr>
        <w:t>fair</w:t>
      </w:r>
      <w:r>
        <w:rPr>
          <w:rFonts w:hint="eastAsia"/>
        </w:rPr>
        <w:t xml:space="preserve"> value of the corporate unit, an </w:t>
      </w:r>
      <w:r>
        <w:rPr>
          <w:rFonts w:hint="eastAsia"/>
        </w:rPr>
        <w:lastRenderedPageBreak/>
        <w:t>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pPr>
        <w:rPr>
          <w:rFonts w:hint="eastAsia"/>
        </w:rPr>
      </w:pPr>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rPr>
          <w:rFonts w:hint="eastAsia"/>
        </w:rPr>
      </w:pPr>
      <w:r>
        <w:rPr>
          <w:rFonts w:hint="eastAsia"/>
        </w:rPr>
        <w:t>Joint Ventures</w:t>
      </w:r>
    </w:p>
    <w:p w:rsidR="00732468" w:rsidRDefault="00732468" w:rsidP="00732468">
      <w:pPr>
        <w:rPr>
          <w:rFonts w:hint="eastAsia"/>
        </w:rPr>
      </w:pPr>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 xml:space="preserve">’s new account on balance sheet/income statement = BV(investor’s old account) + </w:t>
      </w:r>
      <w:r>
        <w:t xml:space="preserve">x% * </w:t>
      </w:r>
      <w:r>
        <w:t>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rPr>
          <w:rFonts w:hint="eastAsia"/>
        </w:rPr>
      </w:pPr>
      <w:r>
        <w:rPr>
          <w:rFonts w:hint="eastAsia"/>
        </w:rPr>
        <w:t>Special Purpose and Variable Interest Entities</w:t>
      </w:r>
    </w:p>
    <w:p w:rsidR="004C11F1" w:rsidRDefault="004C11F1" w:rsidP="004C11F1">
      <w:pPr>
        <w:rPr>
          <w:rFonts w:hint="eastAsia"/>
        </w:rPr>
      </w:pPr>
      <w:r>
        <w:rPr>
          <w:rFonts w:hint="eastAsia"/>
        </w:rPr>
        <w:t>Under IFRS, the sponsoring entity must consolidate if it controls the SPE.</w:t>
      </w:r>
    </w:p>
    <w:p w:rsidR="004C11F1" w:rsidRDefault="004C11F1" w:rsidP="004C11F1">
      <w:pPr>
        <w:rPr>
          <w:rFonts w:hint="eastAsia"/>
        </w:rPr>
      </w:pPr>
      <w:r>
        <w:t>Under US GAAP, If an SPE is considered a VIE, it must be consolidated by the primary beneficiary.</w:t>
      </w:r>
      <w:bookmarkStart w:id="0" w:name="_GoBack"/>
      <w:bookmarkEnd w:id="0"/>
    </w:p>
    <w:p w:rsidR="00215022" w:rsidRDefault="00215022" w:rsidP="00215022"/>
    <w:p w:rsidR="00215022" w:rsidRDefault="00215022" w:rsidP="00215022">
      <w:pPr>
        <w:pStyle w:val="Level3"/>
        <w:spacing w:after="156"/>
        <w:rPr>
          <w:rFonts w:hint="eastAsia"/>
        </w:rPr>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pPr>
        <w:rPr>
          <w:rFonts w:hint="eastAsia"/>
        </w:rPr>
      </w:pPr>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Pr="00215022" w:rsidRDefault="00F67B2D" w:rsidP="00215022">
      <w:pPr>
        <w:rPr>
          <w:rFonts w:hint="eastAsia"/>
        </w:rPr>
      </w:pPr>
      <w:r>
        <w:t>* If minority interest is classified as equity; otherwise, both methods result in the same equity.</w:t>
      </w:r>
    </w:p>
    <w:sectPr w:rsidR="00F67B2D" w:rsidRPr="00215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173BCE"/>
    <w:multiLevelType w:val="hybridMultilevel"/>
    <w:tmpl w:val="AEB85D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
  </w:num>
  <w:num w:numId="3">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41"/>
  </w:num>
  <w:num w:numId="7">
    <w:abstractNumId w:val="18"/>
  </w:num>
  <w:num w:numId="8">
    <w:abstractNumId w:val="43"/>
  </w:num>
  <w:num w:numId="9">
    <w:abstractNumId w:val="13"/>
  </w:num>
  <w:num w:numId="10">
    <w:abstractNumId w:val="7"/>
  </w:num>
  <w:num w:numId="11">
    <w:abstractNumId w:val="12"/>
  </w:num>
  <w:num w:numId="12">
    <w:abstractNumId w:val="32"/>
  </w:num>
  <w:num w:numId="13">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8"/>
  </w:num>
  <w:num w:numId="16">
    <w:abstractNumId w:val="45"/>
  </w:num>
  <w:num w:numId="17">
    <w:abstractNumId w:val="14"/>
  </w:num>
  <w:num w:numId="18">
    <w:abstractNumId w:val="10"/>
  </w:num>
  <w:num w:numId="19">
    <w:abstractNumId w:val="11"/>
  </w:num>
  <w:num w:numId="20">
    <w:abstractNumId w:val="6"/>
  </w:num>
  <w:num w:numId="21">
    <w:abstractNumId w:val="20"/>
  </w:num>
  <w:num w:numId="22">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0"/>
  </w:num>
  <w:num w:numId="25">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3"/>
  </w:num>
  <w:num w:numId="28">
    <w:abstractNumId w:val="40"/>
  </w:num>
  <w:num w:numId="29">
    <w:abstractNumId w:val="9"/>
  </w:num>
  <w:num w:numId="30">
    <w:abstractNumId w:val="37"/>
  </w:num>
  <w:num w:numId="31">
    <w:abstractNumId w:val="3"/>
  </w:num>
  <w:num w:numId="32">
    <w:abstractNumId w:val="25"/>
  </w:num>
  <w:num w:numId="33">
    <w:abstractNumId w:val="2"/>
  </w:num>
  <w:num w:numId="34">
    <w:abstractNumId w:val="29"/>
  </w:num>
  <w:num w:numId="35">
    <w:abstractNumId w:val="16"/>
  </w:num>
  <w:num w:numId="36">
    <w:abstractNumId w:val="17"/>
  </w:num>
  <w:num w:numId="37">
    <w:abstractNumId w:val="31"/>
  </w:num>
  <w:num w:numId="38">
    <w:abstractNumId w:val="19"/>
  </w:num>
  <w:num w:numId="39">
    <w:abstractNumId w:val="39"/>
  </w:num>
  <w:num w:numId="40">
    <w:abstractNumId w:val="30"/>
  </w:num>
  <w:num w:numId="41">
    <w:abstractNumId w:val="26"/>
  </w:num>
  <w:num w:numId="42">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
  </w:num>
  <w:num w:numId="47">
    <w:abstractNumId w:val="22"/>
  </w:num>
  <w:num w:numId="48">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44"/>
  </w:num>
  <w:num w:numId="51">
    <w:abstractNumId w:val="24"/>
  </w:num>
  <w:num w:numId="52">
    <w:abstractNumId w:val="28"/>
  </w:num>
  <w:num w:numId="53">
    <w:abstractNumId w:val="27"/>
  </w:num>
  <w:num w:numId="54">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25FF5"/>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10DF3"/>
    <w:rsid w:val="00444503"/>
    <w:rsid w:val="00456CA8"/>
    <w:rsid w:val="00460FFE"/>
    <w:rsid w:val="00463778"/>
    <w:rsid w:val="00463C33"/>
    <w:rsid w:val="0048016C"/>
    <w:rsid w:val="00495CD4"/>
    <w:rsid w:val="004C11F1"/>
    <w:rsid w:val="004C301A"/>
    <w:rsid w:val="004E3F72"/>
    <w:rsid w:val="004E4174"/>
    <w:rsid w:val="004F12B0"/>
    <w:rsid w:val="00500E1D"/>
    <w:rsid w:val="0050322A"/>
    <w:rsid w:val="0050639C"/>
    <w:rsid w:val="00515653"/>
    <w:rsid w:val="00516D4C"/>
    <w:rsid w:val="00523ABC"/>
    <w:rsid w:val="00540A2A"/>
    <w:rsid w:val="00544AC6"/>
    <w:rsid w:val="00562FCF"/>
    <w:rsid w:val="005673BB"/>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72B40"/>
    <w:rsid w:val="00A74ABD"/>
    <w:rsid w:val="00A75CA9"/>
    <w:rsid w:val="00A83D5F"/>
    <w:rsid w:val="00A95554"/>
    <w:rsid w:val="00AA0F56"/>
    <w:rsid w:val="00AB0881"/>
    <w:rsid w:val="00AB2DC0"/>
    <w:rsid w:val="00AB2EDD"/>
    <w:rsid w:val="00AB3F8B"/>
    <w:rsid w:val="00AC1BB9"/>
    <w:rsid w:val="00AE6C86"/>
    <w:rsid w:val="00AF0484"/>
    <w:rsid w:val="00AF38AA"/>
    <w:rsid w:val="00AF46A3"/>
    <w:rsid w:val="00AF5F44"/>
    <w:rsid w:val="00AF775A"/>
    <w:rsid w:val="00B15563"/>
    <w:rsid w:val="00B17D53"/>
    <w:rsid w:val="00B2385E"/>
    <w:rsid w:val="00B34C82"/>
    <w:rsid w:val="00B47456"/>
    <w:rsid w:val="00B47A19"/>
    <w:rsid w:val="00B54B5D"/>
    <w:rsid w:val="00B71486"/>
    <w:rsid w:val="00B873AA"/>
    <w:rsid w:val="00B92DC7"/>
    <w:rsid w:val="00B96884"/>
    <w:rsid w:val="00BC07DD"/>
    <w:rsid w:val="00BC5830"/>
    <w:rsid w:val="00BC63B1"/>
    <w:rsid w:val="00BD2016"/>
    <w:rsid w:val="00BD424E"/>
    <w:rsid w:val="00BE740D"/>
    <w:rsid w:val="00BE7E09"/>
    <w:rsid w:val="00BF13B4"/>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D165E2"/>
    <w:rsid w:val="00D224F7"/>
    <w:rsid w:val="00D22CDF"/>
    <w:rsid w:val="00D23806"/>
    <w:rsid w:val="00D434DD"/>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8CE15-52C5-4B23-9BD2-6B07ADE6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30</Pages>
  <Words>8079</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54023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193</cp:revision>
  <cp:lastPrinted>2015-12-17T06:04:00Z</cp:lastPrinted>
  <dcterms:created xsi:type="dcterms:W3CDTF">2015-12-08T04:36:00Z</dcterms:created>
  <dcterms:modified xsi:type="dcterms:W3CDTF">2016-01-10T06:58:00Z</dcterms:modified>
</cp:coreProperties>
</file>