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6E2987"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6E2987"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6E2987"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6E2987"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6E2987"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6E298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6E298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6E2987"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6E2987"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6E2987"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6E2987"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6E2987"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6E2987"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6E2987"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6E2987"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6E2987"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6E2987"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6E2987"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6E2987"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6E2987"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6E2987"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6E2987"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bookmarkStart w:id="0" w:name="_GoBack"/>
      <w:bookmarkEnd w:id="0"/>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FE0080">
      <w:pPr>
        <w:pStyle w:val="ListParagraph"/>
        <w:numPr>
          <w:ilvl w:val="0"/>
          <w:numId w:val="61"/>
        </w:numPr>
        <w:ind w:firstLineChars="0"/>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710222" w:rsidRPr="00710222" w:rsidRDefault="00710222" w:rsidP="00710222">
      <w:r>
        <w:t>Under IFRS, the statements are restated for inflation and then translated using the current exchange rate. (Not the current rate method, so there’s no CTA item).</w:t>
      </w:r>
    </w:p>
    <w:sectPr w:rsidR="00710222" w:rsidRPr="00710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EE886490"/>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7"/>
  </w:num>
  <w:num w:numId="7">
    <w:abstractNumId w:val="21"/>
  </w:num>
  <w:num w:numId="8">
    <w:abstractNumId w:val="49"/>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1"/>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6"/>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5"/>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0"/>
  </w:num>
  <w:num w:numId="51">
    <w:abstractNumId w:val="28"/>
  </w:num>
  <w:num w:numId="52">
    <w:abstractNumId w:val="32"/>
  </w:num>
  <w:num w:numId="53">
    <w:abstractNumId w:val="31"/>
  </w:num>
  <w:num w:numId="54">
    <w:abstractNumId w:val="48"/>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70C73"/>
    <w:rsid w:val="000B243D"/>
    <w:rsid w:val="000B350A"/>
    <w:rsid w:val="000B3627"/>
    <w:rsid w:val="000E126E"/>
    <w:rsid w:val="000E2096"/>
    <w:rsid w:val="000E44C4"/>
    <w:rsid w:val="000F4B12"/>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B3263"/>
    <w:rsid w:val="004C11F1"/>
    <w:rsid w:val="004C301A"/>
    <w:rsid w:val="004E3F72"/>
    <w:rsid w:val="004E4174"/>
    <w:rsid w:val="004F12B0"/>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75641"/>
    <w:rsid w:val="006757CF"/>
    <w:rsid w:val="00695AFC"/>
    <w:rsid w:val="006A1718"/>
    <w:rsid w:val="006A787C"/>
    <w:rsid w:val="006C135E"/>
    <w:rsid w:val="006D151C"/>
    <w:rsid w:val="006D3233"/>
    <w:rsid w:val="006E2987"/>
    <w:rsid w:val="006E4FC9"/>
    <w:rsid w:val="006E6824"/>
    <w:rsid w:val="006F3026"/>
    <w:rsid w:val="006F5583"/>
    <w:rsid w:val="00710222"/>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5883"/>
    <w:rsid w:val="00BC07DD"/>
    <w:rsid w:val="00BC5830"/>
    <w:rsid w:val="00BC63B1"/>
    <w:rsid w:val="00BD2016"/>
    <w:rsid w:val="00BD424E"/>
    <w:rsid w:val="00BE740D"/>
    <w:rsid w:val="00BE7E09"/>
    <w:rsid w:val="00BF13B4"/>
    <w:rsid w:val="00BF261E"/>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CF43BA"/>
    <w:rsid w:val="00D02223"/>
    <w:rsid w:val="00D165E2"/>
    <w:rsid w:val="00D224F7"/>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C21F5-7CA6-4A4E-994E-C28EF1BD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7228</TotalTime>
  <Pages>34</Pages>
  <Words>9246</Words>
  <Characters>52703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216</cp:revision>
  <cp:lastPrinted>2015-12-17T06:04:00Z</cp:lastPrinted>
  <dcterms:created xsi:type="dcterms:W3CDTF">2015-12-08T04:36:00Z</dcterms:created>
  <dcterms:modified xsi:type="dcterms:W3CDTF">2016-01-25T01:57:00Z</dcterms:modified>
</cp:coreProperties>
</file>