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6C6847"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6C6847"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6C6847"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6C6847"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6C6847"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6C684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6C684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6C6847"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6C6847"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6C6847"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6C6847"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6C6847"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6C6847"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6C6847"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6C6847"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6C6847"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6C6847"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6C6847"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6C6847"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6C6847"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6C6847"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6C6847"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Pr="006F35DD" w:rsidRDefault="00AF0484" w:rsidP="00AF0484">
      <w:pPr>
        <w:pStyle w:val="ListParagraph"/>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r>
        <w:t>Economic profit = EBIT * (1 – tax) - $WACC</w:t>
      </w:r>
      <w:r w:rsidR="00384558">
        <w:t xml:space="preserve"> (remaining book value of investment * Rwacc)</w:t>
      </w:r>
    </w:p>
    <w:p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8C7B8E" w:rsidRPr="00F9560C" w:rsidRDefault="008C7B8E" w:rsidP="00F9560C">
      <w:r>
        <w:rPr>
          <w:rFonts w:hint="eastAsia"/>
        </w:rPr>
        <w:t xml:space="preserve">Book value </w:t>
      </w:r>
      <w:r>
        <w:t>of equity</w:t>
      </w:r>
      <w:r>
        <w:rPr>
          <w:rFonts w:hint="eastAsia"/>
        </w:rPr>
        <w:t xml:space="preserve"> + Market value Added = </w:t>
      </w:r>
      <w:r>
        <w:t>M</w:t>
      </w:r>
      <w:r>
        <w:rPr>
          <w:rFonts w:hint="eastAsia"/>
        </w:rPr>
        <w:t>arket value of equity</w:t>
      </w:r>
      <w:r w:rsidR="00811F4A">
        <w:t xml:space="preserve"> = PV of future dividend</w:t>
      </w:r>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6C6847"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6C6847"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6C6847"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 xml:space="preserve">Expected dividend = previous </w:t>
      </w:r>
      <w:r w:rsidR="00C753C1">
        <w:t>DPS</w:t>
      </w:r>
      <w:r>
        <w:t xml:space="preserve">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ListParagraph"/>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6C6847"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Pastor-Stambaugh Model adds a liquidity factor to the Fama-French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51197E" w:rsidRDefault="0051197E" w:rsidP="0017338F">
      <w:r>
        <w:t>Invested capital = operating assets – operating liabilities</w:t>
      </w:r>
    </w:p>
    <w:p w:rsidR="0051197E" w:rsidRDefault="0051197E" w:rsidP="0017338F"/>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bookmarkStart w:id="0" w:name="_GoBack"/>
      <w:bookmarkEnd w:id="0"/>
    </w:p>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6C6847"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Pr="0051197E"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7C3137">
      <w:pPr>
        <w:pStyle w:val="ListParagraph"/>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6C6847"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6C6847"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6C6847"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6C6847"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6C6847"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6C6847"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6C6847"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6C6847"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6C6847"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6C6847"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6C6847"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6C6847"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6C6847"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6C6847"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6C6847"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6C6847"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6C6847"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r>
        <w:t xml:space="preserve">Grinold rule, </w:t>
      </w:r>
    </w:p>
    <w:p w:rsidR="002C230A" w:rsidRPr="00BE7D70" w:rsidRDefault="006C6847"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6C6847"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6C6847"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6C684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6C684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6C6847"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6C6847"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847" w:rsidRDefault="006C6847" w:rsidP="00B10F78">
      <w:r>
        <w:separator/>
      </w:r>
    </w:p>
  </w:endnote>
  <w:endnote w:type="continuationSeparator" w:id="0">
    <w:p w:rsidR="006C6847" w:rsidRDefault="006C6847"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847" w:rsidRDefault="006C6847" w:rsidP="00B10F78">
      <w:r>
        <w:separator/>
      </w:r>
    </w:p>
  </w:footnote>
  <w:footnote w:type="continuationSeparator" w:id="0">
    <w:p w:rsidR="006C6847" w:rsidRDefault="006C6847"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06A6B"/>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197E"/>
    <w:rsid w:val="00513616"/>
    <w:rsid w:val="00515653"/>
    <w:rsid w:val="00516592"/>
    <w:rsid w:val="00516D4C"/>
    <w:rsid w:val="005179C9"/>
    <w:rsid w:val="00523ABC"/>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C6847"/>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29CC"/>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753C1"/>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02F0"/>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 w:type="paragraph" w:styleId="Header">
    <w:name w:val="header"/>
    <w:basedOn w:val="Normal"/>
    <w:link w:val="HeaderChar"/>
    <w:uiPriority w:val="99"/>
    <w:unhideWhenUsed/>
    <w:rsid w:val="00B10F78"/>
    <w:pPr>
      <w:tabs>
        <w:tab w:val="center" w:pos="4320"/>
        <w:tab w:val="right" w:pos="8640"/>
      </w:tabs>
    </w:pPr>
  </w:style>
  <w:style w:type="character" w:customStyle="1" w:styleId="HeaderChar">
    <w:name w:val="Header Char"/>
    <w:basedOn w:val="DefaultParagraphFont"/>
    <w:link w:val="Header"/>
    <w:uiPriority w:val="99"/>
    <w:rsid w:val="00B10F78"/>
  </w:style>
  <w:style w:type="paragraph" w:styleId="Footer">
    <w:name w:val="footer"/>
    <w:basedOn w:val="Normal"/>
    <w:link w:val="FooterChar"/>
    <w:uiPriority w:val="99"/>
    <w:unhideWhenUsed/>
    <w:rsid w:val="00B10F78"/>
    <w:pPr>
      <w:tabs>
        <w:tab w:val="center" w:pos="4320"/>
        <w:tab w:val="right" w:pos="8640"/>
      </w:tabs>
    </w:pPr>
  </w:style>
  <w:style w:type="character" w:customStyle="1" w:styleId="FooterChar">
    <w:name w:val="Footer Char"/>
    <w:basedOn w:val="DefaultParagraphFont"/>
    <w:link w:val="Footer"/>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20390-FAA0-4932-9081-DB014983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10856</TotalTime>
  <Pages>61</Pages>
  <Words>16947</Words>
  <Characters>96604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568</cp:revision>
  <cp:lastPrinted>2015-12-17T06:04:00Z</cp:lastPrinted>
  <dcterms:created xsi:type="dcterms:W3CDTF">2015-12-08T04:36:00Z</dcterms:created>
  <dcterms:modified xsi:type="dcterms:W3CDTF">2016-04-08T07:04:00Z</dcterms:modified>
</cp:coreProperties>
</file>