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5F7BE1">
      <w:pPr>
        <w:pStyle w:val="Level1"/>
      </w:pPr>
      <w:r>
        <w:rPr>
          <w:rFonts w:hint="eastAsia"/>
        </w:rPr>
        <w:t>Ethical and Professional Standards</w:t>
      </w:r>
    </w:p>
    <w:p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7C3137">
      <w:pPr>
        <w:pStyle w:val="ListParagraph"/>
        <w:numPr>
          <w:ilvl w:val="0"/>
          <w:numId w:val="129"/>
        </w:numPr>
        <w:ind w:firstLineChars="0"/>
      </w:pPr>
      <w:r>
        <w:rPr>
          <w:rFonts w:hint="eastAsia"/>
        </w:rPr>
        <w:t>Quiet periods of 30 days from issuance for IPOs and 10 days from issuance for secondary offerings are recommended.</w:t>
      </w:r>
    </w:p>
    <w:p w:rsidR="008B210A" w:rsidRDefault="008B210A" w:rsidP="007C3137">
      <w:pPr>
        <w:pStyle w:val="ListParagraph"/>
        <w:numPr>
          <w:ilvl w:val="0"/>
          <w:numId w:val="129"/>
        </w:numPr>
        <w:ind w:firstLineChars="0"/>
      </w:pPr>
      <w:r>
        <w:t>Restricted periods of at least 30 days before and 5 days after report issuance are recommended.</w:t>
      </w:r>
    </w:p>
    <w:p w:rsidR="001861C5" w:rsidRDefault="001861C5" w:rsidP="007C3137">
      <w:pPr>
        <w:pStyle w:val="ListParagraph"/>
        <w:numPr>
          <w:ilvl w:val="0"/>
          <w:numId w:val="129"/>
        </w:numPr>
        <w:ind w:firstLineChars="0"/>
      </w:pPr>
      <w:r>
        <w:t>It’s recommended that covered employees be required to hold securities for a minimum of 60 days.</w:t>
      </w:r>
    </w:p>
    <w:p w:rsidR="00A81A09" w:rsidRDefault="00A81A09" w:rsidP="007C3137">
      <w:pPr>
        <w:pStyle w:val="ListParagraph"/>
        <w:numPr>
          <w:ilvl w:val="0"/>
          <w:numId w:val="129"/>
        </w:numPr>
        <w:ind w:firstLineChars="0"/>
      </w:pPr>
      <w:r>
        <w:t>It’s recommended that reports and recommendations be issued at least quarterly.</w:t>
      </w:r>
    </w:p>
    <w:p w:rsidR="00C07F29" w:rsidRDefault="00C07F29" w:rsidP="007C3137">
      <w:pPr>
        <w:pStyle w:val="ListParagraph"/>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7C3137">
      <w:pPr>
        <w:pStyle w:val="ListParagraph"/>
        <w:numPr>
          <w:ilvl w:val="0"/>
          <w:numId w:val="129"/>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7C3137">
      <w:pPr>
        <w:pStyle w:val="Level2"/>
        <w:numPr>
          <w:ilvl w:val="1"/>
          <w:numId w:val="97"/>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C2311E"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C2311E"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C2311E"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C2311E"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C2311E"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C2311E"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C2311E"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C2311E"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C2311E"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C2311E"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C2311E"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C2311E"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C2311E"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C2311E"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C2311E"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C2311E"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C2311E"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C2311E"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C2311E"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C2311E"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C2311E"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C2311E"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2E23FB" w:rsidP="007924CA">
      <w:r>
        <w:t xml:space="preserve">When </w:t>
      </w:r>
      <w:r w:rsidR="00924531">
        <w:t>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B15563" w:rsidRDefault="00B15563" w:rsidP="00B15563">
      <w:bookmarkStart w:id="0" w:name="_GoBack"/>
      <w:bookmarkEnd w:id="0"/>
      <w:r>
        <w:lastRenderedPageBreak/>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r>
      <w:r w:rsidR="006202E6">
        <w:t>(</w:t>
      </w:r>
      <w:r>
        <w:t>20X6 reserve – 20X5 reserve</w:t>
      </w:r>
      <w:r w:rsidR="006202E6">
        <w:t>)</w:t>
      </w:r>
      <w:r>
        <w:t xml:space="preserve"> * 30%</w:t>
      </w:r>
    </w:p>
    <w:p w:rsidR="00F014F5" w:rsidRDefault="00F014F5" w:rsidP="009F07A0"/>
    <w:p w:rsidR="00F014F5" w:rsidRDefault="00F014F5" w:rsidP="009F07A0">
      <w:r>
        <w:t>A LIFO liquidation occurs when a LIFO firm’s inventory quantities are declining.</w:t>
      </w:r>
      <w:r w:rsidR="005467FD" w:rsidRPr="005467FD">
        <w:t xml:space="preserve"> In this case the prices for goods that are being sold are no longer recent prices and can be many years out of date.  This would make COGS appear to be very low and gross and net profits to be artificially high.</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Pr="008B5167" w:rsidRDefault="00EA3930" w:rsidP="00EA3930">
      <w:pPr>
        <w:rPr>
          <w:b/>
        </w:rPr>
      </w:pPr>
      <w:r w:rsidRPr="008B5167">
        <w:rPr>
          <w:b/>
        </w:rPr>
        <w:t>* Remember to exclude land value in the gross investment.</w:t>
      </w:r>
    </w:p>
    <w:p w:rsidR="00EA3930" w:rsidRDefault="00EA3930" w:rsidP="00EA3930"/>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FD16D6">
            <w:r>
              <w:rPr>
                <w:rFonts w:hint="eastAsia"/>
              </w:rPr>
              <w:t>Balance sheet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rsidR="00FD79F7">
        <w:rPr>
          <w:rFonts w:hint="eastAsia"/>
        </w:rPr>
        <w:t>Un</w:t>
      </w:r>
      <w:r w:rsidR="00FD79F7">
        <w:t>der b</w:t>
      </w:r>
      <w:r>
        <w:t>oth GAAP &amp; IFRS</w:t>
      </w:r>
      <w:r w:rsidR="00FD79F7">
        <w:t>, held-to-maturity &amp; available-for-sale securities</w:t>
      </w:r>
      <w:r>
        <w:t xml:space="preserve"> include transaction cost</w:t>
      </w:r>
      <w:r w:rsidR="00CC334A">
        <w: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B404A9" w:rsidRDefault="00B404A9" w:rsidP="00C01A54">
      <w:r>
        <w:t xml:space="preserve">A downgrade of an entity’s credit rating is not </w:t>
      </w:r>
      <w:r w:rsidRPr="00B404A9">
        <w:rPr>
          <w:b/>
        </w:rPr>
        <w:t>by itself</w:t>
      </w:r>
      <w:r>
        <w:t xml:space="preserve"> evidence of impairment.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lastRenderedPageBreak/>
        <w:t xml:space="preserve">Both IFRS and </w:t>
      </w:r>
      <w:r w:rsidR="00B17D53">
        <w:t xml:space="preserve">US GAAP allows fair value option. </w:t>
      </w:r>
    </w:p>
    <w:p w:rsidR="00600C54" w:rsidRDefault="00600C54" w:rsidP="00600C54">
      <w:pPr>
        <w:pStyle w:val="ListParagraph"/>
        <w:ind w:left="360" w:firstLineChars="0" w:firstLine="0"/>
      </w:pPr>
      <w:r>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rsidRPr="00E81632">
        <w:rPr>
          <w:b/>
        </w:rPr>
        <w:t>100</w:t>
      </w:r>
      <w:r w:rsidR="001C1432">
        <w:t xml:space="preserve">%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Pr="006F35DD" w:rsidRDefault="00AF0484" w:rsidP="00AF0484">
      <w:pPr>
        <w:pStyle w:val="ListParagraph"/>
        <w:ind w:left="360" w:firstLineChars="0" w:firstLine="0"/>
        <w:rPr>
          <w:b/>
        </w:rPr>
      </w:pPr>
      <w:r w:rsidRPr="006F35DD">
        <w:rPr>
          <w:b/>
        </w:rPr>
        <w:t xml:space="preserve">(1-x)% * </w:t>
      </w:r>
      <w:r w:rsidR="00023ADB">
        <w:rPr>
          <w:b/>
        </w:rPr>
        <w:t>subsidiary’s net income</w:t>
      </w:r>
      <w:r w:rsidRPr="006F35DD">
        <w:rPr>
          <w:b/>
        </w:rPr>
        <w:t xml:space="preserve">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 xml:space="preserve">Full minority interest = Partial </w:t>
      </w:r>
      <w:r w:rsidR="00D97FB5">
        <w:t>minority interest</w:t>
      </w:r>
      <w:r>
        <w:t xml:space="preserve"> + (Full goodwill – partial goodwill)</w:t>
      </w:r>
    </w:p>
    <w:p w:rsidR="00732468" w:rsidRDefault="00732468" w:rsidP="00732468">
      <w:r>
        <w:rPr>
          <w:rFonts w:hint="eastAsia"/>
        </w:rPr>
        <w:lastRenderedPageBreak/>
        <w:t xml:space="preserve">* </w:t>
      </w:r>
      <w:r w:rsidR="00CF43BA">
        <w:t>US GAAP requires full goodwill;</w:t>
      </w:r>
      <w:r>
        <w:t xml:space="preserve"> IFRS permits both full/partial goodwill</w:t>
      </w:r>
    </w:p>
    <w:p w:rsidR="00744780" w:rsidRDefault="00744780" w:rsidP="00732468"/>
    <w:p w:rsidR="00AF0484" w:rsidRDefault="00AF0484" w:rsidP="00AF0484">
      <w:r>
        <w:rPr>
          <w:rFonts w:hint="eastAsia"/>
        </w:rPr>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 xml:space="preserve">’s new account on balance sheet/income statement = BV(investor’s old account) + </w:t>
      </w:r>
      <w:r w:rsidRPr="00E81632">
        <w:rPr>
          <w:b/>
        </w:rPr>
        <w:t>x</w:t>
      </w:r>
      <w:r>
        <w:t>%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0B1E39">
      <w:r>
        <w:t xml:space="preserve">Periodic pension cost </w:t>
      </w:r>
      <w:r w:rsidR="00956EB5">
        <w:t>= Current service cost + Interest cost (r * (PBO – asset))</w:t>
      </w:r>
      <w:r w:rsidR="00956EB5">
        <w:rPr>
          <w:rFonts w:hint="eastAsia"/>
        </w:rPr>
        <w:t xml:space="preserve"> </w:t>
      </w:r>
      <w:r w:rsidR="00565E18">
        <w:t>+</w:t>
      </w:r>
      <w:r w:rsidR="00956EB5">
        <w:rPr>
          <w:rFonts w:hint="eastAsia"/>
        </w:rPr>
        <w:t xml:space="preserve"> Past </w:t>
      </w:r>
      <w:r w:rsidR="00956EB5">
        <w:t xml:space="preserve">service cost </w:t>
      </w:r>
    </w:p>
    <w:p w:rsidR="00C571C1" w:rsidRDefault="00C571C1" w:rsidP="00C571C1"/>
    <w:p w:rsidR="00956EB5" w:rsidRDefault="00956EB5" w:rsidP="00BB5883">
      <w:r>
        <w:t>Actuarial gains/losses are recorded in OCI. No amortization.</w:t>
      </w:r>
    </w:p>
    <w:p w:rsidR="00877FEF" w:rsidRDefault="00877FEF" w:rsidP="00BB5883">
      <w:r>
        <w:t>Difference between actual return and r*asset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Default="003267A7" w:rsidP="00BB5883">
      <w:r>
        <w:t>Total Periodic pension cost = Periodic pension cost (in P/L) + Periodic pension cost in OCI</w:t>
      </w:r>
    </w:p>
    <w:p w:rsidR="00033CF9" w:rsidRPr="003267A7" w:rsidRDefault="00033CF9" w:rsidP="00BB5883"/>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7C3137">
      <w:pPr>
        <w:pStyle w:val="Level2"/>
        <w:numPr>
          <w:ilvl w:val="1"/>
          <w:numId w:val="107"/>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7C3137">
      <w:pPr>
        <w:pStyle w:val="ListParagraph"/>
        <w:numPr>
          <w:ilvl w:val="0"/>
          <w:numId w:val="108"/>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7C3137">
      <w:pPr>
        <w:pStyle w:val="ListParagraph"/>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7C3137">
      <w:pPr>
        <w:pStyle w:val="ListParagraph"/>
        <w:numPr>
          <w:ilvl w:val="0"/>
          <w:numId w:val="108"/>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r>
        <w:t>Economic profit = EBIT * (1 – tax) - $WACC</w:t>
      </w:r>
      <w:r w:rsidR="00384558">
        <w:t xml:space="preserve"> (remaining book value of investment * Rwacc)</w:t>
      </w:r>
    </w:p>
    <w:p w:rsid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8C7B8E" w:rsidRPr="00F9560C" w:rsidRDefault="008C7B8E" w:rsidP="00F9560C">
      <w:r>
        <w:rPr>
          <w:rFonts w:hint="eastAsia"/>
        </w:rPr>
        <w:t xml:space="preserve">Book value </w:t>
      </w:r>
      <w:r>
        <w:t>of equity</w:t>
      </w:r>
      <w:r>
        <w:rPr>
          <w:rFonts w:hint="eastAsia"/>
        </w:rPr>
        <w:t xml:space="preserve"> + Market value Added = </w:t>
      </w:r>
      <w:r>
        <w:t>M</w:t>
      </w:r>
      <w:r>
        <w:rPr>
          <w:rFonts w:hint="eastAsia"/>
        </w:rPr>
        <w:t>arket value of equity</w:t>
      </w:r>
      <w:r w:rsidR="00811F4A">
        <w:t xml:space="preserve"> = PV of future dividend</w:t>
      </w:r>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C2311E"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C2311E"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C2311E"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rsidR="002913E7" w:rsidRDefault="002913E7" w:rsidP="007C3137">
      <w:pPr>
        <w:pStyle w:val="ListParagraph"/>
        <w:numPr>
          <w:ilvl w:val="0"/>
          <w:numId w:val="125"/>
        </w:numPr>
        <w:ind w:firstLineChars="0"/>
      </w:pPr>
      <w:r>
        <w:t>Stable Dividend policy</w:t>
      </w:r>
    </w:p>
    <w:p w:rsidR="002913E7" w:rsidRDefault="002913E7" w:rsidP="002913E7">
      <w:r>
        <w:t xml:space="preserve">Expected dividend = previous </w:t>
      </w:r>
      <w:r w:rsidR="00C753C1">
        <w:t>DPS</w:t>
      </w:r>
      <w:r>
        <w:t xml:space="preserve"> + increase in EPS * target payout ratio * adjustment factor</w:t>
      </w:r>
    </w:p>
    <w:p w:rsidR="002913E7" w:rsidRDefault="002913E7" w:rsidP="002913E7">
      <w:r>
        <w:t>Adjustment factor = 1 / number of years over which the adjustment in dividends will take place</w:t>
      </w:r>
    </w:p>
    <w:p w:rsidR="00222734" w:rsidRDefault="00222734" w:rsidP="007C3137">
      <w:pPr>
        <w:pStyle w:val="ListParagraph"/>
        <w:numPr>
          <w:ilvl w:val="0"/>
          <w:numId w:val="125"/>
        </w:numPr>
        <w:ind w:firstLineChars="0"/>
      </w:pPr>
      <w:r>
        <w:rPr>
          <w:rFonts w:hint="eastAsia"/>
        </w:rPr>
        <w:t>Constant Dividend Payout Ratio policy</w:t>
      </w:r>
    </w:p>
    <w:p w:rsidR="00DF7B58" w:rsidRDefault="00DF7B58" w:rsidP="007C3137">
      <w:pPr>
        <w:pStyle w:val="ListParagraph"/>
        <w:numPr>
          <w:ilvl w:val="0"/>
          <w:numId w:val="125"/>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7C3137">
      <w:pPr>
        <w:pStyle w:val="Level3"/>
        <w:numPr>
          <w:ilvl w:val="2"/>
          <w:numId w:val="111"/>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rsidR="00A34699" w:rsidRDefault="00A34699" w:rsidP="007C3137">
      <w:pPr>
        <w:pStyle w:val="ListParagraph"/>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7C3137">
      <w:pPr>
        <w:pStyle w:val="ListParagraph"/>
        <w:numPr>
          <w:ilvl w:val="0"/>
          <w:numId w:val="113"/>
        </w:numPr>
        <w:ind w:firstLineChars="0"/>
      </w:pPr>
      <w:r>
        <w:t>Utilitarianism argues that business must weigh the consequences to society of each of their actions and to seek to produce the highest good for the largest number of people.</w:t>
      </w:r>
    </w:p>
    <w:p w:rsidR="00A34699" w:rsidRDefault="00A34699" w:rsidP="007C3137">
      <w:pPr>
        <w:pStyle w:val="ListParagraph"/>
        <w:numPr>
          <w:ilvl w:val="0"/>
          <w:numId w:val="113"/>
        </w:numPr>
        <w:ind w:firstLineChars="0"/>
      </w:pPr>
      <w:r>
        <w:t>Kantian ethics argue that people are different from other factors of production and deserve dignity and respect.</w:t>
      </w:r>
    </w:p>
    <w:p w:rsidR="00A34699" w:rsidRDefault="00A34699" w:rsidP="007C3137">
      <w:pPr>
        <w:pStyle w:val="ListParagraph"/>
        <w:numPr>
          <w:ilvl w:val="0"/>
          <w:numId w:val="113"/>
        </w:numPr>
        <w:ind w:firstLineChars="0"/>
      </w:pPr>
      <w:r>
        <w:t>Rights theories argue that all individuals have fundamental rights and privileges.</w:t>
      </w:r>
    </w:p>
    <w:p w:rsidR="00A34699" w:rsidRDefault="00A34699" w:rsidP="007C3137">
      <w:pPr>
        <w:pStyle w:val="ListParagraph"/>
        <w:numPr>
          <w:ilvl w:val="0"/>
          <w:numId w:val="113"/>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7C3137">
      <w:pPr>
        <w:pStyle w:val="ListParagraph"/>
        <w:numPr>
          <w:ilvl w:val="0"/>
          <w:numId w:val="126"/>
        </w:numPr>
        <w:ind w:firstLineChars="0"/>
      </w:pPr>
      <w:r>
        <w:t>T</w:t>
      </w:r>
      <w:r>
        <w:rPr>
          <w:rFonts w:hint="eastAsia"/>
        </w:rPr>
        <w:t xml:space="preserve">o </w:t>
      </w:r>
      <w:r>
        <w:t>eliminate or mitigate conflicts of interest, particularly those between managers and shareholders.</w:t>
      </w:r>
    </w:p>
    <w:p w:rsidR="00B8053F" w:rsidRDefault="00B8053F" w:rsidP="007C3137">
      <w:pPr>
        <w:pStyle w:val="ListParagraph"/>
        <w:numPr>
          <w:ilvl w:val="0"/>
          <w:numId w:val="126"/>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7C3137">
      <w:pPr>
        <w:pStyle w:val="ListParagraph"/>
        <w:numPr>
          <w:ilvl w:val="0"/>
          <w:numId w:val="127"/>
        </w:numPr>
        <w:ind w:firstLineChars="0"/>
      </w:pPr>
      <w:r>
        <w:t>D</w:t>
      </w:r>
      <w:r>
        <w:rPr>
          <w:rFonts w:hint="eastAsia"/>
        </w:rPr>
        <w:t xml:space="preserve">elineation </w:t>
      </w:r>
      <w:r>
        <w:t>of the rights of shareholders and other core stake holders.</w:t>
      </w:r>
    </w:p>
    <w:p w:rsidR="00B8053F" w:rsidRDefault="00B8053F" w:rsidP="007C3137">
      <w:pPr>
        <w:pStyle w:val="ListParagraph"/>
        <w:numPr>
          <w:ilvl w:val="0"/>
          <w:numId w:val="127"/>
        </w:numPr>
        <w:ind w:firstLineChars="0"/>
      </w:pPr>
      <w:r>
        <w:t>Clearly defined manager and director governance responsibilities to stakeholders.</w:t>
      </w:r>
    </w:p>
    <w:p w:rsidR="00B8053F" w:rsidRDefault="00B8053F" w:rsidP="007C3137">
      <w:pPr>
        <w:pStyle w:val="ListParagraph"/>
        <w:numPr>
          <w:ilvl w:val="0"/>
          <w:numId w:val="127"/>
        </w:numPr>
        <w:ind w:firstLineChars="0"/>
      </w:pPr>
      <w:r>
        <w:t>Identifiable and measurable accountabilities for the performance of the responsibilities.</w:t>
      </w:r>
    </w:p>
    <w:p w:rsidR="00B8053F" w:rsidRDefault="00B8053F" w:rsidP="007C3137">
      <w:pPr>
        <w:pStyle w:val="ListParagraph"/>
        <w:numPr>
          <w:ilvl w:val="0"/>
          <w:numId w:val="127"/>
        </w:numPr>
        <w:ind w:firstLineChars="0"/>
      </w:pPr>
      <w:r>
        <w:t>Fairness and equitable treatment in all dealings between managers, directors and shareholders.</w:t>
      </w:r>
    </w:p>
    <w:p w:rsidR="00B8053F" w:rsidRPr="00B8053F" w:rsidRDefault="00B8053F" w:rsidP="007C3137">
      <w:pPr>
        <w:pStyle w:val="ListParagraph"/>
        <w:numPr>
          <w:ilvl w:val="0"/>
          <w:numId w:val="127"/>
        </w:numPr>
        <w:ind w:firstLineChars="0"/>
      </w:pPr>
      <w:r>
        <w:t>Complete transparency and accuracy in disclosures regarding operations, performance, risk and financial position.</w:t>
      </w:r>
    </w:p>
    <w:p w:rsidR="00221DB9" w:rsidRDefault="00221DB9" w:rsidP="00221DB9"/>
    <w:p w:rsidR="00221DB9" w:rsidRDefault="00221DB9" w:rsidP="007C3137">
      <w:pPr>
        <w:pStyle w:val="Level2"/>
        <w:numPr>
          <w:ilvl w:val="1"/>
          <w:numId w:val="115"/>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7C3137">
      <w:pPr>
        <w:pStyle w:val="ListParagraph"/>
        <w:numPr>
          <w:ilvl w:val="0"/>
          <w:numId w:val="114"/>
        </w:numPr>
        <w:ind w:firstLineChars="0"/>
      </w:pPr>
      <w:r>
        <w:rPr>
          <w:rFonts w:hint="eastAsia"/>
        </w:rPr>
        <w:t xml:space="preserve">In a statutory </w:t>
      </w:r>
      <w:r>
        <w:t>merger, the acquiring company acquires all of the target’s assets and liabilities.</w:t>
      </w:r>
    </w:p>
    <w:p w:rsidR="00221DB9" w:rsidRDefault="00221DB9" w:rsidP="007C3137">
      <w:pPr>
        <w:pStyle w:val="ListParagraph"/>
        <w:numPr>
          <w:ilvl w:val="0"/>
          <w:numId w:val="114"/>
        </w:numPr>
        <w:ind w:firstLineChars="0"/>
      </w:pPr>
      <w:r>
        <w:t>In a subsidiary merger, the target company becomes a subsidiary of the purchaser.</w:t>
      </w:r>
    </w:p>
    <w:p w:rsidR="00221DB9" w:rsidRDefault="00221DB9" w:rsidP="007C3137">
      <w:pPr>
        <w:pStyle w:val="ListParagraph"/>
        <w:numPr>
          <w:ilvl w:val="0"/>
          <w:numId w:val="114"/>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7C3137">
      <w:pPr>
        <w:pStyle w:val="Level3"/>
        <w:numPr>
          <w:ilvl w:val="2"/>
          <w:numId w:val="116"/>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7C3137">
      <w:pPr>
        <w:pStyle w:val="ListParagraph"/>
        <w:numPr>
          <w:ilvl w:val="0"/>
          <w:numId w:val="117"/>
        </w:numPr>
        <w:ind w:firstLineChars="0"/>
      </w:pPr>
      <w:r>
        <w:rPr>
          <w:rFonts w:hint="eastAsia"/>
        </w:rPr>
        <w:t>Poison Pill: It gives current shareholders the right to purchases additional shares of stock at extre</w:t>
      </w:r>
      <w:r>
        <w:t>mely attractive prices.</w:t>
      </w:r>
    </w:p>
    <w:p w:rsidR="00701DF4" w:rsidRDefault="00701DF4" w:rsidP="007C3137">
      <w:pPr>
        <w:pStyle w:val="ListParagraph"/>
        <w:numPr>
          <w:ilvl w:val="0"/>
          <w:numId w:val="117"/>
        </w:numPr>
        <w:ind w:firstLineChars="0"/>
      </w:pPr>
      <w:r>
        <w:t>Poison put. These puts give bondholders the option to demand immediate repayment of their bonds if there is a hostile takeover.</w:t>
      </w:r>
    </w:p>
    <w:p w:rsidR="00701DF4" w:rsidRDefault="00701DF4" w:rsidP="007C3137">
      <w:pPr>
        <w:pStyle w:val="ListParagraph"/>
        <w:numPr>
          <w:ilvl w:val="0"/>
          <w:numId w:val="117"/>
        </w:numPr>
        <w:ind w:firstLineChars="0"/>
      </w:pPr>
      <w:r>
        <w:t>Restrictive takeover laws</w:t>
      </w:r>
    </w:p>
    <w:p w:rsidR="00701DF4" w:rsidRDefault="00701DF4" w:rsidP="007C3137">
      <w:pPr>
        <w:pStyle w:val="ListParagraph"/>
        <w:numPr>
          <w:ilvl w:val="0"/>
          <w:numId w:val="117"/>
        </w:numPr>
        <w:ind w:firstLineChars="0"/>
      </w:pPr>
      <w:r>
        <w:t>Staggered board: In any particular year, a bidder can win at most one-third of the board seat</w:t>
      </w:r>
      <w:r w:rsidR="00077C4E">
        <w:t>s.</w:t>
      </w:r>
    </w:p>
    <w:p w:rsidR="00747A63" w:rsidRDefault="00747A63" w:rsidP="007C3137">
      <w:pPr>
        <w:pStyle w:val="ListParagraph"/>
        <w:numPr>
          <w:ilvl w:val="0"/>
          <w:numId w:val="117"/>
        </w:numPr>
        <w:ind w:firstLineChars="0"/>
      </w:pPr>
      <w:r>
        <w:lastRenderedPageBreak/>
        <w:t>Restricted voting rights: Equity ownership above some threshold level triggers a loss of voting rights.</w:t>
      </w:r>
    </w:p>
    <w:p w:rsidR="00747A63" w:rsidRDefault="00747A63" w:rsidP="007C3137">
      <w:pPr>
        <w:pStyle w:val="ListParagraph"/>
        <w:numPr>
          <w:ilvl w:val="0"/>
          <w:numId w:val="117"/>
        </w:numPr>
        <w:ind w:firstLineChars="0"/>
      </w:pPr>
      <w:r>
        <w:t>Supermajority voting provision for mergers.</w:t>
      </w:r>
    </w:p>
    <w:p w:rsidR="00747A63" w:rsidRDefault="00747A63" w:rsidP="007C3137">
      <w:pPr>
        <w:pStyle w:val="ListParagraph"/>
        <w:numPr>
          <w:ilvl w:val="0"/>
          <w:numId w:val="117"/>
        </w:numPr>
        <w:ind w:firstLineChars="0"/>
      </w:pPr>
      <w:r>
        <w:t>Fair price amendment restricts a merger offer unless a fair price is offered.</w:t>
      </w:r>
    </w:p>
    <w:p w:rsidR="00747A63" w:rsidRDefault="00747A63" w:rsidP="007C3137">
      <w:pPr>
        <w:pStyle w:val="ListParagraph"/>
        <w:numPr>
          <w:ilvl w:val="0"/>
          <w:numId w:val="117"/>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7C3137">
      <w:pPr>
        <w:pStyle w:val="ListParagraph"/>
        <w:numPr>
          <w:ilvl w:val="0"/>
          <w:numId w:val="118"/>
        </w:numPr>
        <w:ind w:firstLineChars="0"/>
      </w:pPr>
      <w:r>
        <w:t>“Just say no” defense.</w:t>
      </w:r>
    </w:p>
    <w:p w:rsidR="00747A63" w:rsidRDefault="00747A63" w:rsidP="007C3137">
      <w:pPr>
        <w:pStyle w:val="ListParagraph"/>
        <w:numPr>
          <w:ilvl w:val="0"/>
          <w:numId w:val="118"/>
        </w:numPr>
        <w:ind w:firstLineChars="0"/>
      </w:pPr>
      <w:r>
        <w:t>Litigation</w:t>
      </w:r>
    </w:p>
    <w:p w:rsidR="00747A63" w:rsidRDefault="00747A63" w:rsidP="007C3137">
      <w:pPr>
        <w:pStyle w:val="ListParagraph"/>
        <w:numPr>
          <w:ilvl w:val="0"/>
          <w:numId w:val="118"/>
        </w:numPr>
        <w:ind w:firstLineChars="0"/>
      </w:pPr>
      <w:r>
        <w:t>Greenmail is a payoff to the potential acquirer to terminate the hostile takeover attempt.</w:t>
      </w:r>
    </w:p>
    <w:p w:rsidR="00184E34" w:rsidRDefault="00184E34" w:rsidP="007C3137">
      <w:pPr>
        <w:pStyle w:val="ListParagraph"/>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7C3137">
      <w:pPr>
        <w:pStyle w:val="ListParagraph"/>
        <w:numPr>
          <w:ilvl w:val="0"/>
          <w:numId w:val="118"/>
        </w:numPr>
        <w:ind w:firstLineChars="0"/>
      </w:pPr>
      <w:r>
        <w:t>Crown jewel defense. A target may decide to sell its major asset (attractive to the acquirer) to a neutral third party.</w:t>
      </w:r>
    </w:p>
    <w:p w:rsidR="00184E34" w:rsidRDefault="008D74D9" w:rsidP="007C3137">
      <w:pPr>
        <w:pStyle w:val="ListParagraph"/>
        <w:numPr>
          <w:ilvl w:val="0"/>
          <w:numId w:val="118"/>
        </w:numPr>
        <w:ind w:firstLineChars="0"/>
      </w:pPr>
      <w:r>
        <w:t>Pac-Man defense. After a hostile takeover offer, the target can defend itself by making a counteroffer to acquire the acquirer.</w:t>
      </w:r>
    </w:p>
    <w:p w:rsidR="008D74D9" w:rsidRDefault="008D74D9" w:rsidP="007C3137">
      <w:pPr>
        <w:pStyle w:val="ListParagraph"/>
        <w:numPr>
          <w:ilvl w:val="0"/>
          <w:numId w:val="118"/>
        </w:numPr>
        <w:ind w:firstLineChars="0"/>
      </w:pPr>
      <w:r>
        <w:t>White knight defense. A white knight is a friendly third party that comes to the rescue of the target company. The tendency for the winner to overpay is called the winner’s curse.</w:t>
      </w:r>
    </w:p>
    <w:p w:rsidR="008D74D9" w:rsidRDefault="008D74D9" w:rsidP="007C3137">
      <w:pPr>
        <w:pStyle w:val="ListParagraph"/>
        <w:numPr>
          <w:ilvl w:val="0"/>
          <w:numId w:val="118"/>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7C3137">
      <w:pPr>
        <w:pStyle w:val="ListParagraph"/>
        <w:numPr>
          <w:ilvl w:val="0"/>
          <w:numId w:val="119"/>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7C3137">
      <w:pPr>
        <w:pStyle w:val="ListParagraph"/>
        <w:numPr>
          <w:ilvl w:val="0"/>
          <w:numId w:val="119"/>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7C3137">
      <w:pPr>
        <w:pStyle w:val="Level3"/>
        <w:numPr>
          <w:ilvl w:val="2"/>
          <w:numId w:val="120"/>
        </w:numPr>
        <w:spacing w:after="156"/>
      </w:pPr>
      <w:r>
        <w:rPr>
          <w:rFonts w:hint="eastAsia"/>
        </w:rPr>
        <w:t>Distinguish among equity carve-outs, spin-offs, split-offs, and liquidation.</w:t>
      </w:r>
    </w:p>
    <w:p w:rsidR="005C7C79" w:rsidRDefault="005C7C79" w:rsidP="007C3137">
      <w:pPr>
        <w:pStyle w:val="ListParagraph"/>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7C3137">
      <w:pPr>
        <w:pStyle w:val="ListParagraph"/>
        <w:numPr>
          <w:ilvl w:val="0"/>
          <w:numId w:val="121"/>
        </w:numPr>
        <w:ind w:firstLineChars="0"/>
      </w:pPr>
      <w:r>
        <w:t>Spin-offs are like carve-outs. The difference is that shares are distributed to the parent company’s shareholders.</w:t>
      </w:r>
    </w:p>
    <w:p w:rsidR="00A96461" w:rsidRDefault="005C7C79" w:rsidP="007C3137">
      <w:pPr>
        <w:pStyle w:val="ListParagraph"/>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7C3137">
      <w:pPr>
        <w:pStyle w:val="Level1"/>
        <w:numPr>
          <w:ilvl w:val="0"/>
          <w:numId w:val="120"/>
        </w:numPr>
      </w:pPr>
      <w:r>
        <w:rPr>
          <w:rFonts w:hint="eastAsia"/>
        </w:rPr>
        <w:lastRenderedPageBreak/>
        <w:t>Equity Investment</w:t>
      </w:r>
    </w:p>
    <w:p w:rsidR="0017338F" w:rsidRDefault="0017338F" w:rsidP="007C3137">
      <w:pPr>
        <w:pStyle w:val="Level2"/>
        <w:numPr>
          <w:ilvl w:val="1"/>
          <w:numId w:val="84"/>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7C3137">
      <w:pPr>
        <w:pStyle w:val="ListParagraph"/>
        <w:numPr>
          <w:ilvl w:val="0"/>
          <w:numId w:val="85"/>
        </w:numPr>
        <w:ind w:firstLineChars="0"/>
      </w:pPr>
      <w:r>
        <w:rPr>
          <w:rFonts w:hint="eastAsia"/>
        </w:rPr>
        <w:t>Bargaining p</w:t>
      </w:r>
      <w:r>
        <w:t>ower of buyer</w:t>
      </w:r>
    </w:p>
    <w:p w:rsidR="0017338F" w:rsidRDefault="0017338F" w:rsidP="007C3137">
      <w:pPr>
        <w:pStyle w:val="ListParagraph"/>
        <w:numPr>
          <w:ilvl w:val="0"/>
          <w:numId w:val="85"/>
        </w:numPr>
        <w:ind w:firstLineChars="0"/>
      </w:pPr>
      <w:r>
        <w:rPr>
          <w:rFonts w:hint="eastAsia"/>
        </w:rPr>
        <w:t>Bargaining p</w:t>
      </w:r>
      <w:r>
        <w:t>ower of supplier</w:t>
      </w:r>
    </w:p>
    <w:p w:rsidR="0017338F" w:rsidRDefault="0017338F" w:rsidP="007C3137">
      <w:pPr>
        <w:pStyle w:val="ListParagraph"/>
        <w:numPr>
          <w:ilvl w:val="0"/>
          <w:numId w:val="85"/>
        </w:numPr>
        <w:ind w:firstLineChars="0"/>
      </w:pPr>
      <w:r>
        <w:t>Threat of new entrants</w:t>
      </w:r>
    </w:p>
    <w:p w:rsidR="0017338F" w:rsidRDefault="0017338F" w:rsidP="007C3137">
      <w:pPr>
        <w:pStyle w:val="ListParagraph"/>
        <w:numPr>
          <w:ilvl w:val="0"/>
          <w:numId w:val="85"/>
        </w:numPr>
        <w:ind w:firstLineChars="0"/>
      </w:pPr>
      <w:r>
        <w:t>Threat of substitutes</w:t>
      </w:r>
    </w:p>
    <w:p w:rsidR="0017338F" w:rsidRDefault="0017338F" w:rsidP="007C3137">
      <w:pPr>
        <w:pStyle w:val="ListParagraph"/>
        <w:numPr>
          <w:ilvl w:val="0"/>
          <w:numId w:val="85"/>
        </w:numPr>
        <w:ind w:firstLineChars="0"/>
      </w:pPr>
      <w:r>
        <w:t>Rivalry among existing competitors</w:t>
      </w:r>
    </w:p>
    <w:p w:rsidR="0017338F" w:rsidRDefault="0017338F" w:rsidP="0017338F"/>
    <w:p w:rsidR="0017338F" w:rsidRDefault="0017338F" w:rsidP="007C3137">
      <w:pPr>
        <w:pStyle w:val="Level3"/>
        <w:numPr>
          <w:ilvl w:val="2"/>
          <w:numId w:val="86"/>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7C3137">
      <w:pPr>
        <w:pStyle w:val="Level3"/>
        <w:numPr>
          <w:ilvl w:val="2"/>
          <w:numId w:val="89"/>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7C3137">
      <w:pPr>
        <w:pStyle w:val="ListParagraph"/>
        <w:numPr>
          <w:ilvl w:val="0"/>
          <w:numId w:val="123"/>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C2311E"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7C3137">
      <w:pPr>
        <w:pStyle w:val="ListParagraph"/>
        <w:numPr>
          <w:ilvl w:val="0"/>
          <w:numId w:val="123"/>
        </w:numPr>
        <w:ind w:firstLineChars="0"/>
      </w:pPr>
      <w:r>
        <w:rPr>
          <w:rFonts w:hint="eastAsia"/>
        </w:rPr>
        <w:t>Pastor-Stambaugh Model adds a liquidity factor to the Fama-French model.</w:t>
      </w:r>
    </w:p>
    <w:p w:rsidR="0017338F" w:rsidRDefault="0017338F" w:rsidP="007C3137">
      <w:pPr>
        <w:pStyle w:val="ListParagraph"/>
        <w:numPr>
          <w:ilvl w:val="0"/>
          <w:numId w:val="123"/>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7C3137">
      <w:pPr>
        <w:pStyle w:val="Level3"/>
        <w:numPr>
          <w:ilvl w:val="2"/>
          <w:numId w:val="122"/>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7C3137">
      <w:pPr>
        <w:pStyle w:val="Level2"/>
        <w:numPr>
          <w:ilvl w:val="1"/>
          <w:numId w:val="90"/>
        </w:numPr>
      </w:pPr>
      <w:r>
        <w:rPr>
          <w:rFonts w:hint="eastAsia"/>
        </w:rPr>
        <w:t xml:space="preserve">Your </w:t>
      </w:r>
      <w:r>
        <w:t>S</w:t>
      </w:r>
      <w:r>
        <w:rPr>
          <w:rFonts w:hint="eastAsia"/>
        </w:rPr>
        <w:t>trategy Needs a Strategy</w:t>
      </w:r>
    </w:p>
    <w:p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7C3137">
      <w:pPr>
        <w:pStyle w:val="Level3"/>
        <w:numPr>
          <w:ilvl w:val="2"/>
          <w:numId w:val="91"/>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51197E" w:rsidRDefault="0051197E" w:rsidP="0017338F">
      <w:r>
        <w:t>Invested capital = operating assets – operating liabilities</w:t>
      </w:r>
    </w:p>
    <w:p w:rsidR="0051197E" w:rsidRDefault="0051197E" w:rsidP="0017338F"/>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7C3137">
      <w:pPr>
        <w:pStyle w:val="Level3"/>
        <w:numPr>
          <w:ilvl w:val="2"/>
          <w:numId w:val="93"/>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C2311E"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Pr="0051197E"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7C3137">
      <w:pPr>
        <w:pStyle w:val="ListParagraph"/>
        <w:numPr>
          <w:ilvl w:val="0"/>
          <w:numId w:val="95"/>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7C3137">
      <w:pPr>
        <w:pStyle w:val="ListParagraph"/>
        <w:numPr>
          <w:ilvl w:val="0"/>
          <w:numId w:val="95"/>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7C3137">
      <w:pPr>
        <w:pStyle w:val="ListParagraph"/>
        <w:numPr>
          <w:ilvl w:val="0"/>
          <w:numId w:val="95"/>
        </w:numPr>
        <w:ind w:firstLineChars="0"/>
      </w:pPr>
      <w:r>
        <w:rPr>
          <w:rFonts w:hint="eastAsia"/>
        </w:rPr>
        <w:t>Notes payable is not included in WCInv, but in net borrowing.</w:t>
      </w:r>
    </w:p>
    <w:p w:rsidR="0017338F" w:rsidRDefault="0017338F" w:rsidP="0017338F"/>
    <w:p w:rsidR="0017338F" w:rsidRDefault="0017338F" w:rsidP="007C3137">
      <w:pPr>
        <w:pStyle w:val="Level3"/>
        <w:numPr>
          <w:ilvl w:val="2"/>
          <w:numId w:val="96"/>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7C3137">
      <w:pPr>
        <w:pStyle w:val="ListParagraph"/>
        <w:numPr>
          <w:ilvl w:val="0"/>
          <w:numId w:val="95"/>
        </w:numPr>
        <w:ind w:firstLineChars="0"/>
      </w:pPr>
      <w:r>
        <w:t>T</w:t>
      </w:r>
      <w:r>
        <w:rPr>
          <w:rFonts w:hint="eastAsia"/>
        </w:rPr>
        <w:t xml:space="preserve">railing </w:t>
      </w:r>
      <w:r>
        <w:t>P/E = market price per share / EPS over previous 12 months</w:t>
      </w:r>
    </w:p>
    <w:p w:rsidR="0017338F" w:rsidRDefault="0017338F" w:rsidP="007C3137">
      <w:pPr>
        <w:pStyle w:val="ListParagraph"/>
        <w:numPr>
          <w:ilvl w:val="0"/>
          <w:numId w:val="95"/>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7C3137">
      <w:pPr>
        <w:pStyle w:val="ListParagraph"/>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7C3137">
      <w:pPr>
        <w:pStyle w:val="ListParagraph"/>
        <w:numPr>
          <w:ilvl w:val="0"/>
          <w:numId w:val="98"/>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7C3137">
      <w:pPr>
        <w:pStyle w:val="ListParagraph"/>
        <w:numPr>
          <w:ilvl w:val="0"/>
          <w:numId w:val="100"/>
        </w:numPr>
        <w:ind w:firstLineChars="0"/>
      </w:pPr>
      <w:r>
        <w:rPr>
          <w:rFonts w:hint="eastAsia"/>
        </w:rPr>
        <w:t>Under the method of historical average EPS, it is estimated as the average EPS over some recent period.</w:t>
      </w:r>
    </w:p>
    <w:p w:rsidR="0017338F" w:rsidRDefault="0017338F" w:rsidP="007C3137">
      <w:pPr>
        <w:pStyle w:val="ListParagraph"/>
        <w:numPr>
          <w:ilvl w:val="0"/>
          <w:numId w:val="100"/>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7C3137">
      <w:pPr>
        <w:pStyle w:val="Level3"/>
        <w:numPr>
          <w:ilvl w:val="2"/>
          <w:numId w:val="102"/>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7C3137">
      <w:pPr>
        <w:pStyle w:val="Level3"/>
        <w:numPr>
          <w:ilvl w:val="2"/>
          <w:numId w:val="103"/>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A56D5C" w:rsidRDefault="00A56D5C" w:rsidP="0017338F"/>
    <w:p w:rsidR="00A56D5C" w:rsidRDefault="00A56D5C" w:rsidP="0017338F"/>
    <w:p w:rsidR="00A56D5C" w:rsidRDefault="00A56D5C" w:rsidP="0017338F"/>
    <w:p w:rsidR="0017338F" w:rsidRDefault="0017338F" w:rsidP="0017338F">
      <w:pPr>
        <w:pStyle w:val="Level3"/>
        <w:spacing w:after="156"/>
      </w:pPr>
      <w:r>
        <w:lastRenderedPageBreak/>
        <w:t>Calculate the intrinsic value of a common stock using the RI model and compare value recognition in RI and other PV models.</w:t>
      </w:r>
    </w:p>
    <w:p w:rsidR="0017338F"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A56D5C" w:rsidRPr="00FA4B4D" w:rsidRDefault="00A56D5C" w:rsidP="0017338F"/>
    <w:p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1461A9" w:rsidRDefault="001461A9" w:rsidP="00AD3A2D"/>
    <w:p w:rsidR="00AD3A2D" w:rsidRDefault="000E068F" w:rsidP="001A3CC1">
      <w:pPr>
        <w:pStyle w:val="Level3"/>
        <w:spacing w:after="156"/>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7C3137">
      <w:pPr>
        <w:pStyle w:val="ListParagraph"/>
        <w:numPr>
          <w:ilvl w:val="0"/>
          <w:numId w:val="77"/>
        </w:numPr>
        <w:ind w:firstLineChars="0"/>
      </w:pPr>
      <w:r>
        <w:rPr>
          <w:rFonts w:hint="eastAsia"/>
        </w:rPr>
        <w:t>Spot return</w:t>
      </w:r>
    </w:p>
    <w:p w:rsidR="00CE599D" w:rsidRDefault="00CE599D" w:rsidP="007C3137">
      <w:pPr>
        <w:pStyle w:val="ListParagraph"/>
        <w:numPr>
          <w:ilvl w:val="0"/>
          <w:numId w:val="77"/>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7C3137">
      <w:pPr>
        <w:pStyle w:val="ListParagraph"/>
        <w:numPr>
          <w:ilvl w:val="0"/>
          <w:numId w:val="77"/>
        </w:numPr>
        <w:ind w:firstLineChars="0"/>
      </w:pPr>
      <w:r>
        <w:t>Collateral return</w:t>
      </w:r>
    </w:p>
    <w:p w:rsidR="00CD5943" w:rsidRDefault="00CE599D" w:rsidP="007C3137">
      <w:pPr>
        <w:pStyle w:val="ListParagraph"/>
        <w:numPr>
          <w:ilvl w:val="0"/>
          <w:numId w:val="77"/>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7C3137">
      <w:pPr>
        <w:pStyle w:val="Level2"/>
        <w:numPr>
          <w:ilvl w:val="1"/>
          <w:numId w:val="130"/>
        </w:numPr>
      </w:pPr>
      <w:r>
        <w:rPr>
          <w:rFonts w:hint="eastAsia"/>
        </w:rPr>
        <w:t>The Term Structure and Interest Rate Dynamics</w:t>
      </w:r>
    </w:p>
    <w:p w:rsidR="002F23A1" w:rsidRDefault="002F23A1" w:rsidP="007C3137">
      <w:pPr>
        <w:pStyle w:val="Level3"/>
        <w:numPr>
          <w:ilvl w:val="2"/>
          <w:numId w:val="131"/>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7C3137">
      <w:pPr>
        <w:pStyle w:val="ListParagraph"/>
        <w:numPr>
          <w:ilvl w:val="0"/>
          <w:numId w:val="132"/>
        </w:numPr>
        <w:ind w:firstLineChars="0"/>
      </w:pPr>
      <w:r>
        <w:rPr>
          <w:rFonts w:hint="eastAsia"/>
        </w:rPr>
        <w:t>Swap rates reflect the credit risk of commercial banks rather than the credit risk of governments.</w:t>
      </w:r>
    </w:p>
    <w:p w:rsidR="00AA32A4" w:rsidRDefault="00AA32A4" w:rsidP="007C3137">
      <w:pPr>
        <w:pStyle w:val="ListParagraph"/>
        <w:numPr>
          <w:ilvl w:val="0"/>
          <w:numId w:val="132"/>
        </w:numPr>
        <w:ind w:firstLineChars="0"/>
      </w:pPr>
      <w:r>
        <w:t>The swap market is not regulated, which makes swap rates in different countries more comparable.</w:t>
      </w:r>
    </w:p>
    <w:p w:rsidR="00AA32A4" w:rsidRDefault="00AA32A4" w:rsidP="007C3137">
      <w:pPr>
        <w:pStyle w:val="ListParagraph"/>
        <w:numPr>
          <w:ilvl w:val="0"/>
          <w:numId w:val="132"/>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7C3137">
      <w:pPr>
        <w:pStyle w:val="Level3"/>
        <w:numPr>
          <w:ilvl w:val="2"/>
          <w:numId w:val="133"/>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7C3137">
      <w:pPr>
        <w:pStyle w:val="ListParagraph"/>
        <w:numPr>
          <w:ilvl w:val="0"/>
          <w:numId w:val="134"/>
        </w:numPr>
        <w:ind w:firstLineChars="0"/>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7C3137">
      <w:pPr>
        <w:pStyle w:val="ListParagraph"/>
        <w:numPr>
          <w:ilvl w:val="0"/>
          <w:numId w:val="134"/>
        </w:numPr>
        <w:ind w:firstLineChars="0"/>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7C3137">
      <w:pPr>
        <w:pStyle w:val="ListParagraph"/>
        <w:numPr>
          <w:ilvl w:val="0"/>
          <w:numId w:val="134"/>
        </w:numPr>
        <w:ind w:firstLineChars="0"/>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7C3137">
      <w:pPr>
        <w:pStyle w:val="ListParagraph"/>
        <w:numPr>
          <w:ilvl w:val="0"/>
          <w:numId w:val="134"/>
        </w:numPr>
        <w:ind w:firstLineChars="0"/>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7C3137">
      <w:pPr>
        <w:pStyle w:val="ListParagraph"/>
        <w:numPr>
          <w:ilvl w:val="0"/>
          <w:numId w:val="134"/>
        </w:numPr>
        <w:ind w:firstLineChars="0"/>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7C3137">
      <w:pPr>
        <w:pStyle w:val="ListParagraph"/>
        <w:numPr>
          <w:ilvl w:val="0"/>
          <w:numId w:val="134"/>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7C3137">
      <w:pPr>
        <w:pStyle w:val="ListParagraph"/>
        <w:numPr>
          <w:ilvl w:val="0"/>
          <w:numId w:val="134"/>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7C3137">
      <w:pPr>
        <w:pStyle w:val="ListParagraph"/>
        <w:numPr>
          <w:ilvl w:val="0"/>
          <w:numId w:val="134"/>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rsidR="00631132" w:rsidRPr="00631132" w:rsidRDefault="00631132" w:rsidP="007C3137">
      <w:pPr>
        <w:pStyle w:val="ListParagraph"/>
        <w:numPr>
          <w:ilvl w:val="0"/>
          <w:numId w:val="134"/>
        </w:numPr>
        <w:ind w:firstLineChars="0"/>
      </w:pPr>
      <w:r>
        <w:rPr>
          <w:rFonts w:hint="eastAsia"/>
        </w:rPr>
        <w:t>Adjacent forward rates for the same period are two standard deviations apart.</w:t>
      </w:r>
    </w:p>
    <w:p w:rsidR="00631132" w:rsidRPr="007A60D8" w:rsidRDefault="00631132" w:rsidP="007C3137">
      <w:pPr>
        <w:pStyle w:val="ListParagraph"/>
        <w:numPr>
          <w:ilvl w:val="0"/>
          <w:numId w:val="134"/>
        </w:numPr>
        <w:ind w:firstLineChars="0"/>
      </w:pPr>
      <w:r>
        <w:t>The middle forward rate in a period is approximately equal to the implied one-period forward rate for that period.</w:t>
      </w:r>
    </w:p>
    <w:p w:rsidR="007A60D8" w:rsidRDefault="007A60D8" w:rsidP="007A60D8"/>
    <w:p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7C3137">
      <w:pPr>
        <w:pStyle w:val="Level3"/>
        <w:numPr>
          <w:ilvl w:val="2"/>
          <w:numId w:val="137"/>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7C3137">
      <w:pPr>
        <w:pStyle w:val="ListParagraph"/>
        <w:numPr>
          <w:ilvl w:val="0"/>
          <w:numId w:val="139"/>
        </w:numPr>
        <w:ind w:firstLineChars="0"/>
      </w:pPr>
      <w:r>
        <w:rPr>
          <w:rFonts w:hint="eastAsia"/>
        </w:rPr>
        <w:t>For option-free bonds not trading at par, the maturity-matched rate is still the most important rate.</w:t>
      </w:r>
    </w:p>
    <w:p w:rsidR="00DD2056" w:rsidRPr="00DD2056" w:rsidRDefault="00DD2056" w:rsidP="007C3137">
      <w:pPr>
        <w:pStyle w:val="ListParagraph"/>
        <w:numPr>
          <w:ilvl w:val="0"/>
          <w:numId w:val="139"/>
        </w:numPr>
        <w:ind w:firstLineChars="0"/>
      </w:pPr>
      <w:r>
        <w:t>A bond with a low coupon rate may have negative key rate durations.</w:t>
      </w:r>
    </w:p>
    <w:p w:rsidR="00DD2056" w:rsidRPr="002E5FA5" w:rsidRDefault="00DD2056" w:rsidP="007C3137">
      <w:pPr>
        <w:pStyle w:val="ListParagraph"/>
        <w:numPr>
          <w:ilvl w:val="0"/>
          <w:numId w:val="139"/>
        </w:numPr>
        <w:ind w:firstLineChars="0"/>
      </w:pPr>
      <w:r>
        <w:t>Callable bonds with low coupon rates are unlikely to be called; their maturity-matched rate is their most critical rate.</w:t>
      </w:r>
    </w:p>
    <w:p w:rsidR="002E5FA5" w:rsidRPr="00AB256C" w:rsidRDefault="002E5FA5" w:rsidP="007C3137">
      <w:pPr>
        <w:pStyle w:val="ListParagraph"/>
        <w:numPr>
          <w:ilvl w:val="0"/>
          <w:numId w:val="139"/>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7C3137">
      <w:pPr>
        <w:pStyle w:val="Level3"/>
        <w:numPr>
          <w:ilvl w:val="2"/>
          <w:numId w:val="140"/>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r w:rsidR="00E96FF3">
        <w:t>Straight</w:t>
      </w:r>
      <w:r>
        <w:t xml:space="preserve"> value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7C3137">
      <w:pPr>
        <w:pStyle w:val="Level3"/>
        <w:numPr>
          <w:ilvl w:val="2"/>
          <w:numId w:val="143"/>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7C3137">
      <w:pPr>
        <w:pStyle w:val="Level3"/>
        <w:numPr>
          <w:ilvl w:val="2"/>
          <w:numId w:val="144"/>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E15F84" w:rsidRDefault="00E15F84" w:rsidP="002F23A1">
      <w:pPr>
        <w:pStyle w:val="Level1"/>
      </w:pPr>
      <w:r>
        <w:lastRenderedPageBreak/>
        <w:t>Derivatives</w:t>
      </w:r>
    </w:p>
    <w:p w:rsidR="00E15F84" w:rsidRDefault="002C7EC9" w:rsidP="007C3137">
      <w:pPr>
        <w:pStyle w:val="Level2"/>
        <w:numPr>
          <w:ilvl w:val="1"/>
          <w:numId w:val="145"/>
        </w:numPr>
      </w:pPr>
      <w:r>
        <w:rPr>
          <w:rFonts w:hint="eastAsia"/>
        </w:rPr>
        <w:t>Forward Markets and Contracts</w:t>
      </w:r>
    </w:p>
    <w:p w:rsidR="002C7EC9" w:rsidRDefault="002C7EC9" w:rsidP="002C7EC9">
      <w:r>
        <w:rPr>
          <w:rFonts w:hint="eastAsia"/>
        </w:rPr>
        <w:t xml:space="preserve">Day count and compounding </w:t>
      </w:r>
      <w:r>
        <w:t>conventions</w:t>
      </w:r>
      <w:r>
        <w:rPr>
          <w:rFonts w:hint="eastAsia"/>
        </w:rPr>
        <w:t>:</w:t>
      </w:r>
    </w:p>
    <w:p w:rsidR="002C7EC9" w:rsidRDefault="002C7EC9" w:rsidP="007C3137">
      <w:pPr>
        <w:pStyle w:val="ListParagraph"/>
        <w:numPr>
          <w:ilvl w:val="0"/>
          <w:numId w:val="146"/>
        </w:numPr>
        <w:ind w:firstLineChars="0"/>
      </w:pPr>
      <w:r>
        <w:rPr>
          <w:rFonts w:hint="eastAsia"/>
        </w:rPr>
        <w:t>360 days per year and simple interest for LIBOR based contracts such as FRAs, swaps, caps and floors.</w:t>
      </w:r>
    </w:p>
    <w:p w:rsidR="002C7EC9" w:rsidRDefault="002C7EC9" w:rsidP="007C3137">
      <w:pPr>
        <w:pStyle w:val="ListParagraph"/>
        <w:numPr>
          <w:ilvl w:val="0"/>
          <w:numId w:val="146"/>
        </w:numPr>
        <w:ind w:firstLineChars="0"/>
      </w:pPr>
      <w:r>
        <w:t xml:space="preserve">365 days per year and </w:t>
      </w:r>
      <w:r w:rsidR="00A76A6D">
        <w:t>compound</w:t>
      </w:r>
      <w:r>
        <w:t xml:space="preserve"> interest for equities, bonds, currencies and stock options.</w:t>
      </w:r>
    </w:p>
    <w:p w:rsidR="001C5B69" w:rsidRDefault="001C5B69" w:rsidP="001C5B69"/>
    <w:p w:rsidR="001C5B69" w:rsidRDefault="001C5B69" w:rsidP="001C5B69">
      <w:pPr>
        <w:pStyle w:val="Level2"/>
      </w:pPr>
      <w:r>
        <w:rPr>
          <w:rFonts w:hint="eastAsia"/>
        </w:rPr>
        <w:t>Futures Markets and Contracts</w:t>
      </w:r>
    </w:p>
    <w:p w:rsidR="001C5B69" w:rsidRDefault="001C5B69" w:rsidP="007C3137">
      <w:pPr>
        <w:pStyle w:val="Level3"/>
        <w:numPr>
          <w:ilvl w:val="2"/>
          <w:numId w:val="147"/>
        </w:numPr>
        <w:spacing w:after="156"/>
      </w:pPr>
      <w:r>
        <w:rPr>
          <w:rFonts w:hint="eastAsia"/>
        </w:rPr>
        <w:t>Explain why forward and futures prices differ.</w:t>
      </w:r>
    </w:p>
    <w:p w:rsidR="001C5B69" w:rsidRDefault="001C5B69" w:rsidP="001C5B69">
      <w:r>
        <w:t>Future arbitrage</w:t>
      </w:r>
    </w:p>
    <w:p w:rsidR="001C5B69" w:rsidRDefault="001C5B69" w:rsidP="001C5B69">
      <w:r>
        <w:t>If the futures contract is overpriced, a cash-and-carry arbitrage can generate a riskless profit, which consists of buying the assets and short the future contract.</w:t>
      </w:r>
    </w:p>
    <w:p w:rsidR="00E849DC" w:rsidRDefault="00E849DC" w:rsidP="001C5B69"/>
    <w:p w:rsidR="005441A0" w:rsidRDefault="005441A0" w:rsidP="007C3137">
      <w:pPr>
        <w:pStyle w:val="Level3"/>
        <w:numPr>
          <w:ilvl w:val="2"/>
          <w:numId w:val="148"/>
        </w:numPr>
        <w:spacing w:after="156"/>
      </w:pPr>
      <w:r>
        <w:rPr>
          <w:rFonts w:hint="eastAsia"/>
        </w:rPr>
        <w:t>Explain the relation between futures prices and expected spot prices.</w:t>
      </w:r>
    </w:p>
    <w:p w:rsidR="005441A0" w:rsidRDefault="005441A0" w:rsidP="005441A0">
      <w:r>
        <w:t>If future price is lower than expected future spot price, normal backwardation occurs.</w:t>
      </w:r>
    </w:p>
    <w:p w:rsidR="00E27E74" w:rsidRDefault="00E27E74" w:rsidP="005441A0"/>
    <w:p w:rsidR="00E27E74" w:rsidRDefault="00E27E74" w:rsidP="00E27E74">
      <w:pPr>
        <w:pStyle w:val="Level2"/>
      </w:pPr>
      <w:r>
        <w:rPr>
          <w:rFonts w:hint="eastAsia"/>
        </w:rPr>
        <w:t>Option Markets and Contracts</w:t>
      </w:r>
    </w:p>
    <w:p w:rsidR="00E27E74" w:rsidRDefault="00E27E74" w:rsidP="007C3137">
      <w:pPr>
        <w:pStyle w:val="Level3"/>
        <w:numPr>
          <w:ilvl w:val="2"/>
          <w:numId w:val="149"/>
        </w:numPr>
        <w:spacing w:after="156"/>
      </w:pPr>
      <w:r>
        <w:rPr>
          <w:rFonts w:hint="eastAsia"/>
        </w:rPr>
        <w:t>Calculate and interpret prices of interest rate options and options on assets using one- and two-period binomial models.</w:t>
      </w:r>
    </w:p>
    <w:p w:rsidR="00E27E74" w:rsidRDefault="00E27E74" w:rsidP="00E27E74">
      <w:r>
        <w:t>π</w:t>
      </w:r>
      <w:r w:rsidRPr="00E27E74">
        <w:rPr>
          <w:vertAlign w:val="subscript"/>
        </w:rPr>
        <w:t>u</w:t>
      </w:r>
      <w:r>
        <w:t xml:space="preserve"> = (1 + R</w:t>
      </w:r>
      <w:r w:rsidRPr="00E27E74">
        <w:rPr>
          <w:vertAlign w:val="subscript"/>
        </w:rPr>
        <w:t>f</w:t>
      </w:r>
      <w:r>
        <w:t xml:space="preserve"> – D) / (U – D)</w:t>
      </w:r>
    </w:p>
    <w:p w:rsidR="00E27E74" w:rsidRDefault="00E27E74" w:rsidP="00E27E74">
      <w:r>
        <w:t>c</w:t>
      </w:r>
      <w:r w:rsidRPr="00E27E74">
        <w:rPr>
          <w:vertAlign w:val="subscript"/>
        </w:rPr>
        <w:t>0</w:t>
      </w:r>
      <w:r>
        <w:t xml:space="preserve"> = (π</w:t>
      </w:r>
      <w:r w:rsidRPr="00E27E74">
        <w:rPr>
          <w:vertAlign w:val="subscript"/>
        </w:rPr>
        <w:t>u</w:t>
      </w:r>
      <w:r>
        <w:t>*c</w:t>
      </w:r>
      <w:r w:rsidRPr="00E27E74">
        <w:rPr>
          <w:vertAlign w:val="superscript"/>
        </w:rPr>
        <w:t>+</w:t>
      </w:r>
      <w:r>
        <w:t xml:space="preserve"> +π</w:t>
      </w:r>
      <w:r w:rsidRPr="00E27E74">
        <w:rPr>
          <w:vertAlign w:val="subscript"/>
        </w:rPr>
        <w:t>d</w:t>
      </w:r>
      <w:r>
        <w:t>*c</w:t>
      </w:r>
      <w:r w:rsidRPr="00E27E74">
        <w:rPr>
          <w:vertAlign w:val="superscript"/>
        </w:rPr>
        <w:t>-</w:t>
      </w:r>
      <w:r>
        <w:t>) / (1 + R</w:t>
      </w:r>
      <w:r w:rsidRPr="00E27E74">
        <w:rPr>
          <w:vertAlign w:val="subscript"/>
        </w:rPr>
        <w:t>f</w:t>
      </w:r>
      <w:r>
        <w:t>)</w:t>
      </w:r>
    </w:p>
    <w:p w:rsidR="008E06F4" w:rsidRDefault="008E06F4" w:rsidP="00E27E74"/>
    <w:p w:rsidR="008E06F4" w:rsidRDefault="008E06F4" w:rsidP="00E27E74">
      <w:r>
        <w:t>*Hedge Portfolio = nS – c.</w:t>
      </w:r>
    </w:p>
    <w:p w:rsidR="008E06F4" w:rsidRDefault="008E06F4" w:rsidP="00E27E74">
      <w:r>
        <w:t>n = Delta for call</w:t>
      </w:r>
    </w:p>
    <w:p w:rsidR="00E27E74" w:rsidRDefault="00E27E74" w:rsidP="00E27E74"/>
    <w:p w:rsidR="0070402B" w:rsidRDefault="0070402B" w:rsidP="0070402B">
      <w:pPr>
        <w:pStyle w:val="Level3"/>
        <w:spacing w:after="156"/>
      </w:pPr>
      <w:r>
        <w:rPr>
          <w:rFonts w:hint="eastAsia"/>
        </w:rPr>
        <w:t>Explain and evaluate the assumptions underlying the Black-Scholes-Merton model.</w:t>
      </w:r>
    </w:p>
    <w:tbl>
      <w:tblPr>
        <w:tblStyle w:val="TableGrid"/>
        <w:tblW w:w="0" w:type="auto"/>
        <w:tblLook w:val="04A0" w:firstRow="1" w:lastRow="0" w:firstColumn="1" w:lastColumn="0" w:noHBand="0" w:noVBand="1"/>
      </w:tblPr>
      <w:tblGrid>
        <w:gridCol w:w="4148"/>
        <w:gridCol w:w="4148"/>
      </w:tblGrid>
      <w:tr w:rsidR="00D67F2C" w:rsidTr="00D67F2C">
        <w:tc>
          <w:tcPr>
            <w:tcW w:w="4148" w:type="dxa"/>
          </w:tcPr>
          <w:p w:rsidR="00D67F2C" w:rsidRDefault="00D67F2C" w:rsidP="00D67F2C">
            <w:r>
              <w:rPr>
                <w:rFonts w:hint="eastAsia"/>
              </w:rPr>
              <w:t>Assumption</w:t>
            </w:r>
          </w:p>
        </w:tc>
        <w:tc>
          <w:tcPr>
            <w:tcW w:w="4148" w:type="dxa"/>
          </w:tcPr>
          <w:p w:rsidR="00D67F2C" w:rsidRDefault="00D67F2C" w:rsidP="00D67F2C">
            <w:r>
              <w:rPr>
                <w:rFonts w:hint="eastAsia"/>
              </w:rPr>
              <w:t>Limitation</w:t>
            </w:r>
          </w:p>
        </w:tc>
      </w:tr>
      <w:tr w:rsidR="00D67F2C" w:rsidTr="00D67F2C">
        <w:tc>
          <w:tcPr>
            <w:tcW w:w="4148" w:type="dxa"/>
          </w:tcPr>
          <w:p w:rsidR="00D67F2C" w:rsidRDefault="00D67F2C" w:rsidP="00D67F2C">
            <w:r>
              <w:rPr>
                <w:rFonts w:hint="eastAsia"/>
              </w:rPr>
              <w:t>Price of the underlying asset follows a lognormal distribution</w:t>
            </w:r>
          </w:p>
        </w:tc>
        <w:tc>
          <w:tcPr>
            <w:tcW w:w="4148" w:type="dxa"/>
          </w:tcPr>
          <w:p w:rsidR="00D67F2C" w:rsidRPr="00D67F2C" w:rsidRDefault="00D67F2C" w:rsidP="00D67F2C">
            <w:r>
              <w:t>N/A</w:t>
            </w:r>
          </w:p>
        </w:tc>
      </w:tr>
      <w:tr w:rsidR="00D67F2C" w:rsidTr="00D67F2C">
        <w:tc>
          <w:tcPr>
            <w:tcW w:w="4148" w:type="dxa"/>
          </w:tcPr>
          <w:p w:rsidR="00D67F2C" w:rsidRDefault="00D67F2C" w:rsidP="00D67F2C">
            <w:r>
              <w:rPr>
                <w:rFonts w:hint="eastAsia"/>
              </w:rPr>
              <w:t>Risk-free rate is constant and known</w:t>
            </w:r>
          </w:p>
        </w:tc>
        <w:tc>
          <w:tcPr>
            <w:tcW w:w="4148" w:type="dxa"/>
          </w:tcPr>
          <w:p w:rsidR="00D67F2C" w:rsidRPr="00D67F2C" w:rsidRDefault="00D67F2C" w:rsidP="00D67F2C">
            <w:r>
              <w:t>Not useful for pricing options on bond prices and interest rates</w:t>
            </w:r>
          </w:p>
        </w:tc>
      </w:tr>
      <w:tr w:rsidR="00D67F2C" w:rsidTr="00D67F2C">
        <w:tc>
          <w:tcPr>
            <w:tcW w:w="4148" w:type="dxa"/>
          </w:tcPr>
          <w:p w:rsidR="00D67F2C" w:rsidRPr="00D67F2C" w:rsidRDefault="00D67F2C" w:rsidP="00D67F2C">
            <w:r>
              <w:t>The volatility of the underlying asset is constant and known.</w:t>
            </w:r>
          </w:p>
        </w:tc>
        <w:tc>
          <w:tcPr>
            <w:tcW w:w="4148" w:type="dxa"/>
          </w:tcPr>
          <w:p w:rsidR="00D67F2C" w:rsidRDefault="00A01D9D" w:rsidP="00D67F2C">
            <w:r>
              <w:rPr>
                <w:rFonts w:hint="eastAsia"/>
              </w:rPr>
              <w:t xml:space="preserve">Volatility is not known and must be estimated. </w:t>
            </w:r>
            <w:r>
              <w:t>Volatility is often not constant over time.</w:t>
            </w:r>
          </w:p>
        </w:tc>
      </w:tr>
      <w:tr w:rsidR="00D67F2C" w:rsidTr="00D67F2C">
        <w:tc>
          <w:tcPr>
            <w:tcW w:w="4148" w:type="dxa"/>
          </w:tcPr>
          <w:p w:rsidR="00D67F2C" w:rsidRDefault="003B4AEA" w:rsidP="00D67F2C">
            <w:r>
              <w:rPr>
                <w:rFonts w:hint="eastAsia"/>
              </w:rPr>
              <w:t xml:space="preserve">Markets are </w:t>
            </w:r>
            <w:r>
              <w:t>‘frictionless’.</w:t>
            </w:r>
          </w:p>
        </w:tc>
        <w:tc>
          <w:tcPr>
            <w:tcW w:w="4148" w:type="dxa"/>
          </w:tcPr>
          <w:p w:rsidR="00D67F2C" w:rsidRDefault="00D67F2C" w:rsidP="00D67F2C"/>
        </w:tc>
      </w:tr>
      <w:tr w:rsidR="00D67F2C" w:rsidTr="00D67F2C">
        <w:tc>
          <w:tcPr>
            <w:tcW w:w="4148" w:type="dxa"/>
          </w:tcPr>
          <w:p w:rsidR="00D67F2C" w:rsidRDefault="003B4AEA" w:rsidP="00D67F2C">
            <w:r>
              <w:rPr>
                <w:rFonts w:hint="eastAsia"/>
              </w:rPr>
              <w:t>The underlying asset has no cash flow</w:t>
            </w:r>
          </w:p>
        </w:tc>
        <w:tc>
          <w:tcPr>
            <w:tcW w:w="4148" w:type="dxa"/>
          </w:tcPr>
          <w:p w:rsidR="00D67F2C" w:rsidRPr="003B4AEA" w:rsidRDefault="00D67F2C" w:rsidP="00D67F2C"/>
        </w:tc>
      </w:tr>
      <w:tr w:rsidR="00D67F2C" w:rsidTr="00D67F2C">
        <w:tc>
          <w:tcPr>
            <w:tcW w:w="4148" w:type="dxa"/>
          </w:tcPr>
          <w:p w:rsidR="00D67F2C" w:rsidRDefault="003B4AEA" w:rsidP="00D67F2C">
            <w:r>
              <w:rPr>
                <w:rFonts w:hint="eastAsia"/>
              </w:rPr>
              <w:t>The options valued are European options</w:t>
            </w:r>
          </w:p>
        </w:tc>
        <w:tc>
          <w:tcPr>
            <w:tcW w:w="4148" w:type="dxa"/>
          </w:tcPr>
          <w:p w:rsidR="00D67F2C" w:rsidRPr="003B4AEA" w:rsidRDefault="003B4AEA" w:rsidP="00D67F2C">
            <w:r>
              <w:t>Binomial option pricing models are more appropriate for American options.</w:t>
            </w:r>
          </w:p>
        </w:tc>
      </w:tr>
    </w:tbl>
    <w:p w:rsidR="00D67F2C" w:rsidRDefault="00D67F2C" w:rsidP="00D67F2C"/>
    <w:p w:rsidR="00D15BE5" w:rsidRDefault="00D15BE5" w:rsidP="00D67F2C"/>
    <w:p w:rsidR="00D15BE5" w:rsidRDefault="00D15BE5" w:rsidP="00D67F2C"/>
    <w:p w:rsidR="00D15BE5" w:rsidRDefault="00D15BE5" w:rsidP="00D67F2C"/>
    <w:p w:rsidR="00D15BE5" w:rsidRDefault="00D15BE5" w:rsidP="00D67F2C"/>
    <w:p w:rsidR="00AD682D" w:rsidRDefault="00AD682D" w:rsidP="00AD682D">
      <w:pPr>
        <w:pStyle w:val="Level3"/>
        <w:spacing w:after="156"/>
      </w:pPr>
      <w:r>
        <w:rPr>
          <w:rFonts w:hint="eastAsia"/>
        </w:rPr>
        <w:lastRenderedPageBreak/>
        <w:t>Explain how an option price, as represented by the BSM model, is affected by a change in the value of each of the inputs.</w:t>
      </w:r>
    </w:p>
    <w:tbl>
      <w:tblPr>
        <w:tblStyle w:val="TableGrid"/>
        <w:tblW w:w="0" w:type="auto"/>
        <w:tblLook w:val="04A0" w:firstRow="1" w:lastRow="0" w:firstColumn="1" w:lastColumn="0" w:noHBand="0" w:noVBand="1"/>
      </w:tblPr>
      <w:tblGrid>
        <w:gridCol w:w="2074"/>
        <w:gridCol w:w="2074"/>
        <w:gridCol w:w="2074"/>
        <w:gridCol w:w="2074"/>
      </w:tblGrid>
      <w:tr w:rsidR="00AD682D" w:rsidTr="00AD682D">
        <w:tc>
          <w:tcPr>
            <w:tcW w:w="2074" w:type="dxa"/>
          </w:tcPr>
          <w:p w:rsidR="00AD682D" w:rsidRDefault="00AD682D" w:rsidP="00AD682D">
            <w:r>
              <w:rPr>
                <w:rFonts w:hint="eastAsia"/>
              </w:rPr>
              <w:t>Greek</w:t>
            </w:r>
          </w:p>
        </w:tc>
        <w:tc>
          <w:tcPr>
            <w:tcW w:w="2074" w:type="dxa"/>
          </w:tcPr>
          <w:p w:rsidR="00AD682D" w:rsidRDefault="00AD682D" w:rsidP="00AD682D">
            <w:r>
              <w:rPr>
                <w:rFonts w:hint="eastAsia"/>
              </w:rPr>
              <w:t>Input</w:t>
            </w:r>
          </w:p>
        </w:tc>
        <w:tc>
          <w:tcPr>
            <w:tcW w:w="2074" w:type="dxa"/>
          </w:tcPr>
          <w:p w:rsidR="00AD682D" w:rsidRDefault="00AD682D" w:rsidP="00AD682D">
            <w:r>
              <w:rPr>
                <w:rFonts w:hint="eastAsia"/>
              </w:rPr>
              <w:t>Calls</w:t>
            </w:r>
          </w:p>
        </w:tc>
        <w:tc>
          <w:tcPr>
            <w:tcW w:w="2074" w:type="dxa"/>
          </w:tcPr>
          <w:p w:rsidR="00AD682D" w:rsidRDefault="00AD682D" w:rsidP="00AD682D">
            <w:r>
              <w:rPr>
                <w:rFonts w:hint="eastAsia"/>
              </w:rPr>
              <w:t>Puts</w:t>
            </w:r>
          </w:p>
        </w:tc>
      </w:tr>
      <w:tr w:rsidR="00AD682D" w:rsidTr="00AD682D">
        <w:tc>
          <w:tcPr>
            <w:tcW w:w="2074" w:type="dxa"/>
          </w:tcPr>
          <w:p w:rsidR="00AD682D" w:rsidRDefault="00AD682D" w:rsidP="00AD682D">
            <w:r>
              <w:rPr>
                <w:rFonts w:hint="eastAsia"/>
              </w:rPr>
              <w:t>Delta</w:t>
            </w:r>
          </w:p>
        </w:tc>
        <w:tc>
          <w:tcPr>
            <w:tcW w:w="2074" w:type="dxa"/>
          </w:tcPr>
          <w:p w:rsidR="00AD682D" w:rsidRDefault="00AD682D" w:rsidP="00AD682D">
            <w:r>
              <w:t>Underlying</w:t>
            </w:r>
            <w:r>
              <w:rPr>
                <w:rFonts w:hint="eastAsia"/>
              </w:rPr>
              <w:t xml:space="preserve"> asset</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Vega</w:t>
            </w:r>
          </w:p>
        </w:tc>
        <w:tc>
          <w:tcPr>
            <w:tcW w:w="2074" w:type="dxa"/>
          </w:tcPr>
          <w:p w:rsidR="00AD682D" w:rsidRDefault="00AD682D" w:rsidP="00AD682D">
            <w:r>
              <w:rPr>
                <w:rFonts w:hint="eastAsia"/>
              </w:rPr>
              <w:t>Volatility</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&gt;0</w:t>
            </w:r>
          </w:p>
        </w:tc>
      </w:tr>
      <w:tr w:rsidR="00AD682D" w:rsidTr="00AD682D">
        <w:tc>
          <w:tcPr>
            <w:tcW w:w="2074" w:type="dxa"/>
          </w:tcPr>
          <w:p w:rsidR="00AD682D" w:rsidRDefault="00AD682D" w:rsidP="00AD682D">
            <w:r>
              <w:rPr>
                <w:rFonts w:hint="eastAsia"/>
              </w:rPr>
              <w:t>Rho</w:t>
            </w:r>
          </w:p>
        </w:tc>
        <w:tc>
          <w:tcPr>
            <w:tcW w:w="2074" w:type="dxa"/>
          </w:tcPr>
          <w:p w:rsidR="00AD682D" w:rsidRDefault="00AD682D" w:rsidP="00AD682D">
            <w:r>
              <w:rPr>
                <w:rFonts w:hint="eastAsia"/>
              </w:rPr>
              <w:t>Risk-free rate</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Theta</w:t>
            </w:r>
          </w:p>
        </w:tc>
        <w:tc>
          <w:tcPr>
            <w:tcW w:w="2074" w:type="dxa"/>
          </w:tcPr>
          <w:p w:rsidR="00AD682D" w:rsidRDefault="00AD682D" w:rsidP="00AD682D">
            <w:r>
              <w:rPr>
                <w:rFonts w:hint="eastAsia"/>
              </w:rPr>
              <w:t>Time passed</w:t>
            </w:r>
          </w:p>
        </w:tc>
        <w:tc>
          <w:tcPr>
            <w:tcW w:w="2074" w:type="dxa"/>
          </w:tcPr>
          <w:p w:rsidR="00AD682D" w:rsidRDefault="00AD682D" w:rsidP="00AD682D">
            <w:r>
              <w:rPr>
                <w:rFonts w:hint="eastAsia"/>
              </w:rPr>
              <w:t>&lt;0</w:t>
            </w:r>
          </w:p>
        </w:tc>
        <w:tc>
          <w:tcPr>
            <w:tcW w:w="2074" w:type="dxa"/>
          </w:tcPr>
          <w:p w:rsidR="00AD682D" w:rsidRDefault="00AD682D" w:rsidP="00AD682D">
            <w:r>
              <w:rPr>
                <w:rFonts w:hint="eastAsia"/>
              </w:rPr>
              <w:t>&lt;0</w:t>
            </w:r>
          </w:p>
        </w:tc>
      </w:tr>
    </w:tbl>
    <w:p w:rsidR="00AD682D" w:rsidRDefault="00AD682D" w:rsidP="00AD682D"/>
    <w:p w:rsidR="00AD682D" w:rsidRDefault="00AD682D" w:rsidP="00AD682D">
      <w:pPr>
        <w:pStyle w:val="Level3"/>
        <w:spacing w:after="156"/>
      </w:pPr>
      <w:r>
        <w:rPr>
          <w:rFonts w:hint="eastAsia"/>
        </w:rPr>
        <w:t>Explain the delta of an option and demonstrate how it</w:t>
      </w:r>
      <w:r>
        <w:t>’s used in dynamic hedging.</w:t>
      </w:r>
    </w:p>
    <w:p w:rsidR="00AD682D" w:rsidRDefault="00AD682D" w:rsidP="00AD682D">
      <w:r>
        <w:t>Delta</w:t>
      </w:r>
      <w:r w:rsidR="0077386F">
        <w:t xml:space="preserve"> for call</w:t>
      </w:r>
      <w:r>
        <w:t xml:space="preserve"> = ΔC/ΔS = N(d1)</w:t>
      </w:r>
    </w:p>
    <w:p w:rsidR="00BF2D32" w:rsidRDefault="0077386F" w:rsidP="00AD682D">
      <w:r>
        <w:t xml:space="preserve">Delta for put = N(d1) </w:t>
      </w:r>
      <w:r w:rsidR="00BF2D32">
        <w:t>–</w:t>
      </w:r>
      <w:r>
        <w:t xml:space="preserve"> 1</w:t>
      </w:r>
    </w:p>
    <w:p w:rsidR="00BF2D32" w:rsidRDefault="00BF2D32" w:rsidP="00AD682D"/>
    <w:p w:rsidR="00BF2D32" w:rsidRDefault="00BF2D32" w:rsidP="00AD682D">
      <w:r>
        <w:t>Diagram for call</w:t>
      </w:r>
    </w:p>
    <w:p w:rsidR="00BF2D32" w:rsidRDefault="00BF2D32" w:rsidP="00AD682D">
      <w:r>
        <w:rPr>
          <w:rFonts w:hint="eastAsia"/>
          <w:noProof/>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rsidR="00BF2D32" w:rsidRDefault="00BF2D32" w:rsidP="00AD682D">
      <w:r>
        <w:rPr>
          <w:rFonts w:hint="eastAsia"/>
        </w:rPr>
        <w:t>Diagram for put</w:t>
      </w:r>
    </w:p>
    <w:p w:rsidR="00BF2D32" w:rsidRDefault="00BF2D32" w:rsidP="00AD682D">
      <w:r>
        <w:rPr>
          <w:rFonts w:hint="eastAsia"/>
          <w:noProof/>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rsidR="009D142F" w:rsidRDefault="009D142F" w:rsidP="00AD682D"/>
    <w:p w:rsidR="009D142F" w:rsidRDefault="009D142F" w:rsidP="00AD682D">
      <w:r>
        <w:rPr>
          <w:rFonts w:hint="eastAsia"/>
        </w:rPr>
        <w:t>Dynamic Hedging</w:t>
      </w:r>
    </w:p>
    <w:p w:rsidR="009D142F" w:rsidRDefault="009D142F" w:rsidP="00AD682D">
      <w:r>
        <w:t>Number of call options needed to delta hedge = number of shares / delta of call</w:t>
      </w:r>
    </w:p>
    <w:p w:rsidR="00503ECC" w:rsidRDefault="00503ECC" w:rsidP="00AD682D"/>
    <w:p w:rsidR="00503ECC" w:rsidRDefault="00503ECC" w:rsidP="00503ECC">
      <w:pPr>
        <w:pStyle w:val="Level3"/>
        <w:spacing w:after="156"/>
      </w:pPr>
      <w:r>
        <w:rPr>
          <w:rFonts w:hint="eastAsia"/>
        </w:rPr>
        <w:lastRenderedPageBreak/>
        <w:t>Explain the gamma effect on an option</w:t>
      </w:r>
      <w:r>
        <w:t>’s delta and how gamma can affect a delta hedge.</w:t>
      </w:r>
    </w:p>
    <w:p w:rsidR="00503ECC" w:rsidRDefault="00503ECC" w:rsidP="00503ECC">
      <w:r>
        <w:t>Gamma measures the rate of change in delta as the underlying stock price changes.</w:t>
      </w:r>
    </w:p>
    <w:p w:rsidR="001E207A" w:rsidRDefault="001E207A" w:rsidP="00503ECC">
      <w:r>
        <w:t>Gamma is the largest when call/put is at the money. Hedges with at-the-money options will have higher gammas, and consequently frequent rebalancing.</w:t>
      </w:r>
    </w:p>
    <w:p w:rsidR="008A6DCB" w:rsidRDefault="008A6DCB" w:rsidP="00503ECC"/>
    <w:p w:rsidR="008A6DCB" w:rsidRDefault="008A6DCB" w:rsidP="007C3137">
      <w:pPr>
        <w:pStyle w:val="Level3"/>
        <w:numPr>
          <w:ilvl w:val="2"/>
          <w:numId w:val="150"/>
        </w:numPr>
        <w:spacing w:after="156"/>
      </w:pPr>
      <w:r>
        <w:rPr>
          <w:rFonts w:hint="eastAsia"/>
        </w:rPr>
        <w:t xml:space="preserve">Compare </w:t>
      </w:r>
      <w:r>
        <w:t>American</w:t>
      </w:r>
      <w:r>
        <w:rPr>
          <w:rFonts w:hint="eastAsia"/>
        </w:rPr>
        <w:t xml:space="preserve"> </w:t>
      </w:r>
      <w:r>
        <w:t>and European options on forwards and futures, and identify the appropriate pricing model for European options.</w:t>
      </w:r>
    </w:p>
    <w:p w:rsidR="008A6DCB" w:rsidRDefault="008A6DCB" w:rsidP="008A6DCB">
      <w:r>
        <w:t>American options on futures are more valuable than comparable European options.</w:t>
      </w:r>
    </w:p>
    <w:p w:rsidR="008A6DCB" w:rsidRDefault="008A6DCB" w:rsidP="008A6DCB">
      <w:r>
        <w:t>American options on forwards are the same as comparable European options.</w:t>
      </w:r>
    </w:p>
    <w:p w:rsidR="005F7BE1" w:rsidRDefault="005F7BE1" w:rsidP="008A6DCB"/>
    <w:p w:rsidR="005F7BE1" w:rsidRDefault="00623620" w:rsidP="00623620">
      <w:pPr>
        <w:pStyle w:val="Level2"/>
      </w:pPr>
      <w:r>
        <w:rPr>
          <w:rFonts w:hint="eastAsia"/>
        </w:rPr>
        <w:t>Swap Markets and Contracts</w:t>
      </w:r>
    </w:p>
    <w:p w:rsidR="00623620" w:rsidRDefault="00623620" w:rsidP="007C3137">
      <w:pPr>
        <w:pStyle w:val="Level3"/>
        <w:numPr>
          <w:ilvl w:val="2"/>
          <w:numId w:val="151"/>
        </w:numPr>
        <w:spacing w:after="156"/>
      </w:pPr>
      <w:r>
        <w:rPr>
          <w:rFonts w:hint="eastAsia"/>
        </w:rPr>
        <w:t>Calculate and interpret the fixed rate on a plain vanilla interest rate swap and the market value of the swap during its life.</w:t>
      </w:r>
    </w:p>
    <w:p w:rsidR="00623620" w:rsidRDefault="00623620" w:rsidP="00623620">
      <w:r>
        <w:t>C = (1 – Zn) / (Z1 + Z2 + … + Zn)</w:t>
      </w:r>
    </w:p>
    <w:p w:rsidR="00945D24" w:rsidRDefault="00945D24" w:rsidP="00623620"/>
    <w:p w:rsidR="00945D24" w:rsidRDefault="00945D24" w:rsidP="007C3137">
      <w:pPr>
        <w:pStyle w:val="Level3"/>
        <w:spacing w:after="156"/>
      </w:pPr>
      <w:r>
        <w:rPr>
          <w:rFonts w:hint="eastAsia"/>
        </w:rPr>
        <w:t>Explain and interpret the characteristics and uses of swaptions, including the difference between payer and receiver swaptions.</w:t>
      </w:r>
    </w:p>
    <w:p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rsidR="006C4497" w:rsidRDefault="006C4497" w:rsidP="00484464">
      <w:r>
        <w:t>The value of an interest rate swaptions at expiration is the PV of the difference between the higher fixed payments received and the lower fixed payments made.</w:t>
      </w:r>
    </w:p>
    <w:p w:rsidR="006C4497" w:rsidRDefault="006C4497" w:rsidP="00484464"/>
    <w:p w:rsidR="006C4497" w:rsidRDefault="006C4497" w:rsidP="007C3137">
      <w:pPr>
        <w:pStyle w:val="Level2"/>
        <w:numPr>
          <w:ilvl w:val="1"/>
          <w:numId w:val="154"/>
        </w:numPr>
      </w:pPr>
      <w:r>
        <w:rPr>
          <w:rFonts w:hint="eastAsia"/>
        </w:rPr>
        <w:t>Credit Default Swaps</w:t>
      </w:r>
    </w:p>
    <w:p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rsidR="009D3411" w:rsidRDefault="00694192" w:rsidP="009D3411">
      <w:r>
        <w:t>The reference obligation is the fixed-income security on which the swap is written.</w:t>
      </w:r>
    </w:p>
    <w:p w:rsidR="00694192" w:rsidRDefault="00694192" w:rsidP="009D3411">
      <w:r>
        <w:t>The issuer of the reference obligation is called the reference entity.</w:t>
      </w:r>
    </w:p>
    <w:p w:rsidR="00694192" w:rsidRDefault="00694192" w:rsidP="009D3411">
      <w:r>
        <w:t>The CDS pays off not only when the reference entity defaults on the reference obligation but also when the reference entity defaults on any other issue that is ranked the same or higher.</w:t>
      </w:r>
    </w:p>
    <w:p w:rsidR="00694192" w:rsidRDefault="00694192" w:rsidP="009D3411">
      <w:r>
        <w:t>The CDS payoff is based on the market value of the cheapest-to-delver bond.</w:t>
      </w:r>
    </w:p>
    <w:p w:rsidR="00AA1592" w:rsidRDefault="00AA1592" w:rsidP="009D3411"/>
    <w:p w:rsidR="00AA1592" w:rsidRDefault="00AA1592" w:rsidP="00AA1592">
      <w:pPr>
        <w:pStyle w:val="Level3"/>
        <w:spacing w:after="156"/>
      </w:pPr>
      <w:r>
        <w:rPr>
          <w:rFonts w:hint="eastAsia"/>
        </w:rPr>
        <w:t>Describe credit events and settlement protocols with respect to CDS.</w:t>
      </w:r>
    </w:p>
    <w:p w:rsidR="00AA1592" w:rsidRDefault="00AA1592" w:rsidP="00AA1592">
      <w:r>
        <w:t>Common types of credit events specified include bankruptcy, failure to pay</w:t>
      </w:r>
      <w:r w:rsidR="00656507">
        <w:t xml:space="preserve"> (any debt)</w:t>
      </w:r>
      <w:r>
        <w:t xml:space="preserve"> and restructuring.</w:t>
      </w:r>
    </w:p>
    <w:p w:rsidR="00AA1592" w:rsidRDefault="00AA1592" w:rsidP="00AA1592">
      <w:r>
        <w:t>When there is a credit event, the swap will be settled in cash or by physical delivery.</w:t>
      </w:r>
    </w:p>
    <w:p w:rsidR="002771D3" w:rsidRDefault="002771D3" w:rsidP="00AA1592">
      <w:r>
        <w:t>One would</w:t>
      </w:r>
      <w:r w:rsidR="002F6EAB">
        <w:t xml:space="preserve"> prefer</w:t>
      </w:r>
      <w:r>
        <w:t xml:space="preserve"> cash settlement if he holds the bond which is not the cheapest-to-deliver bond.</w:t>
      </w:r>
    </w:p>
    <w:p w:rsidR="00560A48" w:rsidRDefault="00560A48" w:rsidP="00AA1592"/>
    <w:p w:rsidR="00560A48" w:rsidRDefault="00560A48" w:rsidP="00560A48">
      <w:pPr>
        <w:pStyle w:val="Level3"/>
        <w:spacing w:after="156"/>
      </w:pPr>
      <w:r>
        <w:rPr>
          <w:rFonts w:hint="eastAsia"/>
        </w:rPr>
        <w:t>Explain the principles underlying, and factors that influence, the market</w:t>
      </w:r>
      <w:r>
        <w:t>’s pricing of CDS.</w:t>
      </w:r>
    </w:p>
    <w:p w:rsidR="00560A48" w:rsidRDefault="00CC67FA" w:rsidP="00560A48">
      <w:r>
        <w:t>U</w:t>
      </w:r>
      <w:r>
        <w:rPr>
          <w:rFonts w:hint="eastAsia"/>
        </w:rPr>
        <w:t xml:space="preserve">pfront </w:t>
      </w:r>
      <w:r>
        <w:t>payment = (CDS spread – CDS coupon) * duration</w:t>
      </w:r>
    </w:p>
    <w:p w:rsidR="00BF0145" w:rsidRDefault="00BF0145" w:rsidP="00560A48">
      <w:r>
        <w:t>When CDS spread &gt; CDS coupon, the credit protection buyer pays the payment to the seller.</w:t>
      </w:r>
    </w:p>
    <w:p w:rsidR="00C826B4" w:rsidRDefault="00C826B4" w:rsidP="00C826B4">
      <w:pPr>
        <w:pStyle w:val="Level3"/>
        <w:spacing w:after="156"/>
      </w:pPr>
      <w:r>
        <w:rPr>
          <w:rFonts w:hint="eastAsia"/>
        </w:rPr>
        <w:lastRenderedPageBreak/>
        <w:t>Describe the use of CDS to manage credit exposures and to express views regarding changes in shape and/or level of the credit curve.</w:t>
      </w:r>
    </w:p>
    <w:p w:rsidR="00C826B4" w:rsidRDefault="00C826B4" w:rsidP="007C3137">
      <w:pPr>
        <w:pStyle w:val="ListParagraph"/>
        <w:numPr>
          <w:ilvl w:val="0"/>
          <w:numId w:val="156"/>
        </w:numPr>
        <w:ind w:firstLineChars="0"/>
      </w:pPr>
      <w:r>
        <w:rPr>
          <w:rFonts w:hint="eastAsia"/>
        </w:rPr>
        <w:t>In a naked CDS, an investor with no underlying exposure purchases protection in the CDS market.</w:t>
      </w:r>
    </w:p>
    <w:p w:rsidR="00C826B4" w:rsidRDefault="00C826B4" w:rsidP="007C3137">
      <w:pPr>
        <w:pStyle w:val="ListParagraph"/>
        <w:numPr>
          <w:ilvl w:val="0"/>
          <w:numId w:val="156"/>
        </w:numPr>
        <w:ind w:firstLineChars="0"/>
      </w:pPr>
      <w:r>
        <w:t>In a long/short trade, an investor purchases protection on one reference entity while selling protection on another. The investor is betting the difference in credit spreads will change to the investor’s advantage.</w:t>
      </w:r>
    </w:p>
    <w:p w:rsidR="00C826B4" w:rsidRDefault="00C826B4" w:rsidP="007C3137">
      <w:pPr>
        <w:pStyle w:val="ListParagraph"/>
        <w:numPr>
          <w:ilvl w:val="0"/>
          <w:numId w:val="156"/>
        </w:numPr>
        <w:ind w:firstLineChars="0"/>
      </w:pPr>
      <w:r>
        <w:t>A curve trade is a type of long/short trade where the investor is buying/selling protection on the same reference entity but with different maturity.</w:t>
      </w:r>
    </w:p>
    <w:p w:rsidR="00C826B4" w:rsidRDefault="00C010A6" w:rsidP="00C826B4">
      <w:pPr>
        <w:pStyle w:val="ListParagraph"/>
        <w:ind w:left="420" w:firstLineChars="0" w:firstLine="0"/>
      </w:pPr>
      <w:r>
        <w:t>An investor who believes the short-term outlook for the reference entity is better than the long-term outlook can use a curve-steepening trade.</w:t>
      </w:r>
    </w:p>
    <w:p w:rsidR="00F0797D" w:rsidRDefault="00F0797D" w:rsidP="00C826B4">
      <w:pPr>
        <w:pStyle w:val="ListParagraph"/>
        <w:ind w:left="420" w:firstLineChars="0" w:firstLine="0"/>
      </w:pPr>
    </w:p>
    <w:p w:rsidR="00F0797D" w:rsidRDefault="00F0797D" w:rsidP="00C826B4">
      <w:pPr>
        <w:pStyle w:val="ListParagraph"/>
        <w:ind w:left="420" w:firstLineChars="0" w:firstLine="0"/>
      </w:pPr>
      <w:r>
        <w:rPr>
          <w:rFonts w:hint="eastAsia"/>
          <w:noProof/>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rsidR="009F4153" w:rsidRPr="00C826B4" w:rsidRDefault="009F4153" w:rsidP="007C3137">
      <w:pPr>
        <w:pStyle w:val="ListParagraph"/>
        <w:numPr>
          <w:ilvl w:val="0"/>
          <w:numId w:val="156"/>
        </w:numPr>
        <w:ind w:firstLineChars="0"/>
      </w:pPr>
      <w:r>
        <w:rPr>
          <w:rFonts w:hint="eastAsia"/>
        </w:rPr>
        <w:t xml:space="preserve">A basis trade is an attempt to exploit the difference in credit </w:t>
      </w:r>
      <w:r w:rsidR="007C3137">
        <w:t>spreads between bond markets and CDS markets.</w:t>
      </w:r>
    </w:p>
    <w:p w:rsidR="00E15F84" w:rsidRDefault="00E15F84" w:rsidP="00E15F84">
      <w:pPr>
        <w:pStyle w:val="Level2"/>
        <w:rPr>
          <w:kern w:val="44"/>
          <w:szCs w:val="44"/>
        </w:rPr>
      </w:pPr>
      <w:r>
        <w:br w:type="page"/>
      </w:r>
    </w:p>
    <w:p w:rsidR="00CE599D" w:rsidRDefault="00CD5943" w:rsidP="002F23A1">
      <w:pPr>
        <w:pStyle w:val="Level1"/>
      </w:pPr>
      <w:r>
        <w:lastRenderedPageBreak/>
        <w:t>Portfolio Management</w:t>
      </w:r>
    </w:p>
    <w:p w:rsidR="00CD5943" w:rsidRDefault="00CD5943" w:rsidP="007C3137">
      <w:pPr>
        <w:pStyle w:val="Level2"/>
        <w:numPr>
          <w:ilvl w:val="1"/>
          <w:numId w:val="78"/>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C2311E"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C2311E"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C2311E"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C2311E"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C2311E"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C2311E"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C2311E"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C2311E"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C3137">
      <w:pPr>
        <w:pStyle w:val="ListParagraph"/>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C3137">
      <w:pPr>
        <w:pStyle w:val="ListParagraph"/>
        <w:numPr>
          <w:ilvl w:val="0"/>
          <w:numId w:val="79"/>
        </w:numPr>
        <w:ind w:firstLineChars="0"/>
      </w:pPr>
      <w:r>
        <w:t>Company share-related factors: These factors directly incorporate investors’ expectation, including earning/dividend yield, book-to-market.</w:t>
      </w:r>
    </w:p>
    <w:p w:rsidR="007249A8" w:rsidRPr="00220CB1" w:rsidRDefault="007249A8" w:rsidP="007C3137">
      <w:pPr>
        <w:pStyle w:val="ListParagraph"/>
        <w:numPr>
          <w:ilvl w:val="0"/>
          <w:numId w:val="79"/>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7C3137">
      <w:pPr>
        <w:pStyle w:val="Level3"/>
        <w:numPr>
          <w:ilvl w:val="0"/>
          <w:numId w:val="80"/>
        </w:numPr>
        <w:spacing w:after="156"/>
      </w:pPr>
      <w:r>
        <w:rPr>
          <w:rFonts w:hint="eastAsia"/>
        </w:rPr>
        <w:t xml:space="preserve">Active </w:t>
      </w:r>
      <w:r>
        <w:t>Management and Value Added</w:t>
      </w:r>
    </w:p>
    <w:p w:rsidR="00287645" w:rsidRDefault="00287645" w:rsidP="007C3137">
      <w:pPr>
        <w:pStyle w:val="ListParagraph"/>
        <w:numPr>
          <w:ilvl w:val="1"/>
          <w:numId w:val="80"/>
        </w:numPr>
        <w:ind w:firstLineChars="0"/>
      </w:pPr>
      <w:r>
        <w:rPr>
          <w:rFonts w:hint="eastAsia"/>
        </w:rPr>
        <w:t xml:space="preserve">Measuring Value </w:t>
      </w:r>
      <w:r>
        <w:t>Added</w:t>
      </w:r>
    </w:p>
    <w:p w:rsidR="00287645" w:rsidRPr="00287645" w:rsidRDefault="00C2311E"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C2311E"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C3137">
      <w:pPr>
        <w:pStyle w:val="ListParagraph"/>
        <w:numPr>
          <w:ilvl w:val="1"/>
          <w:numId w:val="80"/>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C2311E"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C2311E"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C3137">
      <w:pPr>
        <w:pStyle w:val="ListParagraph"/>
        <w:numPr>
          <w:ilvl w:val="0"/>
          <w:numId w:val="80"/>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C2311E"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C2311E"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C2311E"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C2311E"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C2311E"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5805"/>
                    </a:xfrm>
                    <a:prstGeom prst="rect">
                      <a:avLst/>
                    </a:prstGeom>
                  </pic:spPr>
                </pic:pic>
              </a:graphicData>
            </a:graphic>
          </wp:inline>
        </w:drawing>
      </w:r>
    </w:p>
    <w:p w:rsidR="004C20EA" w:rsidRPr="004C20EA" w:rsidRDefault="004C20EA" w:rsidP="007C3137">
      <w:pPr>
        <w:pStyle w:val="ListParagraph"/>
        <w:numPr>
          <w:ilvl w:val="0"/>
          <w:numId w:val="81"/>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C3137">
      <w:pPr>
        <w:pStyle w:val="ListParagraph"/>
        <w:numPr>
          <w:ilvl w:val="0"/>
          <w:numId w:val="81"/>
        </w:numPr>
        <w:ind w:firstLineChars="0"/>
      </w:pPr>
      <w:r>
        <w:rPr>
          <w:rFonts w:hint="eastAsia"/>
        </w:rPr>
        <w:lastRenderedPageBreak/>
        <w:t xml:space="preserve">According to </w:t>
      </w:r>
      <w:r>
        <w:t xml:space="preserve">Grinold rule, </w:t>
      </w:r>
    </w:p>
    <w:p w:rsidR="002C230A" w:rsidRPr="00BE7D70" w:rsidRDefault="00C2311E"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C2311E"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C2311E"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C3137">
      <w:pPr>
        <w:pStyle w:val="ListParagraph"/>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C3137">
      <w:pPr>
        <w:pStyle w:val="ListParagraph"/>
        <w:numPr>
          <w:ilvl w:val="0"/>
          <w:numId w:val="81"/>
        </w:numPr>
        <w:ind w:firstLineChars="0"/>
      </w:pPr>
      <w:r>
        <w:rPr>
          <w:rFonts w:hint="eastAsia"/>
        </w:rPr>
        <w:t xml:space="preserve">The Basic </w:t>
      </w:r>
      <w:r w:rsidR="000C5EE0">
        <w:t>F</w:t>
      </w:r>
      <w:r>
        <w:rPr>
          <w:rFonts w:hint="eastAsia"/>
        </w:rPr>
        <w:t>undamental Law:</w:t>
      </w:r>
    </w:p>
    <w:p w:rsidR="00E85B5B" w:rsidRPr="001E280F" w:rsidRDefault="00C2311E"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C2311E"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C3137">
      <w:pPr>
        <w:pStyle w:val="ListParagraph"/>
        <w:numPr>
          <w:ilvl w:val="0"/>
          <w:numId w:val="81"/>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C2311E"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C2311E"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C3137">
      <w:pPr>
        <w:pStyle w:val="ListParagraph"/>
        <w:numPr>
          <w:ilvl w:val="0"/>
          <w:numId w:val="82"/>
        </w:numPr>
        <w:ind w:firstLineChars="0"/>
      </w:pPr>
      <w:r>
        <w:rPr>
          <w:rFonts w:hint="eastAsia"/>
        </w:rPr>
        <w:t>Practical Limitations</w:t>
      </w:r>
    </w:p>
    <w:p w:rsidR="00170F8C" w:rsidRDefault="00170F8C" w:rsidP="007C3137">
      <w:pPr>
        <w:pStyle w:val="ListParagraph"/>
        <w:numPr>
          <w:ilvl w:val="1"/>
          <w:numId w:val="82"/>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C3137">
      <w:pPr>
        <w:pStyle w:val="ListParagraph"/>
        <w:numPr>
          <w:ilvl w:val="1"/>
          <w:numId w:val="82"/>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7C3137">
      <w:pPr>
        <w:pStyle w:val="ListParagraph"/>
        <w:numPr>
          <w:ilvl w:val="0"/>
          <w:numId w:val="81"/>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C3137">
      <w:pPr>
        <w:pStyle w:val="ListParagraph"/>
        <w:numPr>
          <w:ilvl w:val="0"/>
          <w:numId w:val="81"/>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C3137">
      <w:pPr>
        <w:pStyle w:val="ListParagraph"/>
        <w:numPr>
          <w:ilvl w:val="0"/>
          <w:numId w:val="81"/>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C3137">
      <w:pPr>
        <w:pStyle w:val="ListParagraph"/>
        <w:numPr>
          <w:ilvl w:val="0"/>
          <w:numId w:val="83"/>
        </w:numPr>
        <w:ind w:firstLineChars="0"/>
      </w:pPr>
      <w:r>
        <w:rPr>
          <w:rFonts w:hint="eastAsia"/>
        </w:rPr>
        <w:t>The market expects the future rate will increase.</w:t>
      </w:r>
    </w:p>
    <w:p w:rsidR="001C3E62" w:rsidRPr="00E912C0" w:rsidRDefault="001C3E62" w:rsidP="007C3137">
      <w:pPr>
        <w:pStyle w:val="ListParagraph"/>
        <w:numPr>
          <w:ilvl w:val="0"/>
          <w:numId w:val="83"/>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11E" w:rsidRDefault="00C2311E" w:rsidP="00B10F78">
      <w:r>
        <w:separator/>
      </w:r>
    </w:p>
  </w:endnote>
  <w:endnote w:type="continuationSeparator" w:id="0">
    <w:p w:rsidR="00C2311E" w:rsidRDefault="00C2311E" w:rsidP="00B1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11E" w:rsidRDefault="00C2311E" w:rsidP="00B10F78">
      <w:r>
        <w:separator/>
      </w:r>
    </w:p>
  </w:footnote>
  <w:footnote w:type="continuationSeparator" w:id="0">
    <w:p w:rsidR="00C2311E" w:rsidRDefault="00C2311E" w:rsidP="00B10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3ADB"/>
    <w:rsid w:val="000240B9"/>
    <w:rsid w:val="0002581E"/>
    <w:rsid w:val="00033CF9"/>
    <w:rsid w:val="0003615D"/>
    <w:rsid w:val="0004506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1E39"/>
    <w:rsid w:val="000B243D"/>
    <w:rsid w:val="000B350A"/>
    <w:rsid w:val="000B3627"/>
    <w:rsid w:val="000B7AEF"/>
    <w:rsid w:val="000C5EE0"/>
    <w:rsid w:val="000C6885"/>
    <w:rsid w:val="000E068F"/>
    <w:rsid w:val="000E126E"/>
    <w:rsid w:val="000E2096"/>
    <w:rsid w:val="000E44C4"/>
    <w:rsid w:val="000F4B12"/>
    <w:rsid w:val="000F5BF8"/>
    <w:rsid w:val="00101A99"/>
    <w:rsid w:val="00104E5B"/>
    <w:rsid w:val="00115DC3"/>
    <w:rsid w:val="001202CD"/>
    <w:rsid w:val="001240D4"/>
    <w:rsid w:val="001255A3"/>
    <w:rsid w:val="0012721B"/>
    <w:rsid w:val="00132B88"/>
    <w:rsid w:val="00133033"/>
    <w:rsid w:val="00134635"/>
    <w:rsid w:val="001364B3"/>
    <w:rsid w:val="001461A9"/>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1145"/>
    <w:rsid w:val="00215022"/>
    <w:rsid w:val="00220CB1"/>
    <w:rsid w:val="00221DB9"/>
    <w:rsid w:val="00222734"/>
    <w:rsid w:val="00226A5C"/>
    <w:rsid w:val="00234572"/>
    <w:rsid w:val="00234A7A"/>
    <w:rsid w:val="0024310C"/>
    <w:rsid w:val="00246770"/>
    <w:rsid w:val="002528AD"/>
    <w:rsid w:val="00253C7B"/>
    <w:rsid w:val="00257B6C"/>
    <w:rsid w:val="00266229"/>
    <w:rsid w:val="002706A2"/>
    <w:rsid w:val="00273A6A"/>
    <w:rsid w:val="002771D3"/>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23FB"/>
    <w:rsid w:val="002E4345"/>
    <w:rsid w:val="002E5FA5"/>
    <w:rsid w:val="002E6255"/>
    <w:rsid w:val="002F1C07"/>
    <w:rsid w:val="002F23A1"/>
    <w:rsid w:val="002F6763"/>
    <w:rsid w:val="002F6EAB"/>
    <w:rsid w:val="002F7EB9"/>
    <w:rsid w:val="00304853"/>
    <w:rsid w:val="00305900"/>
    <w:rsid w:val="00306DA1"/>
    <w:rsid w:val="0031243D"/>
    <w:rsid w:val="0031575C"/>
    <w:rsid w:val="00317F5D"/>
    <w:rsid w:val="00320EB6"/>
    <w:rsid w:val="00320ED6"/>
    <w:rsid w:val="00321E8A"/>
    <w:rsid w:val="00323512"/>
    <w:rsid w:val="00325FF5"/>
    <w:rsid w:val="003267A7"/>
    <w:rsid w:val="00345794"/>
    <w:rsid w:val="00347A75"/>
    <w:rsid w:val="00350161"/>
    <w:rsid w:val="00350DE8"/>
    <w:rsid w:val="0035663F"/>
    <w:rsid w:val="0036091B"/>
    <w:rsid w:val="00360F07"/>
    <w:rsid w:val="00363E72"/>
    <w:rsid w:val="00371F50"/>
    <w:rsid w:val="00374FBB"/>
    <w:rsid w:val="00384558"/>
    <w:rsid w:val="0038628A"/>
    <w:rsid w:val="00386348"/>
    <w:rsid w:val="0039620B"/>
    <w:rsid w:val="003A0254"/>
    <w:rsid w:val="003B4AEA"/>
    <w:rsid w:val="003B5CCE"/>
    <w:rsid w:val="003B6CFB"/>
    <w:rsid w:val="003B6E62"/>
    <w:rsid w:val="003D3103"/>
    <w:rsid w:val="003D56C0"/>
    <w:rsid w:val="003E2C07"/>
    <w:rsid w:val="003E459D"/>
    <w:rsid w:val="003F64BE"/>
    <w:rsid w:val="00402384"/>
    <w:rsid w:val="00406A6B"/>
    <w:rsid w:val="00410DF3"/>
    <w:rsid w:val="004117C8"/>
    <w:rsid w:val="00411D36"/>
    <w:rsid w:val="00435C5C"/>
    <w:rsid w:val="004413B8"/>
    <w:rsid w:val="00442B75"/>
    <w:rsid w:val="00444503"/>
    <w:rsid w:val="00452C60"/>
    <w:rsid w:val="00456255"/>
    <w:rsid w:val="00456CA8"/>
    <w:rsid w:val="00457A59"/>
    <w:rsid w:val="00457AD1"/>
    <w:rsid w:val="00460FFE"/>
    <w:rsid w:val="00463778"/>
    <w:rsid w:val="00463C33"/>
    <w:rsid w:val="004739C7"/>
    <w:rsid w:val="00475C31"/>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197E"/>
    <w:rsid w:val="00513616"/>
    <w:rsid w:val="00515653"/>
    <w:rsid w:val="00516592"/>
    <w:rsid w:val="00516D4C"/>
    <w:rsid w:val="005179C9"/>
    <w:rsid w:val="00523ABC"/>
    <w:rsid w:val="00540A2A"/>
    <w:rsid w:val="005434EB"/>
    <w:rsid w:val="005441A0"/>
    <w:rsid w:val="00544AC6"/>
    <w:rsid w:val="005467FD"/>
    <w:rsid w:val="00560A48"/>
    <w:rsid w:val="00562FCF"/>
    <w:rsid w:val="00565E18"/>
    <w:rsid w:val="005673BB"/>
    <w:rsid w:val="005767CB"/>
    <w:rsid w:val="00580BA6"/>
    <w:rsid w:val="0058329C"/>
    <w:rsid w:val="005846B5"/>
    <w:rsid w:val="005853A2"/>
    <w:rsid w:val="00586F43"/>
    <w:rsid w:val="00591F8C"/>
    <w:rsid w:val="00593E45"/>
    <w:rsid w:val="0059407F"/>
    <w:rsid w:val="00596200"/>
    <w:rsid w:val="005A2628"/>
    <w:rsid w:val="005A5265"/>
    <w:rsid w:val="005B0103"/>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02E6"/>
    <w:rsid w:val="00623620"/>
    <w:rsid w:val="0062408B"/>
    <w:rsid w:val="00631132"/>
    <w:rsid w:val="00640D54"/>
    <w:rsid w:val="006425E2"/>
    <w:rsid w:val="006563A7"/>
    <w:rsid w:val="00656507"/>
    <w:rsid w:val="00660167"/>
    <w:rsid w:val="0066072A"/>
    <w:rsid w:val="006622B6"/>
    <w:rsid w:val="00662CA5"/>
    <w:rsid w:val="006647B8"/>
    <w:rsid w:val="006736A9"/>
    <w:rsid w:val="00675641"/>
    <w:rsid w:val="006757CF"/>
    <w:rsid w:val="00694192"/>
    <w:rsid w:val="00695AFC"/>
    <w:rsid w:val="006A1718"/>
    <w:rsid w:val="006A34CE"/>
    <w:rsid w:val="006A787C"/>
    <w:rsid w:val="006C135E"/>
    <w:rsid w:val="006C1BB2"/>
    <w:rsid w:val="006C4497"/>
    <w:rsid w:val="006C54F2"/>
    <w:rsid w:val="006C6847"/>
    <w:rsid w:val="006D151C"/>
    <w:rsid w:val="006D3233"/>
    <w:rsid w:val="006E2987"/>
    <w:rsid w:val="006E4FC9"/>
    <w:rsid w:val="006E52F1"/>
    <w:rsid w:val="006E6824"/>
    <w:rsid w:val="006F3026"/>
    <w:rsid w:val="006F35DD"/>
    <w:rsid w:val="006F5583"/>
    <w:rsid w:val="006F59E0"/>
    <w:rsid w:val="00701021"/>
    <w:rsid w:val="00701DF4"/>
    <w:rsid w:val="007022A7"/>
    <w:rsid w:val="0070402B"/>
    <w:rsid w:val="00710222"/>
    <w:rsid w:val="007102A2"/>
    <w:rsid w:val="00712C3E"/>
    <w:rsid w:val="00715010"/>
    <w:rsid w:val="00715754"/>
    <w:rsid w:val="0071713E"/>
    <w:rsid w:val="00722094"/>
    <w:rsid w:val="00724723"/>
    <w:rsid w:val="007249A8"/>
    <w:rsid w:val="00730184"/>
    <w:rsid w:val="00731669"/>
    <w:rsid w:val="00732468"/>
    <w:rsid w:val="007334D9"/>
    <w:rsid w:val="00734705"/>
    <w:rsid w:val="007370D4"/>
    <w:rsid w:val="00744780"/>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1F4A"/>
    <w:rsid w:val="00812756"/>
    <w:rsid w:val="00813F79"/>
    <w:rsid w:val="0081498A"/>
    <w:rsid w:val="0082145D"/>
    <w:rsid w:val="0082560F"/>
    <w:rsid w:val="00830517"/>
    <w:rsid w:val="00830DA7"/>
    <w:rsid w:val="00831664"/>
    <w:rsid w:val="0084114C"/>
    <w:rsid w:val="008432D3"/>
    <w:rsid w:val="008461AA"/>
    <w:rsid w:val="008601BF"/>
    <w:rsid w:val="008618B5"/>
    <w:rsid w:val="00864259"/>
    <w:rsid w:val="00865CB2"/>
    <w:rsid w:val="0087671A"/>
    <w:rsid w:val="00877725"/>
    <w:rsid w:val="00877FEF"/>
    <w:rsid w:val="008830A1"/>
    <w:rsid w:val="00883DFE"/>
    <w:rsid w:val="00884E4F"/>
    <w:rsid w:val="008860FC"/>
    <w:rsid w:val="00891E23"/>
    <w:rsid w:val="00892EA8"/>
    <w:rsid w:val="008A169B"/>
    <w:rsid w:val="008A3382"/>
    <w:rsid w:val="008A59EE"/>
    <w:rsid w:val="008A6DCB"/>
    <w:rsid w:val="008A7BA8"/>
    <w:rsid w:val="008B210A"/>
    <w:rsid w:val="008B31CD"/>
    <w:rsid w:val="008B5167"/>
    <w:rsid w:val="008B6B90"/>
    <w:rsid w:val="008B73AD"/>
    <w:rsid w:val="008C5483"/>
    <w:rsid w:val="008C7B8E"/>
    <w:rsid w:val="008D74D9"/>
    <w:rsid w:val="008E06F4"/>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0860"/>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29CC"/>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6D5C"/>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1B05"/>
    <w:rsid w:val="00AE4977"/>
    <w:rsid w:val="00AE6C86"/>
    <w:rsid w:val="00AE7828"/>
    <w:rsid w:val="00AF0484"/>
    <w:rsid w:val="00AF38AA"/>
    <w:rsid w:val="00AF46A3"/>
    <w:rsid w:val="00AF5F44"/>
    <w:rsid w:val="00AF775A"/>
    <w:rsid w:val="00AF7DAE"/>
    <w:rsid w:val="00B004B4"/>
    <w:rsid w:val="00B02717"/>
    <w:rsid w:val="00B10F78"/>
    <w:rsid w:val="00B135A8"/>
    <w:rsid w:val="00B15563"/>
    <w:rsid w:val="00B17D53"/>
    <w:rsid w:val="00B2385E"/>
    <w:rsid w:val="00B250B2"/>
    <w:rsid w:val="00B30454"/>
    <w:rsid w:val="00B34C82"/>
    <w:rsid w:val="00B404A9"/>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0C5C"/>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311E"/>
    <w:rsid w:val="00C26A42"/>
    <w:rsid w:val="00C272BE"/>
    <w:rsid w:val="00C34ABC"/>
    <w:rsid w:val="00C36156"/>
    <w:rsid w:val="00C37B67"/>
    <w:rsid w:val="00C41795"/>
    <w:rsid w:val="00C43873"/>
    <w:rsid w:val="00C4502C"/>
    <w:rsid w:val="00C47E3F"/>
    <w:rsid w:val="00C56FA4"/>
    <w:rsid w:val="00C571C1"/>
    <w:rsid w:val="00C6002A"/>
    <w:rsid w:val="00C6344B"/>
    <w:rsid w:val="00C678D0"/>
    <w:rsid w:val="00C753C1"/>
    <w:rsid w:val="00C826B4"/>
    <w:rsid w:val="00C84613"/>
    <w:rsid w:val="00C84712"/>
    <w:rsid w:val="00CA474F"/>
    <w:rsid w:val="00CB5977"/>
    <w:rsid w:val="00CC1682"/>
    <w:rsid w:val="00CC1FC6"/>
    <w:rsid w:val="00CC2658"/>
    <w:rsid w:val="00CC28BA"/>
    <w:rsid w:val="00CC334A"/>
    <w:rsid w:val="00CC67FA"/>
    <w:rsid w:val="00CD5943"/>
    <w:rsid w:val="00CE0484"/>
    <w:rsid w:val="00CE2A5B"/>
    <w:rsid w:val="00CE4249"/>
    <w:rsid w:val="00CE599D"/>
    <w:rsid w:val="00CE7D64"/>
    <w:rsid w:val="00CF2B9F"/>
    <w:rsid w:val="00CF43BA"/>
    <w:rsid w:val="00D02223"/>
    <w:rsid w:val="00D052DF"/>
    <w:rsid w:val="00D127D9"/>
    <w:rsid w:val="00D13198"/>
    <w:rsid w:val="00D15BE5"/>
    <w:rsid w:val="00D16157"/>
    <w:rsid w:val="00D165E2"/>
    <w:rsid w:val="00D224F7"/>
    <w:rsid w:val="00D22731"/>
    <w:rsid w:val="00D22CDF"/>
    <w:rsid w:val="00D23806"/>
    <w:rsid w:val="00D326D6"/>
    <w:rsid w:val="00D33AA7"/>
    <w:rsid w:val="00D405D7"/>
    <w:rsid w:val="00D434DD"/>
    <w:rsid w:val="00D439C7"/>
    <w:rsid w:val="00D450E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97FB5"/>
    <w:rsid w:val="00DA0562"/>
    <w:rsid w:val="00DA0BBA"/>
    <w:rsid w:val="00DA3F31"/>
    <w:rsid w:val="00DB4670"/>
    <w:rsid w:val="00DC0C96"/>
    <w:rsid w:val="00DC6795"/>
    <w:rsid w:val="00DC698F"/>
    <w:rsid w:val="00DD2056"/>
    <w:rsid w:val="00DD2901"/>
    <w:rsid w:val="00DD763D"/>
    <w:rsid w:val="00DE6830"/>
    <w:rsid w:val="00DE6F0F"/>
    <w:rsid w:val="00DF02F0"/>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1632"/>
    <w:rsid w:val="00E849DC"/>
    <w:rsid w:val="00E85325"/>
    <w:rsid w:val="00E85B5B"/>
    <w:rsid w:val="00E912C0"/>
    <w:rsid w:val="00E9415F"/>
    <w:rsid w:val="00E96FF3"/>
    <w:rsid w:val="00EA3930"/>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641"/>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D16D6"/>
    <w:rsid w:val="00FD79F7"/>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52"/>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52"/>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 w:type="paragraph" w:styleId="Header">
    <w:name w:val="header"/>
    <w:basedOn w:val="Normal"/>
    <w:link w:val="HeaderChar"/>
    <w:uiPriority w:val="99"/>
    <w:unhideWhenUsed/>
    <w:rsid w:val="00B10F78"/>
    <w:pPr>
      <w:tabs>
        <w:tab w:val="center" w:pos="4320"/>
        <w:tab w:val="right" w:pos="8640"/>
      </w:tabs>
    </w:pPr>
  </w:style>
  <w:style w:type="character" w:customStyle="1" w:styleId="HeaderChar">
    <w:name w:val="Header Char"/>
    <w:basedOn w:val="DefaultParagraphFont"/>
    <w:link w:val="Header"/>
    <w:uiPriority w:val="99"/>
    <w:rsid w:val="00B10F78"/>
  </w:style>
  <w:style w:type="paragraph" w:styleId="Footer">
    <w:name w:val="footer"/>
    <w:basedOn w:val="Normal"/>
    <w:link w:val="FooterChar"/>
    <w:uiPriority w:val="99"/>
    <w:unhideWhenUsed/>
    <w:rsid w:val="00B10F78"/>
    <w:pPr>
      <w:tabs>
        <w:tab w:val="center" w:pos="4320"/>
        <w:tab w:val="right" w:pos="8640"/>
      </w:tabs>
    </w:pPr>
  </w:style>
  <w:style w:type="character" w:customStyle="1" w:styleId="FooterChar">
    <w:name w:val="Footer Char"/>
    <w:basedOn w:val="DefaultParagraphFont"/>
    <w:link w:val="Footer"/>
    <w:uiPriority w:val="99"/>
    <w:rsid w:val="00B1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F0E9E-4D32-4FF3-9D84-DD9BDBF8B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11009</TotalTime>
  <Pages>61</Pages>
  <Words>16968</Words>
  <Characters>96719</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575</cp:revision>
  <cp:lastPrinted>2015-12-17T06:04:00Z</cp:lastPrinted>
  <dcterms:created xsi:type="dcterms:W3CDTF">2015-12-08T04:36:00Z</dcterms:created>
  <dcterms:modified xsi:type="dcterms:W3CDTF">2016-05-31T07:08:00Z</dcterms:modified>
</cp:coreProperties>
</file>