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DF02F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DF02F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DF02F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DF02F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DF02F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DF02F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DF02F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DF02F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DF02F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DF02F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DF02F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DF02F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DF02F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DF02F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DF02F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DF02F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DF02F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DF02F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DF02F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DF02F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DF02F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DF02F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Pr="006F35DD" w:rsidRDefault="00AF0484" w:rsidP="00AF0484">
      <w:pPr>
        <w:pStyle w:val="ListParagraph"/>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DF02F0"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DF02F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DF02F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 xml:space="preserve">Expected dividend = previous </w:t>
      </w:r>
      <w:r w:rsidR="00C753C1">
        <w:t>DPS</w:t>
      </w:r>
      <w:r>
        <w:t xml:space="preserve"> + incr</w:t>
      </w:r>
      <w:bookmarkStart w:id="0" w:name="_GoBack"/>
      <w:bookmarkEnd w:id="0"/>
      <w:r>
        <w:t>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DF02F0"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DF02F0"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DF02F0"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DF02F0"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DF02F0"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DF02F0"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DF02F0"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DF02F0"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DF02F0"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DF02F0"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DF02F0"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DF02F0"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DF02F0"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DF02F0"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DF02F0"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DF02F0"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DF02F0"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DF02F0"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DF02F0"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DF02F0"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DF02F0"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DF02F0"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DF02F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DF02F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DF02F0"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DF02F0"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F0" w:rsidRDefault="00DF02F0" w:rsidP="00B10F78">
      <w:r>
        <w:separator/>
      </w:r>
    </w:p>
  </w:endnote>
  <w:endnote w:type="continuationSeparator" w:id="0">
    <w:p w:rsidR="00DF02F0" w:rsidRDefault="00DF02F0"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F0" w:rsidRDefault="00DF02F0" w:rsidP="00B10F78">
      <w:r>
        <w:separator/>
      </w:r>
    </w:p>
  </w:footnote>
  <w:footnote w:type="continuationSeparator" w:id="0">
    <w:p w:rsidR="00DF02F0" w:rsidRDefault="00DF02F0"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753C1"/>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02F0"/>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 w:type="paragraph" w:styleId="Header">
    <w:name w:val="header"/>
    <w:basedOn w:val="Normal"/>
    <w:link w:val="HeaderChar"/>
    <w:uiPriority w:val="99"/>
    <w:unhideWhenUsed/>
    <w:rsid w:val="00B10F78"/>
    <w:pPr>
      <w:tabs>
        <w:tab w:val="center" w:pos="4320"/>
        <w:tab w:val="right" w:pos="8640"/>
      </w:tabs>
    </w:pPr>
  </w:style>
  <w:style w:type="character" w:customStyle="1" w:styleId="HeaderChar">
    <w:name w:val="Header Char"/>
    <w:basedOn w:val="DefaultParagraphFont"/>
    <w:link w:val="Header"/>
    <w:uiPriority w:val="99"/>
    <w:rsid w:val="00B10F78"/>
  </w:style>
  <w:style w:type="paragraph" w:styleId="Footer">
    <w:name w:val="footer"/>
    <w:basedOn w:val="Normal"/>
    <w:link w:val="FooterChar"/>
    <w:uiPriority w:val="99"/>
    <w:unhideWhenUsed/>
    <w:rsid w:val="00B10F78"/>
    <w:pPr>
      <w:tabs>
        <w:tab w:val="center" w:pos="4320"/>
        <w:tab w:val="right" w:pos="8640"/>
      </w:tabs>
    </w:pPr>
  </w:style>
  <w:style w:type="character" w:customStyle="1" w:styleId="FooterChar">
    <w:name w:val="Footer Char"/>
    <w:basedOn w:val="DefaultParagraphFont"/>
    <w:link w:val="Footer"/>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8A387-736A-4E21-8502-23847857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10755</TotalTime>
  <Pages>61</Pages>
  <Words>16939</Words>
  <Characters>96553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566</cp:revision>
  <cp:lastPrinted>2015-12-17T06:04:00Z</cp:lastPrinted>
  <dcterms:created xsi:type="dcterms:W3CDTF">2015-12-08T04:36:00Z</dcterms:created>
  <dcterms:modified xsi:type="dcterms:W3CDTF">2016-04-08T01:35:00Z</dcterms:modified>
</cp:coreProperties>
</file>