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452C60"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452C60"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452C60"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452C60"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452C60"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452C6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452C6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452C60"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452C60"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452C60"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452C60"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452C60"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452C60"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452C60"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452C60"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452C60"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452C60"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452C60"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452C60"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452C60"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452C60"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452C60"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1240D4" w:rsidRDefault="001240D4" w:rsidP="00906CE5"/>
    <w:p w:rsidR="001240D4" w:rsidRDefault="001240D4" w:rsidP="00906CE5">
      <w:pPr>
        <w:rPr>
          <w:rFonts w:hint="eastAsia"/>
        </w:rPr>
      </w:pPr>
    </w:p>
    <w:p w:rsidR="00906CE5" w:rsidRDefault="00906CE5" w:rsidP="00906CE5">
      <w:pPr>
        <w:pStyle w:val="Level3"/>
        <w:spacing w:after="156"/>
      </w:pPr>
      <w:r>
        <w:rPr>
          <w:rFonts w:hint="eastAsia"/>
        </w:rPr>
        <w:lastRenderedPageBreak/>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lastRenderedPageBreak/>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lastRenderedPageBreak/>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452C60" w:rsidRDefault="00452C60" w:rsidP="00B15563"/>
    <w:p w:rsidR="00452C60" w:rsidRDefault="00452C60" w:rsidP="00B15563">
      <w:pPr>
        <w:rPr>
          <w:rFonts w:hint="eastAsia"/>
        </w:rPr>
      </w:pPr>
      <w:bookmarkStart w:id="0" w:name="_GoBack"/>
      <w:bookmarkEnd w:id="0"/>
    </w:p>
    <w:p w:rsidR="00AF5F44" w:rsidRDefault="00AF5F44" w:rsidP="00AF5F44">
      <w:pPr>
        <w:pStyle w:val="Level3"/>
        <w:spacing w:after="156"/>
      </w:pPr>
      <w:r>
        <w:rPr>
          <w:rFonts w:hint="eastAsia"/>
        </w:rPr>
        <w:lastRenderedPageBreak/>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456255" w:rsidRDefault="00456255" w:rsidP="00456255">
      <w:proofErr w:type="spellStart"/>
      <w:r>
        <w:rPr>
          <w:rFonts w:hint="eastAsia"/>
        </w:rPr>
        <w:t>Fama</w:t>
      </w:r>
      <w:proofErr w:type="spellEnd"/>
      <w:r>
        <w:rPr>
          <w:rFonts w:hint="eastAsia"/>
        </w:rPr>
        <w:t>-French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452C60"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452C60"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pPr>
      <w:r>
        <w:rPr>
          <w:rFonts w:hint="eastAsia"/>
        </w:rPr>
        <w:t>Explain the appropriate adjustments to NI, EBIT, EBITDA and CFO to calculate FCFF and FCFE.</w:t>
      </w:r>
    </w:p>
    <w:p w:rsidR="00F74197" w:rsidRDefault="00F74197" w:rsidP="00F74197">
      <w:r>
        <w:t xml:space="preserve">FCFF = NI + NCC + Interest * (1 – tax) – </w:t>
      </w:r>
      <w:proofErr w:type="spellStart"/>
      <w:r>
        <w:t>FCInv</w:t>
      </w:r>
      <w:proofErr w:type="spellEnd"/>
      <w:r>
        <w:t xml:space="preserve"> – </w:t>
      </w:r>
      <w:proofErr w:type="spellStart"/>
      <w:r>
        <w:t>WCInv</w:t>
      </w:r>
      <w:proofErr w:type="spellEnd"/>
    </w:p>
    <w:p w:rsidR="00F74197" w:rsidRDefault="00F74197" w:rsidP="00F74197">
      <w:r>
        <w:t xml:space="preserve">FCFF = EBIT * (1 – tax) + Depreciation – </w:t>
      </w:r>
      <w:proofErr w:type="spellStart"/>
      <w:r>
        <w:t>FCInv</w:t>
      </w:r>
      <w:proofErr w:type="spellEnd"/>
      <w:r>
        <w:t xml:space="preserve"> – </w:t>
      </w:r>
      <w:proofErr w:type="spellStart"/>
      <w:r>
        <w:t>WCInv</w:t>
      </w:r>
      <w:proofErr w:type="spellEnd"/>
    </w:p>
    <w:p w:rsidR="00F74197" w:rsidRDefault="00F74197" w:rsidP="00F74197">
      <w:r>
        <w:t xml:space="preserve">FCFF = EBITDA * (1 – tax) + Depreciation * tax – </w:t>
      </w:r>
      <w:proofErr w:type="spellStart"/>
      <w:r>
        <w:t>FCInv</w:t>
      </w:r>
      <w:proofErr w:type="spellEnd"/>
      <w:r>
        <w:t xml:space="preserve"> </w:t>
      </w:r>
      <w:r w:rsidR="00BF5D79">
        <w:t>–</w:t>
      </w:r>
      <w:r>
        <w:t xml:space="preserve"> </w:t>
      </w:r>
      <w:proofErr w:type="spellStart"/>
      <w:r>
        <w:t>WCInv</w:t>
      </w:r>
      <w:proofErr w:type="spellEnd"/>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r>
      <w:proofErr w:type="spellStart"/>
      <w:r>
        <w:t>FCInv</w:t>
      </w:r>
      <w:proofErr w:type="spellEnd"/>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proofErr w:type="spellStart"/>
      <w:r>
        <w:t>FCInv</w:t>
      </w:r>
      <w:proofErr w:type="spellEnd"/>
      <w:r>
        <w:t xml:space="preserve"> = End gross BV PP&amp;E – begin gross VB PP&amp;E</w:t>
      </w:r>
    </w:p>
    <w:p w:rsidR="00A15137" w:rsidRDefault="00A15137" w:rsidP="00A15137">
      <w:pPr>
        <w:pStyle w:val="ListParagraph"/>
        <w:numPr>
          <w:ilvl w:val="0"/>
          <w:numId w:val="101"/>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9F6DC7" w:rsidRDefault="009F6DC7" w:rsidP="009F6DC7"/>
    <w:p w:rsidR="009F6DC7" w:rsidRDefault="009F6DC7" w:rsidP="009F6DC7">
      <w:pPr>
        <w:pStyle w:val="Level3"/>
        <w:numPr>
          <w:ilvl w:val="2"/>
          <w:numId w:val="102"/>
        </w:numPr>
        <w:spacing w:after="156"/>
      </w:pPr>
      <w:r>
        <w:rPr>
          <w:rFonts w:hint="eastAsia"/>
        </w:rPr>
        <w:t>Describe approaches for forecasting FCFF and FCFE.</w:t>
      </w:r>
    </w:p>
    <w:p w:rsidR="009F6DC7" w:rsidRDefault="009F6DC7" w:rsidP="009F6DC7">
      <w:r>
        <w:t xml:space="preserve">FCFE = NI + (1 – DR) * (Depreciation – </w:t>
      </w:r>
      <w:proofErr w:type="spellStart"/>
      <w:r>
        <w:t>FCInv</w:t>
      </w:r>
      <w:proofErr w:type="spellEnd"/>
      <w:r>
        <w:t xml:space="preserve"> – </w:t>
      </w:r>
      <w:proofErr w:type="spellStart"/>
      <w:r>
        <w:t>WCInv</w:t>
      </w:r>
      <w:proofErr w:type="spellEnd"/>
      <w:r>
        <w:t>)</w:t>
      </w:r>
    </w:p>
    <w:p w:rsidR="009F6DC7" w:rsidRPr="009F6DC7" w:rsidRDefault="009F6DC7" w:rsidP="009F6DC7">
      <w:r>
        <w:t>DR = target debt-to-asset ratio</w:t>
      </w:r>
    </w:p>
    <w:p w:rsidR="00266229" w:rsidRDefault="00266229" w:rsidP="00C84712">
      <w:pPr>
        <w:pStyle w:val="Level2"/>
        <w:numPr>
          <w:ilvl w:val="0"/>
          <w:numId w:val="0"/>
        </w:numPr>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452C60"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452C60"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452C60"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452C60"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452C60"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452C60"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452C60"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452C60"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452C60"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452C60"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452C60"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452C60"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452C60"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452C60"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452C60"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452C60"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452C60"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452C60"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452C60"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452C60"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452C60"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452C60"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452C60"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452C60"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745C795C"/>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0152834"/>
    <w:multiLevelType w:val="hybridMultilevel"/>
    <w:tmpl w:val="01069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3"/>
  </w:num>
  <w:num w:numId="6">
    <w:abstractNumId w:val="53"/>
  </w:num>
  <w:num w:numId="7">
    <w:abstractNumId w:val="22"/>
  </w:num>
  <w:num w:numId="8">
    <w:abstractNumId w:val="56"/>
  </w:num>
  <w:num w:numId="9">
    <w:abstractNumId w:val="15"/>
  </w:num>
  <w:num w:numId="10">
    <w:abstractNumId w:val="9"/>
  </w:num>
  <w:num w:numId="11">
    <w:abstractNumId w:val="14"/>
  </w:num>
  <w:num w:numId="12">
    <w:abstractNumId w:val="4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8"/>
  </w:num>
  <w:num w:numId="16">
    <w:abstractNumId w:val="60"/>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2"/>
  </w:num>
  <w:num w:numId="28">
    <w:abstractNumId w:val="51"/>
  </w:num>
  <w:num w:numId="29">
    <w:abstractNumId w:val="11"/>
  </w:num>
  <w:num w:numId="30">
    <w:abstractNumId w:val="47"/>
  </w:num>
  <w:num w:numId="31">
    <w:abstractNumId w:val="4"/>
  </w:num>
  <w:num w:numId="32">
    <w:abstractNumId w:val="31"/>
  </w:num>
  <w:num w:numId="33">
    <w:abstractNumId w:val="3"/>
  </w:num>
  <w:num w:numId="34">
    <w:abstractNumId w:val="38"/>
  </w:num>
  <w:num w:numId="35">
    <w:abstractNumId w:val="19"/>
  </w:num>
  <w:num w:numId="36">
    <w:abstractNumId w:val="20"/>
  </w:num>
  <w:num w:numId="37">
    <w:abstractNumId w:val="40"/>
  </w:num>
  <w:num w:numId="38">
    <w:abstractNumId w:val="24"/>
  </w:num>
  <w:num w:numId="39">
    <w:abstractNumId w:val="50"/>
  </w:num>
  <w:num w:numId="40">
    <w:abstractNumId w:val="39"/>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7"/>
  </w:num>
  <w:num w:numId="50">
    <w:abstractNumId w:val="30"/>
  </w:num>
  <w:num w:numId="51">
    <w:abstractNumId w:val="36"/>
  </w:num>
  <w:num w:numId="52">
    <w:abstractNumId w:val="35"/>
  </w:num>
  <w:num w:numId="53">
    <w:abstractNumId w:val="5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6"/>
  </w:num>
  <w:num w:numId="60">
    <w:abstractNumId w:val="21"/>
  </w:num>
  <w:num w:numId="61">
    <w:abstractNumId w:val="3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9"/>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2"/>
  </w:num>
  <w:num w:numId="83">
    <w:abstractNumId w:val="55"/>
  </w:num>
  <w:num w:numId="84">
    <w:abstractNumId w:val="58"/>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47CF8"/>
    <w:rsid w:val="000501D7"/>
    <w:rsid w:val="0005263B"/>
    <w:rsid w:val="00052B85"/>
    <w:rsid w:val="000570B4"/>
    <w:rsid w:val="000616D7"/>
    <w:rsid w:val="00063085"/>
    <w:rsid w:val="000701FA"/>
    <w:rsid w:val="00070C73"/>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70F8C"/>
    <w:rsid w:val="0017194D"/>
    <w:rsid w:val="001766AE"/>
    <w:rsid w:val="001824C7"/>
    <w:rsid w:val="001A3CC1"/>
    <w:rsid w:val="001B5487"/>
    <w:rsid w:val="001B7134"/>
    <w:rsid w:val="001C1432"/>
    <w:rsid w:val="001C3E62"/>
    <w:rsid w:val="001C4317"/>
    <w:rsid w:val="001D021E"/>
    <w:rsid w:val="001D0B87"/>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A6A88"/>
    <w:rsid w:val="002C230A"/>
    <w:rsid w:val="002D587E"/>
    <w:rsid w:val="002E6255"/>
    <w:rsid w:val="002F1C07"/>
    <w:rsid w:val="002F7EB9"/>
    <w:rsid w:val="00304853"/>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3409"/>
    <w:rsid w:val="0050639C"/>
    <w:rsid w:val="00513616"/>
    <w:rsid w:val="00515653"/>
    <w:rsid w:val="00516592"/>
    <w:rsid w:val="00516D4C"/>
    <w:rsid w:val="005179C9"/>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B7E5E"/>
    <w:rsid w:val="005C78A1"/>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671A"/>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9F6DC7"/>
    <w:rsid w:val="009F7819"/>
    <w:rsid w:val="00A04034"/>
    <w:rsid w:val="00A15137"/>
    <w:rsid w:val="00A21EAC"/>
    <w:rsid w:val="00A32184"/>
    <w:rsid w:val="00A41EBF"/>
    <w:rsid w:val="00A43F2A"/>
    <w:rsid w:val="00A466F5"/>
    <w:rsid w:val="00A54760"/>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B004B4"/>
    <w:rsid w:val="00B02717"/>
    <w:rsid w:val="00B15563"/>
    <w:rsid w:val="00B17D53"/>
    <w:rsid w:val="00B2385E"/>
    <w:rsid w:val="00B34C82"/>
    <w:rsid w:val="00B47456"/>
    <w:rsid w:val="00B47A19"/>
    <w:rsid w:val="00B548AB"/>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C01A54"/>
    <w:rsid w:val="00C06711"/>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321E"/>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3110D"/>
    <w:rsid w:val="00E35E61"/>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940DE"/>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96"/>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FD654-EBAB-4DD8-83DC-9B6A71CC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8514</TotalTime>
  <Pages>46</Pages>
  <Words>12468</Words>
  <Characters>71068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346</cp:revision>
  <cp:lastPrinted>2015-12-17T06:04:00Z</cp:lastPrinted>
  <dcterms:created xsi:type="dcterms:W3CDTF">2015-12-08T04:36:00Z</dcterms:created>
  <dcterms:modified xsi:type="dcterms:W3CDTF">2016-03-08T03:12:00Z</dcterms:modified>
</cp:coreProperties>
</file>