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10A" w:rsidRDefault="008B210A" w:rsidP="005F7BE1">
      <w:pPr>
        <w:pStyle w:val="Level1"/>
      </w:pPr>
      <w:r>
        <w:rPr>
          <w:rFonts w:hint="eastAsia"/>
        </w:rPr>
        <w:t>Ethical and Professional Standards</w:t>
      </w:r>
    </w:p>
    <w:p w:rsidR="008B210A" w:rsidRDefault="008B210A" w:rsidP="007C3137">
      <w:pPr>
        <w:pStyle w:val="Level2"/>
        <w:numPr>
          <w:ilvl w:val="1"/>
          <w:numId w:val="128"/>
        </w:numPr>
      </w:pPr>
      <w:r>
        <w:rPr>
          <w:rFonts w:hint="eastAsia"/>
        </w:rPr>
        <w:t xml:space="preserve">CFA </w:t>
      </w:r>
      <w:r>
        <w:t>Institute</w:t>
      </w:r>
      <w:r>
        <w:rPr>
          <w:rFonts w:hint="eastAsia"/>
        </w:rPr>
        <w:t xml:space="preserve"> Research</w:t>
      </w:r>
      <w:r>
        <w:t xml:space="preserve"> Objectivity Standards</w:t>
      </w:r>
    </w:p>
    <w:p w:rsidR="008B210A" w:rsidRDefault="008B210A" w:rsidP="008B210A">
      <w:r>
        <w:rPr>
          <w:rFonts w:hint="eastAsia"/>
        </w:rPr>
        <w:t>Recommendations</w:t>
      </w:r>
    </w:p>
    <w:p w:rsidR="008B210A" w:rsidRDefault="008B210A" w:rsidP="007C3137">
      <w:pPr>
        <w:pStyle w:val="ListParagraph"/>
        <w:numPr>
          <w:ilvl w:val="0"/>
          <w:numId w:val="129"/>
        </w:numPr>
        <w:ind w:firstLineChars="0"/>
      </w:pPr>
      <w:r>
        <w:rPr>
          <w:rFonts w:hint="eastAsia"/>
        </w:rPr>
        <w:t>Quiet periods of 30 days from issuance for IPOs and 10 days from issuance for secondary offerings are recommended.</w:t>
      </w:r>
    </w:p>
    <w:p w:rsidR="008B210A" w:rsidRDefault="008B210A" w:rsidP="007C3137">
      <w:pPr>
        <w:pStyle w:val="ListParagraph"/>
        <w:numPr>
          <w:ilvl w:val="0"/>
          <w:numId w:val="129"/>
        </w:numPr>
        <w:ind w:firstLineChars="0"/>
      </w:pPr>
      <w:r>
        <w:t>Restricted periods of at least 30 days before and 5 days after report issuance are recommended.</w:t>
      </w:r>
    </w:p>
    <w:p w:rsidR="001861C5" w:rsidRDefault="001861C5" w:rsidP="007C3137">
      <w:pPr>
        <w:pStyle w:val="ListParagraph"/>
        <w:numPr>
          <w:ilvl w:val="0"/>
          <w:numId w:val="129"/>
        </w:numPr>
        <w:ind w:firstLineChars="0"/>
      </w:pPr>
      <w:r>
        <w:t>It’s recommended that covered employees be required to hold securities for a minimum of 60 days.</w:t>
      </w:r>
    </w:p>
    <w:p w:rsidR="00A81A09" w:rsidRDefault="00A81A09" w:rsidP="007C3137">
      <w:pPr>
        <w:pStyle w:val="ListParagraph"/>
        <w:numPr>
          <w:ilvl w:val="0"/>
          <w:numId w:val="129"/>
        </w:numPr>
        <w:ind w:firstLineChars="0"/>
      </w:pPr>
      <w:r>
        <w:t>It’s recommended that reports and recommendations be issued at least quarterly.</w:t>
      </w:r>
    </w:p>
    <w:p w:rsidR="00C07F29" w:rsidRDefault="00C07F29" w:rsidP="007C3137">
      <w:pPr>
        <w:pStyle w:val="ListParagraph"/>
        <w:numPr>
          <w:ilvl w:val="0"/>
          <w:numId w:val="129"/>
        </w:numPr>
        <w:ind w:firstLineChars="0"/>
      </w:pPr>
      <w:r>
        <w:t>When coverage of a subject company is discontinued, firms should require the research analyst to issue a ‘final’ research report.</w:t>
      </w:r>
      <w:r w:rsidR="004D72DD">
        <w:t xml:space="preserve"> The final report should explain the reason for discontinuing coverage.</w:t>
      </w:r>
    </w:p>
    <w:p w:rsidR="008F6F09" w:rsidRPr="008B210A" w:rsidRDefault="008F6F09" w:rsidP="007C3137">
      <w:pPr>
        <w:pStyle w:val="ListParagraph"/>
        <w:numPr>
          <w:ilvl w:val="0"/>
          <w:numId w:val="129"/>
        </w:numPr>
        <w:ind w:firstLineChars="0"/>
      </w:pPr>
      <w:r>
        <w:t>Firms should implement a rating system that incorporates the following: 1) recommendation or rating categories, 2) time horizon categories, 3) risk categories.</w:t>
      </w:r>
    </w:p>
    <w:p w:rsidR="008B210A" w:rsidRDefault="008B210A" w:rsidP="008B210A">
      <w:pPr>
        <w:pStyle w:val="Level2"/>
        <w:rPr>
          <w:kern w:val="44"/>
          <w:szCs w:val="44"/>
        </w:rPr>
      </w:pPr>
      <w:r>
        <w:br w:type="page"/>
      </w:r>
    </w:p>
    <w:p w:rsidR="00E04863" w:rsidRPr="00F90B8A" w:rsidRDefault="005767CB" w:rsidP="00AA4B45">
      <w:pPr>
        <w:pStyle w:val="Level1"/>
      </w:pPr>
      <w:r w:rsidRPr="00F90B8A">
        <w:rPr>
          <w:rFonts w:hint="eastAsia"/>
        </w:rPr>
        <w:lastRenderedPageBreak/>
        <w:t>Quantitative Methods for Valuation</w:t>
      </w:r>
    </w:p>
    <w:p w:rsidR="005767CB" w:rsidRPr="00F90B8A" w:rsidRDefault="005767CB" w:rsidP="007C3137">
      <w:pPr>
        <w:pStyle w:val="Level2"/>
        <w:numPr>
          <w:ilvl w:val="1"/>
          <w:numId w:val="97"/>
        </w:numPr>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r w:rsidRPr="00F90B8A">
        <w:rPr>
          <w:sz w:val="32"/>
          <w:szCs w:val="32"/>
        </w:rPr>
        <w:t xml:space="preserve">CovXY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r>
        <w:rPr>
          <w:rFonts w:hint="eastAsia"/>
        </w:rPr>
        <w:t xml:space="preserve">rXY = CovXY / </w:t>
      </w:r>
      <w:r>
        <w:t>(Sx * Sy)</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ListParagraph"/>
        <w:numPr>
          <w:ilvl w:val="0"/>
          <w:numId w:val="1"/>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ListParagraph"/>
        <w:numPr>
          <w:ilvl w:val="0"/>
          <w:numId w:val="1"/>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4C11F1">
      <w:pPr>
        <w:pStyle w:val="ListParagraph"/>
        <w:numPr>
          <w:ilvl w:val="0"/>
          <w:numId w:val="1"/>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We want to test whether the correlation between the population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statistic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r>
        <w:t>r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Yi = b0 + b1Xi + εi</w:t>
      </w:r>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r>
        <w:t>εi = residual/disturbance term/error term for the ith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8B6B90"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Cov</w:t>
      </w:r>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ListParagraph"/>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ListParagraph"/>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4C11F1">
      <w:pPr>
        <w:pStyle w:val="ListParagraph"/>
        <w:numPr>
          <w:ilvl w:val="0"/>
          <w:numId w:val="1"/>
        </w:numPr>
        <w:ind w:firstLineChars="0"/>
      </w:pPr>
      <w:r>
        <w:t>Regression Coefficient Confidence Interval:</w:t>
      </w:r>
    </w:p>
    <w:p w:rsidR="00C56FA4" w:rsidRPr="00C56FA4" w:rsidRDefault="008B6B90"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r>
        <w:rPr>
          <w:rFonts w:hint="eastAsia"/>
        </w:rPr>
        <w:t xml:space="preserve">tc </w:t>
      </w:r>
      <w:r>
        <w:t>is the critical two-tailed t-value for the selected confidence level with degree of freedom, n-2.</w:t>
      </w:r>
    </w:p>
    <w:p w:rsidR="00C56FA4" w:rsidRDefault="008B6B90"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8B6B90"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r>
        <w:rPr>
          <w:rFonts w:hint="eastAsia"/>
        </w:rPr>
        <w:t xml:space="preserve">with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8B6B90"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r>
        <w:rPr>
          <w:rFonts w:hint="eastAsia"/>
        </w:rPr>
        <w:t xml:space="preserve">tc </w:t>
      </w:r>
      <w:r>
        <w:t>= two-tailed critical t-value at the desired level of significance with d</w:t>
      </w:r>
      <w:r w:rsidR="0050639C">
        <w:t xml:space="preserve">egree of </w:t>
      </w:r>
      <w:r>
        <w:t>f</w:t>
      </w:r>
      <w:r w:rsidR="0050639C">
        <w:t>reedom</w:t>
      </w:r>
      <w:r>
        <w:t xml:space="preserve"> = n-2</w:t>
      </w:r>
    </w:p>
    <w:p w:rsidR="006D151C" w:rsidRDefault="006D151C" w:rsidP="006D151C">
      <w:r>
        <w:t>sf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ListParagraph"/>
        <w:numPr>
          <w:ilvl w:val="0"/>
          <w:numId w:val="2"/>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ListParagraph"/>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ListParagraph"/>
        <w:numPr>
          <w:ilvl w:val="0"/>
          <w:numId w:val="2"/>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ListParagraph"/>
        <w:numPr>
          <w:ilvl w:val="0"/>
          <w:numId w:val="2"/>
        </w:numPr>
        <w:ind w:firstLineChars="0"/>
      </w:pPr>
      <w:r>
        <w:rPr>
          <w:rFonts w:hint="eastAsia"/>
        </w:rPr>
        <w:t>Linear relationships can change over time.</w:t>
      </w:r>
    </w:p>
    <w:p w:rsidR="00790AC7" w:rsidRDefault="00790AC7" w:rsidP="004C11F1">
      <w:pPr>
        <w:pStyle w:val="ListParagraph"/>
        <w:numPr>
          <w:ilvl w:val="0"/>
          <w:numId w:val="2"/>
        </w:numPr>
        <w:ind w:firstLineChars="0"/>
      </w:pPr>
      <w:r>
        <w:t>Its usefulness in investment analysis will be limited if other market participants are also aware of and act on this evidence.</w:t>
      </w:r>
    </w:p>
    <w:p w:rsidR="00790AC7" w:rsidRDefault="00790AC7" w:rsidP="004C11F1">
      <w:pPr>
        <w:pStyle w:val="ListParagraph"/>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ListParagraph"/>
        <w:numPr>
          <w:ilvl w:val="0"/>
          <w:numId w:val="4"/>
        </w:numPr>
        <w:ind w:firstLineChars="0"/>
      </w:pPr>
      <w:r>
        <w:rPr>
          <w:rFonts w:hint="eastAsia"/>
        </w:rPr>
        <w:t>The intercept term is the value of the dependent variable when the independent variables are 0.</w:t>
      </w:r>
    </w:p>
    <w:p w:rsidR="003A0254" w:rsidRDefault="005F5459" w:rsidP="004C11F1">
      <w:pPr>
        <w:pStyle w:val="ListParagraph"/>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ListParagraph"/>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r>
        <w:rPr>
          <w:rFonts w:hint="eastAsia"/>
        </w:rPr>
        <w:t>with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8B6B90"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8B6B90"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Ha: at least one b</w:t>
      </w:r>
      <w:r w:rsidRPr="007D76EC">
        <w:rPr>
          <w:vertAlign w:val="subscript"/>
        </w:rPr>
        <w:t>j</w:t>
      </w:r>
      <w:r>
        <w:t xml:space="preserve"> !=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r>
        <w:t>with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8B6B90"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ListParagraph"/>
        <w:numPr>
          <w:ilvl w:val="0"/>
          <w:numId w:val="5"/>
        </w:numPr>
        <w:ind w:firstLineChars="0"/>
      </w:pPr>
      <w:r>
        <w:t>H</w:t>
      </w:r>
      <w:r>
        <w:rPr>
          <w:rFonts w:hint="eastAsia"/>
        </w:rPr>
        <w:t>eteroskedasticity</w:t>
      </w:r>
    </w:p>
    <w:p w:rsidR="0081498A" w:rsidRDefault="0081498A" w:rsidP="004C11F1">
      <w:pPr>
        <w:pStyle w:val="ListParagraph"/>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ListParagraph"/>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ListParagraph"/>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examining scatter plot of the residuals and using the Breusch-Pagan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The more common way to detect conditional heteroskedasticity is the Breusch-Pagan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ListParagraph"/>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ListParagraph"/>
        <w:numPr>
          <w:ilvl w:val="0"/>
          <w:numId w:val="5"/>
        </w:numPr>
        <w:ind w:firstLineChars="0"/>
      </w:pPr>
      <w:r>
        <w:rPr>
          <w:rFonts w:hint="eastAsia"/>
        </w:rPr>
        <w:t>Serial Correlation</w:t>
      </w:r>
    </w:p>
    <w:p w:rsidR="00544AC6" w:rsidRPr="00544AC6" w:rsidRDefault="00544AC6" w:rsidP="004C11F1">
      <w:pPr>
        <w:pStyle w:val="ListParagraph"/>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ListParagraph"/>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ListParagraph"/>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ListParagraph"/>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ListParagraph"/>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ListParagraph"/>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D6321E" w:rsidRDefault="00D6321E" w:rsidP="0038628A">
      <w:r>
        <w:t>Or the correlations between independent variables are high.</w:t>
      </w:r>
    </w:p>
    <w:p w:rsidR="00757B19" w:rsidRPr="00757B19" w:rsidRDefault="00757B19" w:rsidP="004C11F1">
      <w:pPr>
        <w:pStyle w:val="ListParagraph"/>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ListParagraph"/>
        <w:numPr>
          <w:ilvl w:val="0"/>
          <w:numId w:val="5"/>
        </w:numPr>
        <w:ind w:firstLineChars="0"/>
      </w:pPr>
      <w:r>
        <w:rPr>
          <w:rFonts w:hint="eastAsia"/>
        </w:rPr>
        <w:t>The functional form</w:t>
      </w:r>
    </w:p>
    <w:p w:rsidR="007B0489" w:rsidRPr="007B0489" w:rsidRDefault="007B0489" w:rsidP="004C11F1">
      <w:pPr>
        <w:pStyle w:val="ListParagraph"/>
        <w:numPr>
          <w:ilvl w:val="1"/>
          <w:numId w:val="5"/>
        </w:numPr>
        <w:ind w:firstLineChars="0"/>
      </w:pPr>
      <w:r>
        <w:t>Important variables are omitted.</w:t>
      </w:r>
    </w:p>
    <w:p w:rsidR="007B0489" w:rsidRPr="007B0489" w:rsidRDefault="007B0489" w:rsidP="004C11F1">
      <w:pPr>
        <w:pStyle w:val="ListParagraph"/>
        <w:numPr>
          <w:ilvl w:val="1"/>
          <w:numId w:val="5"/>
        </w:numPr>
        <w:ind w:firstLineChars="0"/>
      </w:pPr>
      <w:r>
        <w:t>Variables should be transformed.</w:t>
      </w:r>
    </w:p>
    <w:p w:rsidR="007B0489" w:rsidRPr="007B0489" w:rsidRDefault="007B0489" w:rsidP="004C11F1">
      <w:pPr>
        <w:pStyle w:val="ListParagraph"/>
        <w:numPr>
          <w:ilvl w:val="1"/>
          <w:numId w:val="5"/>
        </w:numPr>
        <w:ind w:firstLineChars="0"/>
      </w:pPr>
      <w:r>
        <w:t>Data is improperly pooled.</w:t>
      </w:r>
    </w:p>
    <w:p w:rsidR="007B0489" w:rsidRPr="007B0489" w:rsidRDefault="007B0489" w:rsidP="004C11F1">
      <w:pPr>
        <w:pStyle w:val="ListParagraph"/>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ListParagraph"/>
        <w:numPr>
          <w:ilvl w:val="1"/>
          <w:numId w:val="5"/>
        </w:numPr>
        <w:ind w:firstLineChars="0"/>
      </w:pPr>
      <w:r>
        <w:t>A lagged dependent variable is used as an independent variable.</w:t>
      </w:r>
    </w:p>
    <w:p w:rsidR="007B0489" w:rsidRPr="007B0489" w:rsidRDefault="007B0489" w:rsidP="004C11F1">
      <w:pPr>
        <w:pStyle w:val="ListParagraph"/>
        <w:numPr>
          <w:ilvl w:val="1"/>
          <w:numId w:val="5"/>
        </w:numPr>
        <w:ind w:firstLineChars="0"/>
      </w:pPr>
      <w:r>
        <w:t>A function of the dependent variable is used as an independent variable.</w:t>
      </w:r>
    </w:p>
    <w:p w:rsidR="007B0489" w:rsidRPr="007B0489" w:rsidRDefault="007B0489" w:rsidP="004C11F1">
      <w:pPr>
        <w:pStyle w:val="ListParagraph"/>
        <w:numPr>
          <w:ilvl w:val="1"/>
          <w:numId w:val="5"/>
        </w:numPr>
        <w:ind w:firstLineChars="0"/>
      </w:pPr>
      <w:r>
        <w:t>Independent variables are measured with error</w:t>
      </w:r>
    </w:p>
    <w:p w:rsidR="007B0489" w:rsidRPr="007B0489" w:rsidRDefault="007B0489" w:rsidP="004C11F1">
      <w:pPr>
        <w:pStyle w:val="ListParagraph"/>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ListParagraph"/>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ListParagraph"/>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ListParagraph"/>
        <w:numPr>
          <w:ilvl w:val="0"/>
          <w:numId w:val="9"/>
        </w:numPr>
        <w:ind w:firstLineChars="0"/>
      </w:pPr>
      <w:r>
        <w:t>The simplest form of a linear trend is represented by the following linear trend model:</w:t>
      </w:r>
    </w:p>
    <w:p w:rsidR="00410DF3" w:rsidRPr="00410DF3" w:rsidRDefault="008B6B90"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ListParagraph"/>
        <w:numPr>
          <w:ilvl w:val="0"/>
          <w:numId w:val="9"/>
        </w:numPr>
        <w:ind w:firstLineChars="0"/>
      </w:pPr>
      <w:r>
        <w:rPr>
          <w:rFonts w:hint="eastAsia"/>
        </w:rPr>
        <w:t>When a series exhibits exponential growth, it can be modeled as:</w:t>
      </w:r>
    </w:p>
    <w:p w:rsidR="00E9415F" w:rsidRPr="00E9415F" w:rsidRDefault="008B6B90"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ListParagraph"/>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ListParagraph"/>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ListParagraph"/>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8B6B90"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ListParagraph"/>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093DAC">
        <w:t xml:space="preserve"> (</w:t>
      </w:r>
      <w:r w:rsidR="00052B85">
        <w:t>11.h, 11.j, 11.k</w:t>
      </w:r>
      <w:r w:rsidR="00865CB2">
        <w:t>)</w:t>
      </w:r>
      <w:r w:rsidR="007614DB">
        <w:t>.</w:t>
      </w:r>
    </w:p>
    <w:p w:rsidR="005D7202" w:rsidRPr="005D7202" w:rsidRDefault="005D7202" w:rsidP="004C11F1">
      <w:pPr>
        <w:pStyle w:val="ListParagraph"/>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ListParagraph"/>
        <w:numPr>
          <w:ilvl w:val="0"/>
          <w:numId w:val="10"/>
        </w:numPr>
        <w:ind w:firstLineChars="0"/>
      </w:pPr>
      <w:r>
        <w:t>Constant and finite covariance between values at any given lag</w:t>
      </w:r>
      <w:r w:rsidR="00093DAC">
        <w:t xml:space="preserve"> (11.f)</w:t>
      </w:r>
      <w:r>
        <w:t>.</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8B6B90"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ListParagraph"/>
        <w:numPr>
          <w:ilvl w:val="0"/>
          <w:numId w:val="11"/>
        </w:numPr>
        <w:ind w:firstLineChars="0"/>
      </w:pPr>
      <w:r>
        <w:rPr>
          <w:rFonts w:hint="eastAsia"/>
        </w:rPr>
        <w:t>Estimate the AR model being evaluated using linear regression.</w:t>
      </w:r>
    </w:p>
    <w:p w:rsidR="008A7BA8" w:rsidRPr="008A7BA8" w:rsidRDefault="008A7BA8" w:rsidP="004C11F1">
      <w:pPr>
        <w:pStyle w:val="ListParagraph"/>
        <w:numPr>
          <w:ilvl w:val="0"/>
          <w:numId w:val="11"/>
        </w:numPr>
        <w:ind w:firstLineChars="0"/>
      </w:pPr>
      <w:r>
        <w:t>Calculate the autocorrelations of the model’s residuals</w:t>
      </w:r>
    </w:p>
    <w:p w:rsidR="008A7BA8" w:rsidRPr="00BD424E" w:rsidRDefault="008B6B90"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ListParagraph"/>
        <w:numPr>
          <w:ilvl w:val="0"/>
          <w:numId w:val="11"/>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For an AR(1) model, xt = b0 + b1xt =&gt; xt = b0/(1-b1)</w:t>
      </w:r>
    </w:p>
    <w:p w:rsidR="00DF1827" w:rsidRDefault="00DF1827" w:rsidP="00761F9A"/>
    <w:p w:rsidR="00DF1827" w:rsidRDefault="00DF1827" w:rsidP="00761F9A">
      <w:r>
        <w:t>All covariance stationary time series have a finite mean-reverting level.</w:t>
      </w:r>
    </w:p>
    <w:p w:rsidR="00DF1827" w:rsidRDefault="00DF1827" w:rsidP="00761F9A">
      <w:r>
        <w:t>An AR(1)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ListParagraph"/>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ListParagraph"/>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ListParagraph"/>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ListParagraph"/>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ListParagraph"/>
        <w:numPr>
          <w:ilvl w:val="0"/>
          <w:numId w:val="14"/>
        </w:numPr>
        <w:ind w:firstLineChars="0"/>
      </w:pPr>
      <w:r>
        <w:rPr>
          <w:rFonts w:hint="eastAsia"/>
        </w:rPr>
        <w:t>Dickey Fuller test:</w:t>
      </w:r>
    </w:p>
    <w:p w:rsidR="00B34C82" w:rsidRPr="002F1C07" w:rsidRDefault="002F1C07" w:rsidP="004C11F1">
      <w:pPr>
        <w:pStyle w:val="ListParagraph"/>
        <w:numPr>
          <w:ilvl w:val="0"/>
          <w:numId w:val="15"/>
        </w:numPr>
        <w:ind w:firstLineChars="0"/>
      </w:pPr>
      <w:r>
        <w:t>DF test transform the AR(1) model to run a simple regression:</w:t>
      </w:r>
    </w:p>
    <w:p w:rsidR="002F1C07" w:rsidRPr="00320ED6" w:rsidRDefault="008B6B90"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8B6B90"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8B6B90"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ListParagraph"/>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8B6B90"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Then stating y in the form of an AR(1) model:</w:t>
      </w:r>
    </w:p>
    <w:p w:rsidR="006D3233" w:rsidRDefault="008B6B90"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ARCH(1), </w:t>
      </w:r>
      <w:r w:rsidRPr="00EE7038">
        <w:t>ε</w:t>
      </w:r>
      <w:r w:rsidRPr="00EE7038">
        <w:rPr>
          <w:vertAlign w:val="subscript"/>
        </w:rPr>
        <w:t>t</w:t>
      </w:r>
      <w:r w:rsidRPr="00EE7038">
        <w:rPr>
          <w:vertAlign w:val="superscript"/>
        </w:rPr>
        <w:t>2</w:t>
      </w:r>
      <w:r>
        <w:t xml:space="preserve"> are regressed:</w:t>
      </w:r>
    </w:p>
    <w:p w:rsidR="00EE7038" w:rsidRPr="00EE7038" w:rsidRDefault="008B6B90"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If the coefficient a1, is statistically different from 0, the time series is ARCH(1).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ARCH(1) pattern, </w:t>
      </w:r>
    </w:p>
    <w:p w:rsidR="008A59EE" w:rsidRPr="00EE7038" w:rsidRDefault="008B6B90"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8B6B90"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ListParagraph"/>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ListParagraph"/>
        <w:numPr>
          <w:ilvl w:val="0"/>
          <w:numId w:val="16"/>
        </w:numPr>
        <w:ind w:firstLineChars="0"/>
      </w:pPr>
      <w:r>
        <w:t>Only the dependent variable time series is covariance stationary and the coefficients are statistically unreliable.</w:t>
      </w:r>
    </w:p>
    <w:p w:rsidR="00AB3F8B" w:rsidRDefault="00AB3F8B" w:rsidP="004C11F1">
      <w:pPr>
        <w:pStyle w:val="ListParagraph"/>
        <w:numPr>
          <w:ilvl w:val="0"/>
          <w:numId w:val="16"/>
        </w:numPr>
        <w:ind w:firstLineChars="0"/>
      </w:pPr>
      <w:r>
        <w:t>Only the independent variable time series is covariance stationary and the coefficients are statistically unreliable.</w:t>
      </w:r>
    </w:p>
    <w:p w:rsidR="00AB3F8B" w:rsidRDefault="00AB3F8B" w:rsidP="004C11F1">
      <w:pPr>
        <w:pStyle w:val="ListParagraph"/>
        <w:numPr>
          <w:ilvl w:val="0"/>
          <w:numId w:val="16"/>
        </w:numPr>
        <w:ind w:firstLineChars="0"/>
      </w:pPr>
      <w:r>
        <w:t xml:space="preserve">Neither </w:t>
      </w:r>
      <w:r w:rsidR="000A713B">
        <w:t xml:space="preserve">of </w:t>
      </w:r>
      <w:r>
        <w:t>time series is covariance stationary, and the two series are not cointegrated.</w:t>
      </w:r>
    </w:p>
    <w:p w:rsidR="00AB3F8B" w:rsidRDefault="00AB3F8B" w:rsidP="004C11F1">
      <w:pPr>
        <w:pStyle w:val="ListParagraph"/>
        <w:numPr>
          <w:ilvl w:val="0"/>
          <w:numId w:val="16"/>
        </w:numPr>
        <w:ind w:firstLineChars="0"/>
      </w:pPr>
      <w:r>
        <w:t>Neither</w:t>
      </w:r>
      <w:r w:rsidR="000A713B">
        <w:t xml:space="preserve"> of</w:t>
      </w:r>
      <w:r>
        <w:t xml:space="preserve">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ListParagraph"/>
        <w:numPr>
          <w:ilvl w:val="0"/>
          <w:numId w:val="17"/>
        </w:numPr>
        <w:ind w:firstLineChars="0"/>
      </w:pPr>
      <w:r>
        <w:rPr>
          <w:rFonts w:hint="eastAsia"/>
        </w:rPr>
        <w:t>Determine the probabilistic variables.</w:t>
      </w:r>
    </w:p>
    <w:p w:rsidR="00540A2A" w:rsidRDefault="00540A2A" w:rsidP="004C11F1">
      <w:pPr>
        <w:pStyle w:val="ListParagraph"/>
        <w:numPr>
          <w:ilvl w:val="0"/>
          <w:numId w:val="17"/>
        </w:numPr>
        <w:ind w:firstLineChars="0"/>
      </w:pPr>
      <w:r>
        <w:t>Define probability distributions for these variables.</w:t>
      </w:r>
    </w:p>
    <w:p w:rsidR="00D466BE" w:rsidRDefault="00D466BE" w:rsidP="00D466BE">
      <w:pPr>
        <w:pStyle w:val="ListParagraph"/>
        <w:ind w:left="360" w:firstLineChars="0" w:firstLine="0"/>
      </w:pPr>
      <w:r>
        <w:t>The</w:t>
      </w:r>
      <w:r w:rsidR="005B7E5E">
        <w:t>re’re 3 approaches to specify</w:t>
      </w:r>
      <w:r>
        <w:t xml:space="preserve"> a distribution:</w:t>
      </w:r>
    </w:p>
    <w:p w:rsidR="00D466BE" w:rsidRDefault="00D466BE" w:rsidP="004C11F1">
      <w:pPr>
        <w:pStyle w:val="ListParagraph"/>
        <w:numPr>
          <w:ilvl w:val="0"/>
          <w:numId w:val="15"/>
        </w:numPr>
        <w:ind w:firstLineChars="0"/>
      </w:pPr>
      <w:r>
        <w:rPr>
          <w:rFonts w:hint="eastAsia"/>
        </w:rPr>
        <w:t>Historical data</w:t>
      </w:r>
    </w:p>
    <w:p w:rsidR="00D466BE" w:rsidRDefault="00D466BE" w:rsidP="004C11F1">
      <w:pPr>
        <w:pStyle w:val="ListParagraph"/>
        <w:numPr>
          <w:ilvl w:val="0"/>
          <w:numId w:val="15"/>
        </w:numPr>
        <w:ind w:firstLineChars="0"/>
      </w:pPr>
      <w:r>
        <w:t>Cross-sectional data</w:t>
      </w:r>
    </w:p>
    <w:p w:rsidR="00D466BE" w:rsidRDefault="00D466BE" w:rsidP="004C11F1">
      <w:pPr>
        <w:pStyle w:val="ListParagraph"/>
        <w:numPr>
          <w:ilvl w:val="0"/>
          <w:numId w:val="15"/>
        </w:numPr>
        <w:ind w:firstLineChars="0"/>
      </w:pPr>
      <w:r>
        <w:t>Pick a distribution and estimate the parameters</w:t>
      </w:r>
    </w:p>
    <w:p w:rsidR="00D466BE" w:rsidRDefault="00D466BE" w:rsidP="004C11F1">
      <w:pPr>
        <w:pStyle w:val="ListParagraph"/>
        <w:numPr>
          <w:ilvl w:val="0"/>
          <w:numId w:val="17"/>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4C11F1">
      <w:pPr>
        <w:pStyle w:val="ListParagraph"/>
        <w:numPr>
          <w:ilvl w:val="0"/>
          <w:numId w:val="18"/>
        </w:numPr>
        <w:ind w:firstLineChars="0"/>
      </w:pPr>
      <w:r>
        <w:rPr>
          <w:rFonts w:hint="eastAsia"/>
        </w:rPr>
        <w:t>Allow only one of the variables to vary</w:t>
      </w:r>
    </w:p>
    <w:p w:rsidR="00D466BE" w:rsidRDefault="00D466BE" w:rsidP="004C11F1">
      <w:pPr>
        <w:pStyle w:val="ListParagraph"/>
        <w:numPr>
          <w:ilvl w:val="0"/>
          <w:numId w:val="18"/>
        </w:numPr>
        <w:ind w:firstLineChars="0"/>
      </w:pPr>
      <w:r>
        <w:t>Build the rules of correlation into the simulation</w:t>
      </w:r>
    </w:p>
    <w:p w:rsidR="00D466BE" w:rsidRDefault="00D466BE" w:rsidP="004C11F1">
      <w:pPr>
        <w:pStyle w:val="ListParagraph"/>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ListParagraph"/>
        <w:numPr>
          <w:ilvl w:val="0"/>
          <w:numId w:val="19"/>
        </w:numPr>
        <w:ind w:firstLineChars="0"/>
      </w:pPr>
      <w:r>
        <w:rPr>
          <w:rFonts w:hint="eastAsia"/>
        </w:rPr>
        <w:t>Better input quality</w:t>
      </w:r>
    </w:p>
    <w:p w:rsidR="00D466BE" w:rsidRDefault="00D466BE" w:rsidP="004C11F1">
      <w:pPr>
        <w:pStyle w:val="ListParagraph"/>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ListParagraph"/>
        <w:numPr>
          <w:ilvl w:val="0"/>
          <w:numId w:val="20"/>
        </w:numPr>
        <w:ind w:firstLineChars="0"/>
      </w:pPr>
      <w:r>
        <w:rPr>
          <w:rFonts w:hint="eastAsia"/>
        </w:rPr>
        <w:t>Book value constraints</w:t>
      </w:r>
    </w:p>
    <w:p w:rsidR="00345794" w:rsidRDefault="00345794" w:rsidP="004C11F1">
      <w:pPr>
        <w:pStyle w:val="ListParagraph"/>
        <w:numPr>
          <w:ilvl w:val="1"/>
          <w:numId w:val="20"/>
        </w:numPr>
        <w:ind w:firstLineChars="0"/>
      </w:pPr>
      <w:r>
        <w:t>Regulatory capital requirements</w:t>
      </w:r>
    </w:p>
    <w:p w:rsidR="00345794" w:rsidRDefault="00345794" w:rsidP="004C11F1">
      <w:pPr>
        <w:pStyle w:val="ListParagraph"/>
        <w:numPr>
          <w:ilvl w:val="1"/>
          <w:numId w:val="20"/>
        </w:numPr>
        <w:ind w:firstLineChars="0"/>
      </w:pPr>
      <w:r>
        <w:t>Negative equity</w:t>
      </w:r>
    </w:p>
    <w:p w:rsidR="00345794" w:rsidRDefault="00345794" w:rsidP="004C11F1">
      <w:pPr>
        <w:pStyle w:val="ListParagraph"/>
        <w:numPr>
          <w:ilvl w:val="0"/>
          <w:numId w:val="20"/>
        </w:numPr>
        <w:ind w:firstLineChars="0"/>
      </w:pPr>
      <w:r>
        <w:rPr>
          <w:rFonts w:hint="eastAsia"/>
        </w:rPr>
        <w:t>Earnings and cash flow constraints</w:t>
      </w:r>
    </w:p>
    <w:p w:rsidR="00345794" w:rsidRDefault="00345794" w:rsidP="004C11F1">
      <w:pPr>
        <w:pStyle w:val="ListParagraph"/>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ListParagraph"/>
        <w:numPr>
          <w:ilvl w:val="0"/>
          <w:numId w:val="21"/>
        </w:numPr>
        <w:ind w:firstLineChars="0"/>
      </w:pPr>
      <w:r>
        <w:rPr>
          <w:rFonts w:hint="eastAsia"/>
        </w:rPr>
        <w:t>Input quality</w:t>
      </w:r>
    </w:p>
    <w:p w:rsidR="005A2628" w:rsidRDefault="005A2628" w:rsidP="004C11F1">
      <w:pPr>
        <w:pStyle w:val="ListParagraph"/>
        <w:numPr>
          <w:ilvl w:val="0"/>
          <w:numId w:val="21"/>
        </w:numPr>
        <w:ind w:firstLineChars="0"/>
      </w:pPr>
      <w:r>
        <w:t>Inappropriate statistical distributions</w:t>
      </w:r>
    </w:p>
    <w:p w:rsidR="005A2628" w:rsidRDefault="005A2628" w:rsidP="004C11F1">
      <w:pPr>
        <w:pStyle w:val="ListParagraph"/>
        <w:numPr>
          <w:ilvl w:val="0"/>
          <w:numId w:val="21"/>
        </w:numPr>
        <w:ind w:firstLineChars="0"/>
      </w:pPr>
      <w:r>
        <w:t>Non-stationary distributions (distributions may change over time).</w:t>
      </w:r>
    </w:p>
    <w:p w:rsidR="00596200" w:rsidRDefault="00596200" w:rsidP="004C11F1">
      <w:pPr>
        <w:pStyle w:val="ListParagraph"/>
        <w:numPr>
          <w:ilvl w:val="0"/>
          <w:numId w:val="21"/>
        </w:numPr>
        <w:ind w:firstLineChars="0"/>
      </w:pPr>
      <w:r>
        <w:t>Dynamic correlations</w:t>
      </w:r>
    </w:p>
    <w:p w:rsidR="00596200" w:rsidRDefault="00596200" w:rsidP="00596200">
      <w:r>
        <w:rPr>
          <w:rFonts w:hint="eastAsia"/>
        </w:rPr>
        <w:t>Risk-Adjusted Value</w:t>
      </w:r>
    </w:p>
    <w:p w:rsidR="00596200" w:rsidRDefault="00596200" w:rsidP="00596200">
      <w:r>
        <w:t xml:space="preserve">If we have already incorporated the risk of the asset in the discount rate, care should be taken to </w:t>
      </w:r>
      <w:r>
        <w:lastRenderedPageBreak/>
        <w:t>ensure that such risk is not double counted.</w:t>
      </w:r>
    </w:p>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AA4B45">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ListParagraph"/>
        <w:numPr>
          <w:ilvl w:val="0"/>
          <w:numId w:val="23"/>
        </w:numPr>
        <w:ind w:firstLineChars="0"/>
      </w:pPr>
      <w:r>
        <w:rPr>
          <w:rFonts w:hint="eastAsia"/>
        </w:rPr>
        <w:t>The spread in the in</w:t>
      </w:r>
      <w:r>
        <w:t>terbank market for the same currency pair.</w:t>
      </w:r>
    </w:p>
    <w:p w:rsidR="007334D9" w:rsidRDefault="007334D9" w:rsidP="004C11F1">
      <w:pPr>
        <w:pStyle w:val="ListParagraph"/>
        <w:numPr>
          <w:ilvl w:val="0"/>
          <w:numId w:val="23"/>
        </w:numPr>
        <w:ind w:firstLineChars="0"/>
      </w:pPr>
      <w:r>
        <w:t>The size of the transaction.</w:t>
      </w:r>
    </w:p>
    <w:p w:rsidR="007334D9" w:rsidRDefault="007334D9" w:rsidP="004C11F1">
      <w:pPr>
        <w:pStyle w:val="ListParagraph"/>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ListParagraph"/>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ListParagraph"/>
        <w:numPr>
          <w:ilvl w:val="0"/>
          <w:numId w:val="24"/>
        </w:numPr>
        <w:ind w:firstLineChars="0"/>
      </w:pPr>
      <w:r>
        <w:t>Time of day.</w:t>
      </w:r>
    </w:p>
    <w:p w:rsidR="0071713E" w:rsidRDefault="0071713E" w:rsidP="004C11F1">
      <w:pPr>
        <w:pStyle w:val="ListParagraph"/>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w:t>
      </w:r>
      <w:r w:rsidR="00503409">
        <w:t>y</w:t>
      </w:r>
      <w:r>
        <w:t xml:space="preserve">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r w:rsidRPr="004C301A">
        <w:rPr>
          <w:rFonts w:hint="eastAsia"/>
          <w:vertAlign w:val="subscript"/>
        </w:rPr>
        <w:t>bid</w:t>
      </w:r>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r w:rsidRPr="004C301A">
        <w:rPr>
          <w:vertAlign w:val="subscript"/>
        </w:rPr>
        <w:t>offer</w:t>
      </w:r>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r w:rsidRPr="004C301A">
        <w:rPr>
          <w:vertAlign w:val="subscript"/>
        </w:rPr>
        <w:t>bid</w:t>
      </w:r>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ListParagraph"/>
        <w:numPr>
          <w:ilvl w:val="0"/>
          <w:numId w:val="26"/>
        </w:numPr>
        <w:ind w:firstLineChars="0"/>
      </w:pPr>
      <w:r>
        <w:rPr>
          <w:rFonts w:hint="eastAsia"/>
        </w:rPr>
        <w:t>Covered Interest Rate Parity</w:t>
      </w:r>
    </w:p>
    <w:p w:rsidR="002A2A9B" w:rsidRPr="002A2A9B" w:rsidRDefault="008B6B90"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When F/S * ( 1+ rb ) &gt; ( 1 + ra)</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ListParagraph"/>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r w:rsidR="00AA0F56">
        <w:t>E(%ΔS)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ListParagraph"/>
        <w:numPr>
          <w:ilvl w:val="0"/>
          <w:numId w:val="26"/>
        </w:numPr>
        <w:ind w:firstLineChars="0"/>
      </w:pPr>
      <w:r>
        <w:rPr>
          <w:rFonts w:hint="eastAsia"/>
        </w:rPr>
        <w:t>International Fisher Relation</w:t>
      </w:r>
    </w:p>
    <w:p w:rsidR="002F7EB9" w:rsidRDefault="002F7EB9" w:rsidP="002F7EB9">
      <w:r>
        <w:rPr>
          <w:rFonts w:hint="eastAsia"/>
        </w:rPr>
        <w:t>R</w:t>
      </w:r>
      <w:r w:rsidRPr="002F7EB9">
        <w:rPr>
          <w:rFonts w:hint="eastAsia"/>
          <w:vertAlign w:val="subscript"/>
        </w:rPr>
        <w:t>nominal</w:t>
      </w:r>
      <w:r>
        <w:rPr>
          <w:rFonts w:hint="eastAsia"/>
        </w:rPr>
        <w:t xml:space="preserve"> = R</w:t>
      </w:r>
      <w:r w:rsidRPr="002F7EB9">
        <w:rPr>
          <w:rFonts w:hint="eastAsia"/>
          <w:vertAlign w:val="subscript"/>
        </w:rPr>
        <w:t>real</w:t>
      </w:r>
      <w:r>
        <w:rPr>
          <w:rFonts w:hint="eastAsia"/>
        </w:rPr>
        <w:t xml:space="preserve"> + E(inflation)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r>
        <w:t>R</w:t>
      </w:r>
      <w:r w:rsidRPr="002F7EB9">
        <w:rPr>
          <w:vertAlign w:val="subscript"/>
        </w:rPr>
        <w:t>nominalA</w:t>
      </w:r>
      <w:r>
        <w:t xml:space="preserve"> – R</w:t>
      </w:r>
      <w:r w:rsidRPr="002F7EB9">
        <w:rPr>
          <w:vertAlign w:val="subscript"/>
        </w:rPr>
        <w:t>nominalB</w:t>
      </w:r>
      <w:r>
        <w:t xml:space="preserve"> = E(inflation</w:t>
      </w:r>
      <w:r w:rsidRPr="002F7EB9">
        <w:rPr>
          <w:vertAlign w:val="subscript"/>
        </w:rPr>
        <w:t>A</w:t>
      </w:r>
      <w:r>
        <w:t>) – E(inflation</w:t>
      </w:r>
      <w:r w:rsidRPr="002F7EB9">
        <w:rPr>
          <w:vertAlign w:val="subscript"/>
        </w:rPr>
        <w:t>B</w:t>
      </w:r>
      <w:r>
        <w:t>)</w:t>
      </w:r>
    </w:p>
    <w:p w:rsidR="002F7EB9" w:rsidRDefault="002F7EB9" w:rsidP="002F7EB9"/>
    <w:p w:rsidR="002F7EB9" w:rsidRDefault="002F7EB9" w:rsidP="004C11F1">
      <w:pPr>
        <w:pStyle w:val="ListParagraph"/>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Inflation</w:t>
      </w:r>
      <w:r w:rsidRPr="00360F07">
        <w:rPr>
          <w:vertAlign w:val="subscript"/>
        </w:rPr>
        <w:t>A</w:t>
      </w:r>
      <w:r>
        <w:t xml:space="preserve"> - Inflation</w:t>
      </w:r>
      <w:r w:rsidRPr="00360F07">
        <w:rPr>
          <w:vertAlign w:val="subscript"/>
        </w:rPr>
        <w:t>B</w:t>
      </w:r>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ListParagraph"/>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ListParagraph"/>
        <w:numPr>
          <w:ilvl w:val="0"/>
          <w:numId w:val="26"/>
        </w:numPr>
        <w:ind w:firstLineChars="0"/>
      </w:pPr>
      <w:r>
        <w:t>Interest rate differentials should mirror inflation differentials (international Fisher relation)</w:t>
      </w:r>
    </w:p>
    <w:p w:rsidR="00D830A7" w:rsidRDefault="00D830A7" w:rsidP="004C11F1">
      <w:pPr>
        <w:pStyle w:val="ListParagraph"/>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Real Exchange Rate = St[CPI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%Real(A/B)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r>
        <w:rPr>
          <w:rFonts w:hint="eastAsia"/>
        </w:rPr>
        <w:t xml:space="preserve">current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ListParagraph"/>
        <w:numPr>
          <w:ilvl w:val="0"/>
          <w:numId w:val="27"/>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ListParagraph"/>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ListParagraph"/>
        <w:numPr>
          <w:ilvl w:val="0"/>
          <w:numId w:val="28"/>
        </w:numPr>
        <w:ind w:firstLineChars="0"/>
      </w:pPr>
      <w:r>
        <w:t>Portfolio composition mechanism.</w:t>
      </w:r>
    </w:p>
    <w:p w:rsidR="000501D7" w:rsidRDefault="000501D7" w:rsidP="004C11F1">
      <w:pPr>
        <w:pStyle w:val="ListParagraph"/>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ListParagraph"/>
        <w:numPr>
          <w:ilvl w:val="0"/>
          <w:numId w:val="27"/>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r>
        <w:t>real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(real interest rate</w:t>
      </w:r>
      <w:r w:rsidRPr="00D652BC">
        <w:rPr>
          <w:vertAlign w:val="subscript"/>
        </w:rPr>
        <w:t>B</w:t>
      </w:r>
      <w:r>
        <w:t xml:space="preserve"> - real interest rate</w:t>
      </w:r>
      <w:r w:rsidRPr="00D652BC">
        <w:rPr>
          <w:vertAlign w:val="subscript"/>
        </w:rPr>
        <w:t>A</w:t>
      </w:r>
      <w:r>
        <w:t>)</w:t>
      </w:r>
    </w:p>
    <w:p w:rsidR="00D652BC" w:rsidRDefault="00C06711" w:rsidP="00C20CDC">
      <w:pPr>
        <w:pStyle w:val="ListParagraph"/>
        <w:ind w:left="360" w:firstLineChars="0" w:firstLine="0"/>
      </w:pPr>
      <w:r>
        <w:tab/>
      </w:r>
      <w:r>
        <w:tab/>
      </w:r>
      <w:r>
        <w:tab/>
      </w:r>
      <w:r>
        <w:tab/>
      </w:r>
      <w:r>
        <w:tab/>
        <w:t xml:space="preserve"> </w:t>
      </w:r>
      <w:r w:rsidR="00D652BC">
        <w:t>- (risk premium</w:t>
      </w:r>
      <w:r w:rsidR="00D652BC" w:rsidRPr="00D652BC">
        <w:rPr>
          <w:vertAlign w:val="subscript"/>
        </w:rPr>
        <w:t>B</w:t>
      </w:r>
      <w:r w:rsidR="00D652BC">
        <w:t xml:space="preserve"> – risk premium</w:t>
      </w:r>
      <w:r w:rsidR="00D652BC" w:rsidRPr="00D652BC">
        <w:rPr>
          <w:vertAlign w:val="subscript"/>
        </w:rPr>
        <w:t>A</w:t>
      </w:r>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R = r</w:t>
      </w:r>
      <w:r w:rsidRPr="00C06711">
        <w:rPr>
          <w:vertAlign w:val="subscript"/>
        </w:rPr>
        <w:t>n</w:t>
      </w:r>
      <w:r>
        <w:t xml:space="preserve"> + π + α(π –π*) + β(y-y*)</w:t>
      </w:r>
    </w:p>
    <w:p w:rsidR="00C06711" w:rsidRDefault="00C06711" w:rsidP="001202CD">
      <w:r>
        <w:t>R</w:t>
      </w:r>
      <w:r>
        <w:tab/>
        <w:t>= Central bank policy rate implied by the Taylor rule</w:t>
      </w:r>
    </w:p>
    <w:p w:rsidR="00C06711" w:rsidRDefault="00C06711" w:rsidP="001202CD">
      <w:r>
        <w:t>r</w:t>
      </w:r>
      <w:r w:rsidRPr="00C06711">
        <w:rPr>
          <w:vertAlign w:val="subscript"/>
        </w:rPr>
        <w:t>n</w:t>
      </w:r>
      <w:r>
        <w:tab/>
        <w:t>= Neutral real policy interest rate</w:t>
      </w:r>
    </w:p>
    <w:p w:rsidR="00C06711" w:rsidRDefault="00C06711" w:rsidP="001202CD">
      <w:r>
        <w:lastRenderedPageBreak/>
        <w:t>π</w:t>
      </w:r>
      <w:r>
        <w:tab/>
        <w:t>= current inflation rate</w:t>
      </w:r>
    </w:p>
    <w:p w:rsidR="00C06711" w:rsidRDefault="00C06711" w:rsidP="001202CD">
      <w:r>
        <w:t>π*</w:t>
      </w:r>
      <w:r>
        <w:tab/>
        <w:t>= Central bank’s target inflation rate</w:t>
      </w:r>
    </w:p>
    <w:p w:rsidR="00C06711" w:rsidRDefault="00C06711" w:rsidP="001202CD">
      <w:r>
        <w:t>y</w:t>
      </w:r>
      <w:r>
        <w:tab/>
        <w:t>= log of current level of output</w:t>
      </w:r>
    </w:p>
    <w:p w:rsidR="00C06711" w:rsidRDefault="00C06711" w:rsidP="001202CD">
      <w:r>
        <w:t>y*</w:t>
      </w:r>
      <w:r>
        <w:tab/>
        <w:t>= log of central bank’s target output</w:t>
      </w:r>
    </w:p>
    <w:p w:rsidR="00C06711" w:rsidRDefault="00C06711" w:rsidP="001202CD">
      <w:r>
        <w:t>α,</w:t>
      </w:r>
      <w:r w:rsidRPr="00C06711">
        <w:t xml:space="preserve"> </w:t>
      </w:r>
      <w:r>
        <w:t>β</w:t>
      </w:r>
      <w:r>
        <w:tab/>
        <w:t>= policy response coefficients</w:t>
      </w:r>
    </w:p>
    <w:p w:rsidR="008B31CD" w:rsidRDefault="008B31CD" w:rsidP="001202CD">
      <w:r>
        <w:t>Real interest rate = r = R –</w:t>
      </w:r>
      <w:r w:rsidR="00922D7A">
        <w:t xml:space="preserve"> </w:t>
      </w:r>
      <w:r>
        <w:t>π = r</w:t>
      </w:r>
      <w:r w:rsidRPr="00C06711">
        <w:rPr>
          <w:vertAlign w:val="subscript"/>
        </w:rPr>
        <w:t>n</w:t>
      </w:r>
      <w:r>
        <w:t xml:space="preserve"> + α(π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α[Difference in inflation gap(B-A)] +</w:t>
      </w:r>
    </w:p>
    <w:p w:rsidR="0012721B" w:rsidRDefault="0012721B" w:rsidP="001202CD">
      <w:r>
        <w:tab/>
      </w:r>
      <w:r>
        <w:tab/>
      </w:r>
      <w:r>
        <w:tab/>
      </w:r>
      <w:r>
        <w:tab/>
      </w:r>
      <w:r>
        <w:tab/>
        <w:t xml:space="preserve">  β[Difference in output gap(B-A)] –</w:t>
      </w:r>
    </w:p>
    <w:p w:rsidR="0012721B" w:rsidRDefault="0012721B" w:rsidP="001202CD">
      <w:r>
        <w:tab/>
      </w:r>
      <w:r>
        <w:tab/>
      </w:r>
      <w:r>
        <w:tab/>
      </w:r>
      <w:r>
        <w:tab/>
      </w:r>
      <w:r>
        <w:tab/>
        <w:t xml:space="preserve">  (risk premium</w:t>
      </w:r>
      <w:r w:rsidRPr="00D652BC">
        <w:rPr>
          <w:vertAlign w:val="subscript"/>
        </w:rPr>
        <w:t>B</w:t>
      </w:r>
      <w:r>
        <w:t xml:space="preserve"> – risk premium</w:t>
      </w:r>
      <w:r w:rsidRPr="00D652BC">
        <w:rPr>
          <w:vertAlign w:val="subscript"/>
        </w:rPr>
        <w:t>A</w:t>
      </w:r>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9A1436" w:rsidP="004C11F1">
      <w:pPr>
        <w:pStyle w:val="ListParagraph"/>
        <w:numPr>
          <w:ilvl w:val="0"/>
          <w:numId w:val="29"/>
        </w:numPr>
        <w:ind w:firstLineChars="0"/>
      </w:pPr>
      <w:r>
        <w:rPr>
          <w:rFonts w:hint="eastAsia"/>
        </w:rPr>
        <w:t>Macroeconomic balance approach estimates how much exchange rates need to adjust in order to close the gap between the medium-term expectation for a country</w:t>
      </w:r>
      <w:r>
        <w:t>’s current account imbalance and that country’s normal current account imbalance.</w:t>
      </w:r>
    </w:p>
    <w:p w:rsidR="00C47E3F" w:rsidRDefault="00C47E3F" w:rsidP="004C11F1">
      <w:pPr>
        <w:pStyle w:val="ListParagraph"/>
        <w:numPr>
          <w:ilvl w:val="0"/>
          <w:numId w:val="29"/>
        </w:numPr>
        <w:ind w:firstLineChars="0"/>
      </w:pPr>
      <w:r>
        <w:t>E</w:t>
      </w:r>
      <w:r w:rsidR="0082560F">
        <w:t>xternal sustainability approach focuses on stocks of outstanding assets or debt rather than on current account flows. It calculates how much exchange rates would need to adjust to ensure that a country’s net foreign-asset/GDP ratio or foreign-liability/GDP ratio stabilizes at some benchmark level.</w:t>
      </w:r>
    </w:p>
    <w:p w:rsidR="00C47E3F" w:rsidRDefault="00C47E3F" w:rsidP="004C11F1">
      <w:pPr>
        <w:pStyle w:val="ListParagraph"/>
        <w:numPr>
          <w:ilvl w:val="0"/>
          <w:numId w:val="29"/>
        </w:numPr>
        <w:ind w:firstLineChars="0"/>
      </w:pPr>
      <w:r>
        <w:t>Reduced-</w:t>
      </w:r>
      <w:r w:rsidR="0082560F">
        <w:t xml:space="preserve">form econometric model approach seeks to estimate the equilibrium path that a currency should take on the basis of the trends in several macroeconomic </w:t>
      </w:r>
      <w:r w:rsidR="00C06A60">
        <w:t>variables</w:t>
      </w:r>
      <w:r w:rsidR="0082560F">
        <w:t>.</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ListParagraph"/>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ListParagraph"/>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 xml:space="preserve">-Fleming model evaluates the impact of monetary and fiscal policies on interest rates and </w:t>
      </w:r>
      <w:r w:rsidR="00BF13B4">
        <w:lastRenderedPageBreak/>
        <w:t>consequently on exchange rates.</w:t>
      </w:r>
    </w:p>
    <w:p w:rsidR="00BF13B4" w:rsidRDefault="00BF13B4" w:rsidP="00BF13B4"/>
    <w:p w:rsidR="00BF13B4" w:rsidRDefault="00BF13B4" w:rsidP="004C11F1">
      <w:pPr>
        <w:pStyle w:val="ListParagraph"/>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ListParagraph"/>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t>Expansionary fiscal policy will increase government borrowing and increase interest rates and appreciate domestic currency.</w:t>
      </w:r>
    </w:p>
    <w:p w:rsidR="00BF13B4" w:rsidRDefault="00BF13B4" w:rsidP="004C11F1">
      <w:pPr>
        <w:pStyle w:val="ListParagraph"/>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ListParagraph"/>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ListParagraph"/>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4C11F1">
      <w:pPr>
        <w:pStyle w:val="ListParagraph"/>
        <w:numPr>
          <w:ilvl w:val="0"/>
          <w:numId w:val="32"/>
        </w:numPr>
        <w:ind w:firstLineChars="0"/>
      </w:pPr>
      <w:r>
        <w:t>Dornbusch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7E73E0" w:rsidRDefault="007E73E0" w:rsidP="00F44526"/>
    <w:p w:rsidR="007E73E0" w:rsidRDefault="007E73E0" w:rsidP="007E73E0">
      <w:pPr>
        <w:pStyle w:val="Level3"/>
        <w:spacing w:after="156"/>
      </w:pPr>
      <w:r>
        <w:t>Describe objectives of central bank intervention and capital controls and describe the effectiveness of intervention and capital controls.</w:t>
      </w:r>
    </w:p>
    <w:p w:rsidR="00906CE5" w:rsidRDefault="007E73E0" w:rsidP="007E73E0">
      <w:pPr>
        <w:pStyle w:val="ListParagraph"/>
        <w:numPr>
          <w:ilvl w:val="0"/>
          <w:numId w:val="30"/>
        </w:numPr>
        <w:ind w:firstLineChars="0"/>
      </w:pPr>
      <w:r>
        <w:rPr>
          <w:rFonts w:hint="eastAsia"/>
        </w:rPr>
        <w:t>I</w:t>
      </w:r>
      <w:r>
        <w:t>f there is no inflation threat, the authorities could engage in unsterilized intervention, which would expand the monetary base and encourage short-term interest rates to move lower.</w:t>
      </w:r>
    </w:p>
    <w:p w:rsidR="007E73E0" w:rsidRDefault="00D326D6" w:rsidP="009F7214">
      <w:pPr>
        <w:pStyle w:val="ListParagraph"/>
        <w:numPr>
          <w:ilvl w:val="0"/>
          <w:numId w:val="30"/>
        </w:numPr>
        <w:ind w:firstLineChars="0"/>
      </w:pPr>
      <w:r>
        <w:t>Otherwise, in a sterilized intervention operation, the authorities would sell domestic securities to the private sector to mop up any excess liquidity. The result is that the monetary base and the level of short-term rates would not be altered.</w:t>
      </w:r>
    </w:p>
    <w:p w:rsidR="00906CE5" w:rsidRDefault="00906CE5" w:rsidP="00906CE5">
      <w:pPr>
        <w:pStyle w:val="Level2"/>
      </w:pPr>
      <w:r>
        <w:rPr>
          <w:rFonts w:hint="eastAsia"/>
        </w:rPr>
        <w:lastRenderedPageBreak/>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ListParagraph"/>
        <w:numPr>
          <w:ilvl w:val="0"/>
          <w:numId w:val="34"/>
        </w:numPr>
        <w:ind w:firstLineChars="0"/>
      </w:pPr>
      <w:r>
        <w:rPr>
          <w:rFonts w:hint="eastAsia"/>
        </w:rPr>
        <w:t>Savings and investment is positively correlated with economic development.</w:t>
      </w:r>
    </w:p>
    <w:p w:rsidR="00906CE5" w:rsidRDefault="00906CE5" w:rsidP="004C11F1">
      <w:pPr>
        <w:pStyle w:val="ListParagraph"/>
        <w:numPr>
          <w:ilvl w:val="0"/>
          <w:numId w:val="34"/>
        </w:numPr>
        <w:ind w:firstLineChars="0"/>
      </w:pPr>
      <w:r>
        <w:t>Financial markets and intermediaries augment economic growth by efficiently allocating resources.</w:t>
      </w:r>
    </w:p>
    <w:p w:rsidR="00906CE5" w:rsidRDefault="00906CE5" w:rsidP="004C11F1">
      <w:pPr>
        <w:pStyle w:val="ListParagraph"/>
        <w:numPr>
          <w:ilvl w:val="0"/>
          <w:numId w:val="34"/>
        </w:numPr>
        <w:ind w:firstLineChars="0"/>
      </w:pPr>
      <w:r>
        <w:t>The political stability, rule of law and property rights environment of a country.</w:t>
      </w:r>
    </w:p>
    <w:p w:rsidR="00906CE5" w:rsidRDefault="00906CE5" w:rsidP="004C11F1">
      <w:pPr>
        <w:pStyle w:val="ListParagraph"/>
        <w:numPr>
          <w:ilvl w:val="0"/>
          <w:numId w:val="34"/>
        </w:numPr>
        <w:ind w:firstLineChars="0"/>
      </w:pPr>
      <w:r>
        <w:t>Investment in human capital.</w:t>
      </w:r>
    </w:p>
    <w:p w:rsidR="00906CE5" w:rsidRDefault="00906CE5" w:rsidP="004C11F1">
      <w:pPr>
        <w:pStyle w:val="ListParagraph"/>
        <w:numPr>
          <w:ilvl w:val="0"/>
          <w:numId w:val="34"/>
        </w:numPr>
        <w:ind w:firstLineChars="0"/>
      </w:pPr>
      <w:r>
        <w:t>Tax and regulatory systems need to be favorable for economies to develop.</w:t>
      </w:r>
    </w:p>
    <w:p w:rsidR="00906CE5" w:rsidRDefault="00906CE5" w:rsidP="004C11F1">
      <w:pPr>
        <w:pStyle w:val="ListParagraph"/>
        <w:numPr>
          <w:ilvl w:val="0"/>
          <w:numId w:val="34"/>
        </w:numPr>
        <w:ind w:firstLineChars="0"/>
      </w:pPr>
      <w:r>
        <w:t>Free trade and unrestricted capital flows are also positively related to economic growth.</w:t>
      </w:r>
    </w:p>
    <w:p w:rsidR="001240D4" w:rsidRDefault="001240D4"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ListParagraph"/>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ListParagraph"/>
        <w:numPr>
          <w:ilvl w:val="0"/>
          <w:numId w:val="30"/>
        </w:numPr>
        <w:ind w:firstLineChars="0"/>
      </w:pPr>
      <w:r>
        <w:t>Higher potential GDP growth rate reduces expected credit risk.</w:t>
      </w:r>
    </w:p>
    <w:p w:rsidR="0017194D" w:rsidRDefault="0017194D" w:rsidP="0017194D">
      <w:pPr>
        <w:pStyle w:val="ListParagraph"/>
        <w:ind w:left="420" w:firstLineChars="0" w:firstLine="0"/>
      </w:pP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E619B8" w:rsidRDefault="00E619B8" w:rsidP="007924CA"/>
    <w:p w:rsidR="00E619B8" w:rsidRDefault="00E619B8" w:rsidP="007924CA">
      <w:r w:rsidRPr="0048527A">
        <w:rPr>
          <w:rFonts w:hint="eastAsia"/>
          <w:b/>
        </w:rPr>
        <w:t>Constant returns to scale</w:t>
      </w:r>
      <w:r>
        <w:rPr>
          <w:rFonts w:hint="eastAsia"/>
        </w:rPr>
        <w:t>: if we increase all inputs (K</w:t>
      </w:r>
      <w:r w:rsidR="004B0B7C">
        <w:t>, L</w:t>
      </w:r>
      <w:r>
        <w:rPr>
          <w:rFonts w:hint="eastAsia"/>
        </w:rPr>
        <w:t xml:space="preserve">) by the same percentage, then output rises by that </w:t>
      </w:r>
      <w:r w:rsidR="008A3382">
        <w:t>percentage</w:t>
      </w:r>
      <w:r>
        <w:rPr>
          <w:rFonts w:hint="eastAsia"/>
        </w:rPr>
        <w:t>.</w:t>
      </w:r>
    </w:p>
    <w:p w:rsidR="00E619B8" w:rsidRDefault="00E619B8" w:rsidP="007924CA"/>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2E23FB" w:rsidP="007924CA">
      <w:r>
        <w:t xml:space="preserve">When </w:t>
      </w:r>
      <w:r w:rsidR="00924531">
        <w:t>marginal productivity of capital &gt; 0, MPK &gt; r</w:t>
      </w:r>
    </w:p>
    <w:p w:rsidR="00924531" w:rsidRDefault="00924531" w:rsidP="007924CA">
      <w:pPr>
        <w:rPr>
          <w:sz w:val="28"/>
          <w:szCs w:val="28"/>
        </w:rPr>
      </w:pPr>
      <w:r>
        <w:lastRenderedPageBreak/>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A81E74" w:rsidRDefault="00A81E74" w:rsidP="007924CA">
      <w:r w:rsidRPr="00A81E74">
        <w:t xml:space="preserve">Growth in </w:t>
      </w:r>
      <w:r w:rsidRPr="00A81E74">
        <w:rPr>
          <w:rFonts w:hint="eastAsia"/>
        </w:rPr>
        <w:t xml:space="preserve">TFP = growth in labor productivity </w:t>
      </w:r>
      <w:r w:rsidRPr="00A81E74">
        <w:t>–</w:t>
      </w:r>
      <w:r w:rsidRPr="00A81E74">
        <w:rPr>
          <w:rFonts w:hint="eastAsia"/>
        </w:rPr>
        <w:t xml:space="preserve"> growth </w:t>
      </w:r>
      <w:r w:rsidRPr="00A81E74">
        <w:t>in capital deepening</w:t>
      </w:r>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945101" w:rsidRPr="00945101">
        <w:t xml:space="preserve">Solow’s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r>
        <w:rPr>
          <w:rFonts w:hint="eastAsia"/>
        </w:rPr>
        <w:t xml:space="preserve">growth </w:t>
      </w:r>
      <w:r>
        <w:t xml:space="preserve">rate in potential GDP = long-term growth rate of labor force + </w:t>
      </w:r>
    </w:p>
    <w:p w:rsidR="000164D1" w:rsidRDefault="000164D1" w:rsidP="000164D1">
      <w:pPr>
        <w:ind w:left="2100" w:firstLineChars="250" w:firstLine="525"/>
      </w:pPr>
      <w:r>
        <w:t>long-term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The ‘Dutch disease’ refers to a situation where global demand for a country’s natural resources 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ListParagraph"/>
        <w:numPr>
          <w:ilvl w:val="0"/>
          <w:numId w:val="35"/>
        </w:numPr>
        <w:ind w:firstLineChars="0"/>
      </w:pPr>
      <w:r>
        <w:t>Demographics.</w:t>
      </w:r>
    </w:p>
    <w:p w:rsidR="00640D54" w:rsidRDefault="00640D54" w:rsidP="004C11F1">
      <w:pPr>
        <w:pStyle w:val="ListParagraph"/>
        <w:numPr>
          <w:ilvl w:val="0"/>
          <w:numId w:val="35"/>
        </w:numPr>
        <w:ind w:firstLineChars="0"/>
      </w:pPr>
      <w:r>
        <w:rPr>
          <w:rFonts w:hint="eastAsia"/>
        </w:rPr>
        <w:t>Labor force participation</w:t>
      </w:r>
    </w:p>
    <w:p w:rsidR="00640D54" w:rsidRDefault="00640D54" w:rsidP="004C11F1">
      <w:pPr>
        <w:pStyle w:val="ListParagraph"/>
        <w:numPr>
          <w:ilvl w:val="0"/>
          <w:numId w:val="35"/>
        </w:numPr>
        <w:ind w:firstLineChars="0"/>
      </w:pPr>
      <w:r>
        <w:t>Immigration</w:t>
      </w:r>
    </w:p>
    <w:p w:rsidR="00640D54" w:rsidRDefault="00B92DC7" w:rsidP="004C11F1">
      <w:pPr>
        <w:pStyle w:val="ListParagraph"/>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ListParagraph"/>
        <w:numPr>
          <w:ilvl w:val="0"/>
          <w:numId w:val="36"/>
        </w:numPr>
        <w:ind w:firstLineChars="0"/>
      </w:pPr>
      <w:r>
        <w:rPr>
          <w:rFonts w:hint="eastAsia"/>
        </w:rPr>
        <w:t>Human capital: knowledge and skills individuals possess.</w:t>
      </w:r>
    </w:p>
    <w:p w:rsidR="00B92DC7" w:rsidRDefault="00B92DC7" w:rsidP="004C11F1">
      <w:pPr>
        <w:pStyle w:val="ListParagraph"/>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ListParagraph"/>
        <w:numPr>
          <w:ilvl w:val="0"/>
          <w:numId w:val="36"/>
        </w:numPr>
        <w:ind w:firstLineChars="0"/>
      </w:pPr>
      <w:r>
        <w:t>Technological development</w:t>
      </w:r>
    </w:p>
    <w:p w:rsidR="00B92DC7" w:rsidRDefault="00B92DC7" w:rsidP="004C11F1">
      <w:pPr>
        <w:pStyle w:val="ListParagraph"/>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ListParagraph"/>
        <w:numPr>
          <w:ilvl w:val="0"/>
          <w:numId w:val="37"/>
        </w:numPr>
        <w:ind w:firstLineChars="0"/>
      </w:pPr>
      <w:r>
        <w:rPr>
          <w:rFonts w:hint="eastAsia"/>
        </w:rPr>
        <w:t>Classical Growth theory</w:t>
      </w:r>
    </w:p>
    <w:p w:rsidR="00B92DC7" w:rsidRDefault="00B92DC7" w:rsidP="00B92DC7">
      <w:pPr>
        <w:pStyle w:val="ListParagraph"/>
        <w:ind w:left="420" w:firstLineChars="0" w:firstLine="0"/>
      </w:pPr>
      <w:r>
        <w:t xml:space="preserve">Population growth increases when there’re increases in per capita income above subsistence level (the minimum income needed to maintain life). When real GDP per capita rises above </w:t>
      </w:r>
      <w:r>
        <w:lastRenderedPageBreak/>
        <w:t>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ListParagraph"/>
        <w:numPr>
          <w:ilvl w:val="0"/>
          <w:numId w:val="37"/>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rFonts w:hint="eastAsia"/>
          <w:b/>
        </w:rPr>
        <w:t>Sustainable growth of output per capita:</w:t>
      </w:r>
    </w:p>
    <w:p w:rsidR="004E4174" w:rsidRDefault="004E4174" w:rsidP="004E4174">
      <w:pPr>
        <w:pStyle w:val="ListParagraph"/>
        <w:ind w:left="420" w:firstLineChars="0" w:firstLine="0"/>
      </w:pPr>
      <w:r>
        <w:t>g* = θ / (1 – α)</w:t>
      </w:r>
      <w:r>
        <w:tab/>
      </w:r>
      <w:r>
        <w:tab/>
        <w:t>θ: growth rate in technology</w:t>
      </w:r>
    </w:p>
    <w:p w:rsidR="004E4174" w:rsidRDefault="00D23806" w:rsidP="004E4174">
      <w:pPr>
        <w:pStyle w:val="ListParagraph"/>
        <w:ind w:left="420" w:firstLineChars="0" w:firstLine="0"/>
      </w:pPr>
      <w:r>
        <w:rPr>
          <w:rFonts w:hint="eastAsia"/>
        </w:rPr>
        <w:t xml:space="preserve">Assume </w:t>
      </w:r>
      <w:r>
        <w:t>Δy/y=Δk/k</w:t>
      </w:r>
      <w:r w:rsidR="003D56C0">
        <w:t>H</w:t>
      </w:r>
    </w:p>
    <w:p w:rsidR="003B6E62" w:rsidRDefault="003B6E62" w:rsidP="004E4174">
      <w:pPr>
        <w:pStyle w:val="ListParagraph"/>
        <w:ind w:left="420" w:firstLineChars="0" w:firstLine="0"/>
      </w:pPr>
    </w:p>
    <w:p w:rsidR="004E4174" w:rsidRPr="00CE4249" w:rsidRDefault="004E4174" w:rsidP="004E4174">
      <w:pPr>
        <w:pStyle w:val="ListParagraph"/>
        <w:ind w:left="420" w:firstLineChars="0" w:firstLine="0"/>
        <w:rPr>
          <w:b/>
        </w:rPr>
      </w:pPr>
      <w:r w:rsidRPr="00CE4249">
        <w:rPr>
          <w:b/>
        </w:rPr>
        <w:t>Sustainable growth of output</w:t>
      </w:r>
      <w:r w:rsidR="00B30454" w:rsidRPr="00CE4249">
        <w:rPr>
          <w:b/>
        </w:rPr>
        <w:t xml:space="preserve"> / Steady rate of growth</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4C11F1">
      <w:pPr>
        <w:pStyle w:val="ListParagraph"/>
        <w:numPr>
          <w:ilvl w:val="0"/>
          <w:numId w:val="38"/>
        </w:numPr>
        <w:ind w:firstLineChars="0"/>
      </w:pPr>
      <w:r>
        <w:t>Capital deepening affects the level of output but not the growth rate in the long run.</w:t>
      </w:r>
    </w:p>
    <w:p w:rsidR="004E4174" w:rsidRDefault="004E4174" w:rsidP="004C11F1">
      <w:pPr>
        <w:pStyle w:val="ListParagraph"/>
        <w:numPr>
          <w:ilvl w:val="0"/>
          <w:numId w:val="38"/>
        </w:numPr>
        <w:ind w:firstLineChars="0"/>
      </w:pPr>
      <w:r>
        <w:t>In the steady state, marginal product of capital is constant, but marginal productivity is diminishing.</w:t>
      </w:r>
    </w:p>
    <w:p w:rsidR="004E4174" w:rsidRDefault="004E4174" w:rsidP="004C11F1">
      <w:pPr>
        <w:pStyle w:val="ListParagraph"/>
        <w:numPr>
          <w:ilvl w:val="0"/>
          <w:numId w:val="38"/>
        </w:numPr>
        <w:ind w:firstLineChars="0"/>
      </w:pPr>
      <w:r>
        <w:t>Increase in savings will only temporarily raise economic growth.</w:t>
      </w:r>
    </w:p>
    <w:p w:rsidR="004E4174" w:rsidRDefault="004E4174" w:rsidP="004C11F1">
      <w:pPr>
        <w:pStyle w:val="ListParagraph"/>
        <w:numPr>
          <w:ilvl w:val="0"/>
          <w:numId w:val="38"/>
        </w:numPr>
        <w:ind w:firstLineChars="0"/>
      </w:pPr>
      <w:r>
        <w:t>Developing countries (lower capital to labor ratio) will be impacted less by diminishing marginal productivity of capital.</w:t>
      </w:r>
    </w:p>
    <w:p w:rsidR="004E4174" w:rsidRDefault="004E4174" w:rsidP="004E4174">
      <w:pPr>
        <w:ind w:left="420"/>
      </w:pPr>
    </w:p>
    <w:p w:rsidR="004E4174" w:rsidRDefault="004E4174" w:rsidP="004C11F1">
      <w:pPr>
        <w:pStyle w:val="ListParagraph"/>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C61F5" w:rsidRDefault="00F14226" w:rsidP="00F14226">
      <w:pPr>
        <w:rPr>
          <w:b/>
        </w:rPr>
      </w:pPr>
      <w:r w:rsidRPr="00FC61F5">
        <w:rPr>
          <w:rFonts w:hint="eastAsia"/>
          <w:b/>
        </w:rPr>
        <w:t xml:space="preserve">Under neoclassical </w:t>
      </w:r>
      <w:r w:rsidRPr="00FC61F5">
        <w:rPr>
          <w:b/>
        </w:rPr>
        <w:t>growth theory:</w:t>
      </w:r>
    </w:p>
    <w:p w:rsidR="00D465D0" w:rsidRDefault="00D465D0" w:rsidP="00D465D0">
      <w:r w:rsidRPr="00FC61F5">
        <w:rPr>
          <w:i/>
        </w:rPr>
        <w:t>Absolute convergence hypothesis</w:t>
      </w:r>
      <w:r>
        <w:t xml:space="preserve">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rsidRPr="00FC61F5">
        <w:rPr>
          <w:i/>
        </w:rPr>
        <w:t>Conditional convergence hypothesis</w:t>
      </w:r>
      <w:r>
        <w:t xml:space="preserve"> states that convergence in living standards will only occur for countries with the same saving rates, population growth rates and production functions.</w:t>
      </w:r>
    </w:p>
    <w:p w:rsidR="00F14226" w:rsidRDefault="00F14226" w:rsidP="00D465D0"/>
    <w:p w:rsidR="00D465D0" w:rsidRDefault="00D465D0" w:rsidP="00D465D0">
      <w:r w:rsidRPr="00FC61F5">
        <w:rPr>
          <w:i/>
        </w:rPr>
        <w:t>Under club convergence</w:t>
      </w:r>
      <w:r>
        <w:t>,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Pr="00FC61F5" w:rsidRDefault="00F14226" w:rsidP="00D465D0">
      <w:pPr>
        <w:rPr>
          <w:b/>
        </w:rPr>
      </w:pPr>
      <w:r w:rsidRPr="00FC61F5">
        <w:rPr>
          <w:b/>
        </w:rPr>
        <w:t>Under e</w:t>
      </w:r>
      <w:r w:rsidRPr="00FC61F5">
        <w:rPr>
          <w:rFonts w:hint="eastAsia"/>
          <w:b/>
        </w:rPr>
        <w:t>ndogenous</w:t>
      </w:r>
      <w:r w:rsidRPr="00FC61F5">
        <w:rPr>
          <w:b/>
        </w:rPr>
        <w:t xml:space="preserve"> growth theory:</w:t>
      </w:r>
    </w:p>
    <w:p w:rsidR="00F14226" w:rsidRDefault="00F14226" w:rsidP="00D465D0">
      <w:r>
        <w:t>It makes no prediction that convergence will occur.</w:t>
      </w:r>
    </w:p>
    <w:p w:rsidR="00CA474F" w:rsidRDefault="00CA474F" w:rsidP="00CA474F">
      <w:pPr>
        <w:pStyle w:val="Level2"/>
      </w:pPr>
      <w:r>
        <w:rPr>
          <w:rFonts w:hint="eastAsia"/>
        </w:rPr>
        <w:lastRenderedPageBreak/>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ListParagraph"/>
        <w:numPr>
          <w:ilvl w:val="0"/>
          <w:numId w:val="37"/>
        </w:numPr>
        <w:ind w:firstLineChars="0"/>
      </w:pPr>
      <w:r>
        <w:t>S</w:t>
      </w:r>
      <w:r>
        <w:rPr>
          <w:rFonts w:hint="eastAsia"/>
        </w:rPr>
        <w:t>tatutes</w:t>
      </w:r>
      <w:r>
        <w:t>: laws made by legislative bodies</w:t>
      </w:r>
    </w:p>
    <w:p w:rsidR="00CA474F" w:rsidRDefault="00CA474F" w:rsidP="004C11F1">
      <w:pPr>
        <w:pStyle w:val="ListParagraph"/>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ListParagraph"/>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03270"/>
                    </a:xfrm>
                    <a:prstGeom prst="rect">
                      <a:avLst/>
                    </a:prstGeom>
                  </pic:spPr>
                </pic:pic>
              </a:graphicData>
            </a:graphic>
          </wp:inline>
        </w:drawing>
      </w:r>
    </w:p>
    <w:p w:rsidR="00CA474F" w:rsidRDefault="00CA474F" w:rsidP="004C11F1">
      <w:pPr>
        <w:pStyle w:val="ListParagraph"/>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ListParagraph"/>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ListParagraph"/>
        <w:numPr>
          <w:ilvl w:val="0"/>
          <w:numId w:val="40"/>
        </w:numPr>
        <w:ind w:firstLineChars="0"/>
      </w:pPr>
      <w:r>
        <w:rPr>
          <w:rFonts w:hint="eastAsia"/>
        </w:rPr>
        <w:t>Information frictions occur when information is not equally available or distributed.</w:t>
      </w:r>
    </w:p>
    <w:p w:rsidR="003E459D" w:rsidRDefault="003E459D" w:rsidP="004C11F1">
      <w:pPr>
        <w:pStyle w:val="ListParagraph"/>
        <w:numPr>
          <w:ilvl w:val="0"/>
          <w:numId w:val="40"/>
        </w:numPr>
        <w:ind w:firstLineChars="0"/>
      </w:pPr>
      <w:r>
        <w:t>Externalities are costs or benefits that affect a party that did not choose to incur that cost or benefit.</w:t>
      </w:r>
    </w:p>
    <w:p w:rsidR="00BD39A6" w:rsidRDefault="00BD39A6" w:rsidP="00BD39A6">
      <w:pPr>
        <w:pStyle w:val="ListParagraph"/>
        <w:ind w:left="420" w:firstLineChars="0" w:firstLine="0"/>
      </w:pP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452C60" w:rsidRDefault="00452C60"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ListParagraph"/>
        <w:numPr>
          <w:ilvl w:val="0"/>
          <w:numId w:val="41"/>
        </w:numPr>
        <w:ind w:firstLineChars="0"/>
      </w:pPr>
      <w:r>
        <w:rPr>
          <w:rFonts w:hint="eastAsia"/>
        </w:rPr>
        <w:t>Price mechanisms</w:t>
      </w:r>
      <w:r>
        <w:t>, such as taxes and subsidies.</w:t>
      </w:r>
    </w:p>
    <w:p w:rsidR="00AF5F44" w:rsidRDefault="00AF5F44" w:rsidP="004C11F1">
      <w:pPr>
        <w:pStyle w:val="ListParagraph"/>
        <w:numPr>
          <w:ilvl w:val="0"/>
          <w:numId w:val="41"/>
        </w:numPr>
        <w:ind w:firstLineChars="0"/>
      </w:pPr>
      <w:r>
        <w:t>Restricting/requiring certain activities.</w:t>
      </w:r>
    </w:p>
    <w:p w:rsidR="00AF5F44" w:rsidRDefault="00AF5F44" w:rsidP="004C11F1">
      <w:pPr>
        <w:pStyle w:val="ListParagraph"/>
        <w:numPr>
          <w:ilvl w:val="0"/>
          <w:numId w:val="41"/>
        </w:numPr>
        <w:ind w:firstLineChars="0"/>
      </w:pPr>
      <w:r>
        <w:t>Provision of public goods or financing of private projects.</w:t>
      </w:r>
    </w:p>
    <w:p w:rsidR="002A6141" w:rsidRDefault="002A6141" w:rsidP="004C11F1">
      <w:pPr>
        <w:pStyle w:val="ListParagraph"/>
        <w:numPr>
          <w:ilvl w:val="0"/>
          <w:numId w:val="41"/>
        </w:numPr>
        <w:ind w:firstLineChars="0"/>
      </w:pPr>
      <w:r>
        <w:t>The “Coase Theorem” states that if an externality can be traded and there are no transaction costs, then the allocation of property rights will be efficient.</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AA4B45">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r w:rsidR="00D224F7">
              <w:rPr>
                <w:rFonts w:ascii="SimSun" w:eastAsia="SimSun" w:hAnsi="SimSun" w:cs="SimSun"/>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r>
      <w:r w:rsidR="006202E6">
        <w:t>(</w:t>
      </w:r>
      <w:r>
        <w:t>20X6 reserve – 20X5 reserve</w:t>
      </w:r>
      <w:r w:rsidR="006202E6">
        <w:t>)</w:t>
      </w:r>
      <w:r>
        <w:t xml:space="preserve"> * 30%</w:t>
      </w:r>
    </w:p>
    <w:p w:rsidR="00F014F5" w:rsidRDefault="00F014F5" w:rsidP="009F07A0"/>
    <w:p w:rsidR="00F014F5" w:rsidRDefault="00F014F5" w:rsidP="009F07A0">
      <w:r>
        <w:t>A LIFO liquidation occurs when a LIFO firm’s inventory quantities are declining.</w:t>
      </w:r>
      <w:r w:rsidR="005467FD" w:rsidRPr="005467FD">
        <w:t xml:space="preserve"> In this case the prices for goods that are being sold are no longer recent prices and can be many years out of date.  This would make COGS appear to be very low and gross and net profits to be artificially high.</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CC1FC6">
      <w:pPr>
        <w:pStyle w:val="ListParagraph"/>
        <w:numPr>
          <w:ilvl w:val="0"/>
          <w:numId w:val="45"/>
        </w:numPr>
        <w:ind w:firstLineChars="0"/>
      </w:pPr>
      <w:r>
        <w:rPr>
          <w:rFonts w:hint="eastAsia"/>
        </w:rPr>
        <w:t>Interest that was capitalized should be added to interest expense.</w:t>
      </w:r>
    </w:p>
    <w:p w:rsidR="00101A99" w:rsidRDefault="00101A99" w:rsidP="00CC1FC6">
      <w:pPr>
        <w:pStyle w:val="ListParagraph"/>
        <w:numPr>
          <w:ilvl w:val="0"/>
          <w:numId w:val="45"/>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CC1FC6">
      <w:pPr>
        <w:pStyle w:val="ListParagraph"/>
        <w:numPr>
          <w:ilvl w:val="0"/>
          <w:numId w:val="45"/>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CC1FC6">
      <w:pPr>
        <w:pStyle w:val="ListParagraph"/>
        <w:numPr>
          <w:ilvl w:val="0"/>
          <w:numId w:val="46"/>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CC1FC6">
      <w:pPr>
        <w:pStyle w:val="ListParagraph"/>
        <w:numPr>
          <w:ilvl w:val="0"/>
          <w:numId w:val="46"/>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CC1FC6">
      <w:pPr>
        <w:pStyle w:val="ListParagraph"/>
        <w:numPr>
          <w:ilvl w:val="0"/>
          <w:numId w:val="46"/>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Pr="008B5167" w:rsidRDefault="00EA3930" w:rsidP="00EA3930">
      <w:pPr>
        <w:rPr>
          <w:b/>
        </w:rPr>
      </w:pPr>
      <w:r w:rsidRPr="008B5167">
        <w:rPr>
          <w:b/>
        </w:rPr>
        <w:t>* Remember to exclude land value in the gross investment.</w:t>
      </w:r>
    </w:p>
    <w:p w:rsidR="00EA3930" w:rsidRDefault="00EA3930" w:rsidP="00EA3930"/>
    <w:p w:rsidR="00515653" w:rsidRDefault="00A75CA9" w:rsidP="00CC1FC6">
      <w:pPr>
        <w:pStyle w:val="Level3"/>
        <w:numPr>
          <w:ilvl w:val="2"/>
          <w:numId w:val="47"/>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w:t>
      </w:r>
      <w:r w:rsidR="006E2987">
        <w:t>n</w:t>
      </w:r>
      <w:r>
        <w:t xml:space="preserve">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CC1FC6">
      <w:pPr>
        <w:pStyle w:val="ListParagraph"/>
        <w:numPr>
          <w:ilvl w:val="0"/>
          <w:numId w:val="48"/>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TableGrid"/>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TableGrid"/>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CC1FC6">
      <w:pPr>
        <w:pStyle w:val="ListParagraph"/>
        <w:numPr>
          <w:ilvl w:val="0"/>
          <w:numId w:val="48"/>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CC1FC6">
      <w:pPr>
        <w:pStyle w:val="ListParagraph"/>
        <w:numPr>
          <w:ilvl w:val="0"/>
          <w:numId w:val="49"/>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CC1FC6">
      <w:pPr>
        <w:pStyle w:val="ListParagraph"/>
        <w:numPr>
          <w:ilvl w:val="0"/>
          <w:numId w:val="49"/>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CC1FC6">
      <w:pPr>
        <w:pStyle w:val="ListParagraph"/>
        <w:numPr>
          <w:ilvl w:val="0"/>
          <w:numId w:val="49"/>
        </w:numPr>
        <w:ind w:firstLineChars="0"/>
      </w:pPr>
      <w:r>
        <w:t>In the period, the proportionate share of investee’s dividends reduce investor’s ‘investment’ account.</w:t>
      </w:r>
    </w:p>
    <w:p w:rsidR="00B17D53" w:rsidRDefault="00B17D53" w:rsidP="00CC1FC6">
      <w:pPr>
        <w:pStyle w:val="ListParagraph"/>
        <w:numPr>
          <w:ilvl w:val="0"/>
          <w:numId w:val="49"/>
        </w:numPr>
        <w:ind w:firstLineChars="0"/>
      </w:pPr>
      <w:r>
        <w:t>If investment account is reduced to 0, equity method is not used until the loss is reversed.</w:t>
      </w:r>
    </w:p>
    <w:p w:rsidR="00600C54" w:rsidRDefault="00AA6F1F" w:rsidP="00CC1FC6">
      <w:pPr>
        <w:pStyle w:val="ListParagraph"/>
        <w:numPr>
          <w:ilvl w:val="0"/>
          <w:numId w:val="49"/>
        </w:numPr>
        <w:ind w:firstLineChars="0"/>
      </w:pPr>
      <w:r>
        <w:t xml:space="preserve">Both IFRS and </w:t>
      </w:r>
      <w:r w:rsidR="00B17D53">
        <w:t xml:space="preserve">US GAAP allows fair value option. </w:t>
      </w:r>
    </w:p>
    <w:p w:rsidR="00600C54" w:rsidRDefault="00600C54" w:rsidP="00600C54">
      <w:pPr>
        <w:pStyle w:val="ListParagraph"/>
        <w:ind w:left="360" w:firstLineChars="0" w:firstLine="0"/>
      </w:pPr>
      <w:r>
        <w:lastRenderedPageBreak/>
        <w:t>Under US GAAP, this option is available to all entities;</w:t>
      </w:r>
    </w:p>
    <w:p w:rsidR="00600C54" w:rsidRDefault="00600C54" w:rsidP="00600C54">
      <w:pPr>
        <w:pStyle w:val="ListParagraph"/>
        <w:ind w:left="360" w:firstLineChars="0" w:firstLine="0"/>
      </w:pPr>
      <w:r>
        <w:t>Under IFRS, its use is restricted to venture capital organizations, mutual funds, unit trusts…</w:t>
      </w:r>
    </w:p>
    <w:p w:rsidR="00B17D53" w:rsidRDefault="00B17D53" w:rsidP="00600C54">
      <w:pPr>
        <w:pStyle w:val="ListParagraph"/>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CC1FC6">
      <w:pPr>
        <w:pStyle w:val="ListParagraph"/>
        <w:numPr>
          <w:ilvl w:val="0"/>
          <w:numId w:val="53"/>
        </w:numPr>
        <w:ind w:firstLineChars="0"/>
      </w:pPr>
      <w:r>
        <w:t>‘Investment account’ = Purchase price.</w:t>
      </w:r>
    </w:p>
    <w:p w:rsidR="00B17D53" w:rsidRDefault="00B17D53" w:rsidP="00CC1FC6">
      <w:pPr>
        <w:pStyle w:val="ListParagraph"/>
        <w:numPr>
          <w:ilvl w:val="0"/>
          <w:numId w:val="53"/>
        </w:numPr>
        <w:ind w:firstLineChars="0"/>
      </w:pPr>
      <w:r>
        <w:t>Excess of purchase price = purchase price – x% * BV (investee’s net identifiable asset)</w:t>
      </w:r>
    </w:p>
    <w:p w:rsidR="00B17D53" w:rsidRDefault="00B17D53" w:rsidP="00CC1FC6">
      <w:pPr>
        <w:pStyle w:val="ListParagraph"/>
        <w:numPr>
          <w:ilvl w:val="0"/>
          <w:numId w:val="53"/>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CC1FC6">
      <w:pPr>
        <w:pStyle w:val="ListParagraph"/>
        <w:numPr>
          <w:ilvl w:val="0"/>
          <w:numId w:val="53"/>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CC1FC6">
      <w:pPr>
        <w:pStyle w:val="ListParagraph"/>
        <w:numPr>
          <w:ilvl w:val="0"/>
          <w:numId w:val="48"/>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CC1FC6">
      <w:pPr>
        <w:pStyle w:val="ListParagraph"/>
        <w:numPr>
          <w:ilvl w:val="1"/>
          <w:numId w:val="48"/>
        </w:numPr>
        <w:ind w:firstLineChars="0"/>
      </w:pPr>
      <w:r>
        <w:rPr>
          <w:rFonts w:hint="eastAsia"/>
        </w:rPr>
        <w:t xml:space="preserve">Merger: </w:t>
      </w:r>
      <w:r w:rsidR="00B47A19">
        <w:t>The acquired firm ceases to exist.</w:t>
      </w:r>
    </w:p>
    <w:p w:rsidR="00B47A19" w:rsidRDefault="00B47A19" w:rsidP="00CC1FC6">
      <w:pPr>
        <w:pStyle w:val="ListParagraph"/>
        <w:numPr>
          <w:ilvl w:val="1"/>
          <w:numId w:val="48"/>
        </w:numPr>
        <w:ind w:firstLineChars="0"/>
      </w:pPr>
      <w:r>
        <w:t>Acquisition: Both entities continue to exist in a parent-subsidiary relationship.</w:t>
      </w:r>
    </w:p>
    <w:p w:rsidR="00B47A19" w:rsidRDefault="00B47A19" w:rsidP="00CC1FC6">
      <w:pPr>
        <w:pStyle w:val="ListParagraph"/>
        <w:numPr>
          <w:ilvl w:val="1"/>
          <w:numId w:val="48"/>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CC1FC6">
      <w:pPr>
        <w:pStyle w:val="ListParagraph"/>
        <w:numPr>
          <w:ilvl w:val="0"/>
          <w:numId w:val="50"/>
        </w:numPr>
        <w:ind w:firstLineChars="0"/>
      </w:pPr>
      <w:r>
        <w:t>I</w:t>
      </w:r>
      <w:r>
        <w:rPr>
          <w:rFonts w:hint="eastAsia"/>
        </w:rPr>
        <w:t>nvestor</w:t>
      </w:r>
      <w:r>
        <w:t>’s new account</w:t>
      </w:r>
      <w:r w:rsidR="00AF0484">
        <w:t xml:space="preserve"> on balance sheet/income statement</w:t>
      </w:r>
      <w:r>
        <w:t xml:space="preserve"> = BV(investor’s old account) + </w:t>
      </w:r>
      <w:r w:rsidR="001C1432" w:rsidRPr="00E81632">
        <w:rPr>
          <w:b/>
        </w:rPr>
        <w:t>100</w:t>
      </w:r>
      <w:r w:rsidR="001C1432">
        <w:t xml:space="preserve">% * </w:t>
      </w:r>
      <w:r>
        <w:t>FV(investee’s account)</w:t>
      </w:r>
    </w:p>
    <w:p w:rsidR="00994E5F" w:rsidRDefault="00994E5F" w:rsidP="00CC1FC6">
      <w:pPr>
        <w:pStyle w:val="ListParagraph"/>
        <w:numPr>
          <w:ilvl w:val="0"/>
          <w:numId w:val="50"/>
        </w:numPr>
        <w:ind w:firstLineChars="0"/>
      </w:pPr>
      <w:r>
        <w:t>Equity is not combined.</w:t>
      </w:r>
    </w:p>
    <w:p w:rsidR="00AF0484" w:rsidRDefault="00AF0484" w:rsidP="00CC1FC6">
      <w:pPr>
        <w:pStyle w:val="ListParagraph"/>
        <w:numPr>
          <w:ilvl w:val="0"/>
          <w:numId w:val="50"/>
        </w:numPr>
        <w:ind w:firstLineChars="0"/>
      </w:pPr>
      <w:r>
        <w:t>Partial minority interest = (1-x)% * FV (investee’s equity)</w:t>
      </w:r>
    </w:p>
    <w:p w:rsidR="00AF0484" w:rsidRPr="006F35DD" w:rsidRDefault="00AF0484" w:rsidP="00AF0484">
      <w:pPr>
        <w:pStyle w:val="ListParagraph"/>
        <w:ind w:left="360" w:firstLineChars="0" w:firstLine="0"/>
        <w:rPr>
          <w:b/>
        </w:rPr>
      </w:pPr>
      <w:r w:rsidRPr="006F35DD">
        <w:rPr>
          <w:b/>
        </w:rPr>
        <w:t xml:space="preserve">(1-x)% * </w:t>
      </w:r>
      <w:r w:rsidR="00023ADB">
        <w:rPr>
          <w:b/>
        </w:rPr>
        <w:t>subsidiary’s net income</w:t>
      </w:r>
      <w:r w:rsidRPr="006F35DD">
        <w:rPr>
          <w:b/>
        </w:rPr>
        <w:t xml:space="preserve"> reduces investor’s income statement</w:t>
      </w:r>
    </w:p>
    <w:p w:rsidR="00AF0484" w:rsidRDefault="00AF0484" w:rsidP="00AF0484">
      <w:pPr>
        <w:pStyle w:val="ListParagraph"/>
        <w:ind w:left="360" w:firstLineChars="0" w:firstLine="0"/>
      </w:pPr>
      <w:r>
        <w:t>Minority interest can be classified as equity, liability or mezzanine.</w:t>
      </w:r>
    </w:p>
    <w:p w:rsidR="00AF0484" w:rsidRDefault="00AF0484" w:rsidP="00CC1FC6">
      <w:pPr>
        <w:pStyle w:val="ListParagraph"/>
        <w:numPr>
          <w:ilvl w:val="0"/>
          <w:numId w:val="50"/>
        </w:numPr>
        <w:ind w:firstLineChars="0"/>
      </w:pPr>
      <w:r>
        <w:t>Partial goodwill = Purchase price – x% * FV (investee’s net identifiable assets)</w:t>
      </w:r>
    </w:p>
    <w:p w:rsidR="00AF0484" w:rsidRDefault="00AF0484" w:rsidP="00CC1FC6">
      <w:pPr>
        <w:pStyle w:val="ListParagraph"/>
        <w:numPr>
          <w:ilvl w:val="0"/>
          <w:numId w:val="50"/>
        </w:numPr>
        <w:ind w:firstLineChars="0"/>
      </w:pPr>
      <w:r>
        <w:t>Full goodwill = partial goodwill / x%</w:t>
      </w:r>
    </w:p>
    <w:p w:rsidR="00AF0484" w:rsidRDefault="00AF0484" w:rsidP="00CC1FC6">
      <w:pPr>
        <w:pStyle w:val="ListParagraph"/>
        <w:numPr>
          <w:ilvl w:val="0"/>
          <w:numId w:val="50"/>
        </w:numPr>
        <w:ind w:firstLineChars="0"/>
      </w:pPr>
      <w:r>
        <w:t xml:space="preserve">Full minority interest = Partial </w:t>
      </w:r>
      <w:r w:rsidR="00D97FB5">
        <w:t>minority interest</w:t>
      </w:r>
      <w:r>
        <w:t xml:space="preserve"> + (Full goodwill – partial goodwill)</w:t>
      </w:r>
    </w:p>
    <w:p w:rsidR="00732468" w:rsidRDefault="00732468" w:rsidP="00732468">
      <w:r>
        <w:rPr>
          <w:rFonts w:hint="eastAsia"/>
        </w:rPr>
        <w:t xml:space="preserve">* </w:t>
      </w:r>
      <w:r w:rsidR="00CF43BA">
        <w:t>US GAAP requires full goodwill;</w:t>
      </w:r>
      <w:r>
        <w:t xml:space="preserve"> IFRS permits both full/partial goodwill</w:t>
      </w:r>
    </w:p>
    <w:p w:rsidR="00AF0484" w:rsidRDefault="00AF0484" w:rsidP="00AF0484">
      <w:r>
        <w:rPr>
          <w:rFonts w:hint="eastAsia"/>
        </w:rPr>
        <w:lastRenderedPageBreak/>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CC1FC6">
      <w:pPr>
        <w:pStyle w:val="ListParagraph"/>
        <w:numPr>
          <w:ilvl w:val="0"/>
          <w:numId w:val="51"/>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CC1FC6">
      <w:pPr>
        <w:pStyle w:val="ListParagraph"/>
        <w:numPr>
          <w:ilvl w:val="0"/>
          <w:numId w:val="51"/>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CC1FC6">
      <w:pPr>
        <w:pStyle w:val="ListParagraph"/>
        <w:numPr>
          <w:ilvl w:val="0"/>
          <w:numId w:val="48"/>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CC1FC6">
      <w:pPr>
        <w:pStyle w:val="ListParagraph"/>
        <w:numPr>
          <w:ilvl w:val="0"/>
          <w:numId w:val="48"/>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CC1FC6">
      <w:pPr>
        <w:pStyle w:val="ListParagraph"/>
        <w:numPr>
          <w:ilvl w:val="0"/>
          <w:numId w:val="52"/>
        </w:numPr>
        <w:ind w:firstLineChars="0"/>
      </w:pPr>
      <w:r>
        <w:t>I</w:t>
      </w:r>
      <w:r>
        <w:rPr>
          <w:rFonts w:hint="eastAsia"/>
        </w:rPr>
        <w:t>nvestor</w:t>
      </w:r>
      <w:r>
        <w:t xml:space="preserve">’s new account on balance sheet/income statement = BV(investor’s old account) + </w:t>
      </w:r>
      <w:r w:rsidRPr="00E81632">
        <w:rPr>
          <w:b/>
        </w:rPr>
        <w:t>x</w:t>
      </w:r>
      <w:r>
        <w:t>% * FV(investee’s account)</w:t>
      </w:r>
    </w:p>
    <w:p w:rsidR="00215022" w:rsidRDefault="00215022" w:rsidP="00CC1FC6">
      <w:pPr>
        <w:pStyle w:val="ListParagraph"/>
        <w:numPr>
          <w:ilvl w:val="0"/>
          <w:numId w:val="52"/>
        </w:numPr>
        <w:ind w:firstLineChars="0"/>
      </w:pPr>
      <w:r>
        <w:t>Equity is not combined.</w:t>
      </w:r>
    </w:p>
    <w:p w:rsidR="00215022" w:rsidRDefault="00215022" w:rsidP="00CC1FC6">
      <w:pPr>
        <w:pStyle w:val="ListParagraph"/>
        <w:numPr>
          <w:ilvl w:val="0"/>
          <w:numId w:val="52"/>
        </w:numPr>
        <w:ind w:firstLineChars="0"/>
      </w:pPr>
      <w:r>
        <w:rPr>
          <w:rFonts w:hint="eastAsia"/>
        </w:rPr>
        <w:t>No minority interest</w:t>
      </w:r>
    </w:p>
    <w:p w:rsidR="004C11F1" w:rsidRDefault="004C11F1" w:rsidP="004C11F1"/>
    <w:p w:rsidR="004C11F1" w:rsidRDefault="004C11F1" w:rsidP="00CC1FC6">
      <w:pPr>
        <w:pStyle w:val="ListParagraph"/>
        <w:numPr>
          <w:ilvl w:val="0"/>
          <w:numId w:val="48"/>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pPr>
      <w:r>
        <w:rPr>
          <w:rFonts w:hint="eastAsia"/>
        </w:rPr>
        <w:t>Employee Compensation: Post-Employment and Share-Ba</w:t>
      </w:r>
      <w:r>
        <w:t>s</w:t>
      </w:r>
      <w:r>
        <w:rPr>
          <w:rFonts w:hint="eastAsia"/>
        </w:rPr>
        <w:t>ed</w:t>
      </w:r>
    </w:p>
    <w:p w:rsidR="000F4B12" w:rsidRDefault="000F4B12" w:rsidP="00CC1FC6">
      <w:pPr>
        <w:pStyle w:val="Level3"/>
        <w:numPr>
          <w:ilvl w:val="2"/>
          <w:numId w:val="54"/>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p w:rsidR="000F4B12" w:rsidRDefault="000F4B12" w:rsidP="000F4B12"/>
    <w:p w:rsidR="000F4B12" w:rsidRPr="000F4B12" w:rsidRDefault="000F4B12" w:rsidP="000F4B12"/>
    <w:tbl>
      <w:tblPr>
        <w:tblStyle w:val="TableGrid"/>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r>
              <w:rPr>
                <w:rFonts w:hint="eastAsia"/>
              </w:rPr>
              <w:lastRenderedPageBreak/>
              <w:t>Plan Assets</w:t>
            </w:r>
          </w:p>
        </w:tc>
        <w:tc>
          <w:tcPr>
            <w:tcW w:w="4148" w:type="dxa"/>
          </w:tcPr>
          <w:p w:rsidR="000F4B12" w:rsidRDefault="000F4B12" w:rsidP="000F4B12">
            <w:r>
              <w:rPr>
                <w:rFonts w:hint="eastAsia"/>
              </w:rPr>
              <w:t>PBO</w:t>
            </w:r>
          </w:p>
        </w:tc>
      </w:tr>
      <w:tr w:rsidR="007A0DAE" w:rsidTr="000F4B12">
        <w:tc>
          <w:tcPr>
            <w:tcW w:w="4148" w:type="dxa"/>
          </w:tcPr>
          <w:p w:rsidR="007A0DAE" w:rsidRDefault="007A0DAE" w:rsidP="000F4B12">
            <w:r>
              <w:rPr>
                <w:rFonts w:hint="eastAsia"/>
              </w:rPr>
              <w:t>Fair value at the beginning of the year</w:t>
            </w:r>
          </w:p>
        </w:tc>
        <w:tc>
          <w:tcPr>
            <w:tcW w:w="4148" w:type="dxa"/>
          </w:tcPr>
          <w:p w:rsidR="007A0DAE" w:rsidRPr="007A0DAE" w:rsidRDefault="007A0DAE" w:rsidP="000F4B12">
            <w:r>
              <w:t>PBO at the beginning of the year</w:t>
            </w:r>
          </w:p>
        </w:tc>
      </w:tr>
      <w:tr w:rsidR="000F4B12" w:rsidTr="000F4B12">
        <w:tc>
          <w:tcPr>
            <w:tcW w:w="4148" w:type="dxa"/>
          </w:tcPr>
          <w:p w:rsidR="000F4B12" w:rsidRDefault="000F4B12" w:rsidP="000F4B12">
            <w:r>
              <w:rPr>
                <w:rFonts w:hint="eastAsia"/>
              </w:rPr>
              <w:t>+ Contributions</w:t>
            </w:r>
          </w:p>
        </w:tc>
        <w:tc>
          <w:tcPr>
            <w:tcW w:w="4148" w:type="dxa"/>
          </w:tcPr>
          <w:p w:rsidR="000F4B12" w:rsidRDefault="000F4B12" w:rsidP="000F4B12">
            <w:r>
              <w:rPr>
                <w:rFonts w:hint="eastAsia"/>
              </w:rPr>
              <w:t>+ Current service cost</w:t>
            </w:r>
          </w:p>
        </w:tc>
      </w:tr>
      <w:tr w:rsidR="000F4B12" w:rsidTr="000F4B12">
        <w:tc>
          <w:tcPr>
            <w:tcW w:w="4148" w:type="dxa"/>
          </w:tcPr>
          <w:p w:rsidR="000F4B12" w:rsidRDefault="000F4B12" w:rsidP="000F4B12">
            <w:r>
              <w:rPr>
                <w:rFonts w:hint="eastAsia"/>
              </w:rPr>
              <w:t>+ Actual return</w:t>
            </w:r>
          </w:p>
        </w:tc>
        <w:tc>
          <w:tcPr>
            <w:tcW w:w="4148" w:type="dxa"/>
          </w:tcPr>
          <w:p w:rsidR="000F4B12" w:rsidRDefault="000F4B12" w:rsidP="000F4B12">
            <w:r>
              <w:rPr>
                <w:rFonts w:hint="eastAsia"/>
              </w:rPr>
              <w:t>+ Interest cost</w:t>
            </w:r>
          </w:p>
        </w:tc>
      </w:tr>
      <w:tr w:rsidR="000F4B12" w:rsidTr="000F4B12">
        <w:tc>
          <w:tcPr>
            <w:tcW w:w="4148" w:type="dxa"/>
          </w:tcPr>
          <w:p w:rsidR="000F4B12" w:rsidRDefault="000F4B12" w:rsidP="000F4B12">
            <w:r>
              <w:rPr>
                <w:rFonts w:hint="eastAsia"/>
              </w:rPr>
              <w:t>- B</w:t>
            </w:r>
            <w:r>
              <w:t>enefits paid</w:t>
            </w:r>
          </w:p>
        </w:tc>
        <w:tc>
          <w:tcPr>
            <w:tcW w:w="4148" w:type="dxa"/>
          </w:tcPr>
          <w:p w:rsidR="000F4B12" w:rsidRDefault="000F4B12" w:rsidP="000F4B12">
            <w:r>
              <w:rPr>
                <w:rFonts w:hint="eastAsia"/>
              </w:rPr>
              <w:t>+</w:t>
            </w:r>
            <w:r>
              <w:t xml:space="preserve"> Past service cost</w:t>
            </w:r>
          </w:p>
        </w:tc>
      </w:tr>
      <w:tr w:rsidR="000F4B12" w:rsidTr="000F4B12">
        <w:tc>
          <w:tcPr>
            <w:tcW w:w="4148" w:type="dxa"/>
          </w:tcPr>
          <w:p w:rsidR="000F4B12" w:rsidRDefault="007A0DAE" w:rsidP="000F4B12">
            <w:r>
              <w:rPr>
                <w:rFonts w:hint="eastAsia"/>
              </w:rPr>
              <w:t>= Fair value at the end of the year</w:t>
            </w:r>
          </w:p>
        </w:tc>
        <w:tc>
          <w:tcPr>
            <w:tcW w:w="4148" w:type="dxa"/>
          </w:tcPr>
          <w:p w:rsidR="000F4B12" w:rsidRDefault="000F4B12" w:rsidP="000F4B12">
            <w:r>
              <w:rPr>
                <w:rFonts w:hint="eastAsia"/>
              </w:rPr>
              <w:t>+/- Actuarial losses/gains</w:t>
            </w:r>
          </w:p>
        </w:tc>
      </w:tr>
      <w:tr w:rsidR="000F4B12" w:rsidTr="000F4B12">
        <w:tc>
          <w:tcPr>
            <w:tcW w:w="4148" w:type="dxa"/>
          </w:tcPr>
          <w:p w:rsidR="000F4B12" w:rsidRDefault="000F4B12" w:rsidP="000F4B12"/>
        </w:tc>
        <w:tc>
          <w:tcPr>
            <w:tcW w:w="4148" w:type="dxa"/>
          </w:tcPr>
          <w:p w:rsidR="000F4B12" w:rsidRDefault="000F4B12" w:rsidP="000F4B12">
            <w:r>
              <w:rPr>
                <w:rFonts w:hint="eastAsia"/>
              </w:rPr>
              <w:t xml:space="preserve">- </w:t>
            </w:r>
            <w:r>
              <w:t>Benefits paid</w:t>
            </w:r>
          </w:p>
        </w:tc>
      </w:tr>
      <w:tr w:rsidR="000F4B12" w:rsidTr="000F4B12">
        <w:tc>
          <w:tcPr>
            <w:tcW w:w="4148" w:type="dxa"/>
          </w:tcPr>
          <w:p w:rsidR="000F4B12" w:rsidRDefault="000F4B12" w:rsidP="000F4B12"/>
        </w:tc>
        <w:tc>
          <w:tcPr>
            <w:tcW w:w="4148" w:type="dxa"/>
          </w:tcPr>
          <w:p w:rsidR="000F4B12" w:rsidRDefault="007A0DAE" w:rsidP="000F4B12">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r>
              <w:rPr>
                <w:rFonts w:hint="eastAsia"/>
              </w:rPr>
              <w:t>Difference is funded status of the plan.</w:t>
            </w:r>
          </w:p>
        </w:tc>
      </w:tr>
    </w:tbl>
    <w:p w:rsidR="000F4B12" w:rsidRDefault="000F4B12" w:rsidP="000F4B12"/>
    <w:p w:rsidR="007A0DAE" w:rsidRDefault="007A0DAE" w:rsidP="00CC1FC6">
      <w:pPr>
        <w:pStyle w:val="ListParagraph"/>
        <w:numPr>
          <w:ilvl w:val="0"/>
          <w:numId w:val="48"/>
        </w:numPr>
        <w:ind w:firstLineChars="0"/>
      </w:pPr>
      <w:r>
        <w:rPr>
          <w:rFonts w:hint="eastAsia"/>
        </w:rPr>
        <w:t>Current service cost is the PV of benefits earned by the employees during the current period.</w:t>
      </w:r>
    </w:p>
    <w:p w:rsidR="007A0DAE" w:rsidRDefault="007A0DAE" w:rsidP="00CC1FC6">
      <w:pPr>
        <w:pStyle w:val="ListParagraph"/>
        <w:numPr>
          <w:ilvl w:val="0"/>
          <w:numId w:val="48"/>
        </w:numPr>
        <w:ind w:firstLineChars="0"/>
      </w:pPr>
      <w:r>
        <w:t>Interest cost is PBO at the beginning of the year * discount rate</w:t>
      </w:r>
    </w:p>
    <w:p w:rsidR="007A0DAE" w:rsidRDefault="007A0DAE" w:rsidP="00CC1FC6">
      <w:pPr>
        <w:pStyle w:val="ListParagraph"/>
        <w:numPr>
          <w:ilvl w:val="0"/>
          <w:numId w:val="48"/>
        </w:numPr>
        <w:ind w:firstLineChars="0"/>
      </w:pPr>
      <w:r>
        <w:t>Past service cost are retroactive benefits when a plan is initiated or amended.</w:t>
      </w:r>
    </w:p>
    <w:p w:rsidR="007A0DAE" w:rsidRDefault="007A0DAE" w:rsidP="00CC1FC6">
      <w:pPr>
        <w:pStyle w:val="ListParagraph"/>
        <w:numPr>
          <w:ilvl w:val="0"/>
          <w:numId w:val="48"/>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CC1FC6">
      <w:pPr>
        <w:pStyle w:val="ListParagraph"/>
        <w:numPr>
          <w:ilvl w:val="0"/>
          <w:numId w:val="55"/>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CC1FC6">
      <w:pPr>
        <w:pStyle w:val="ListParagraph"/>
        <w:numPr>
          <w:ilvl w:val="0"/>
          <w:numId w:val="55"/>
        </w:numPr>
        <w:ind w:firstLineChars="0"/>
      </w:pPr>
      <w:r>
        <w:t xml:space="preserve">Actuarial losses/gains </w:t>
      </w:r>
      <w:r w:rsidR="00070C73">
        <w:t xml:space="preserve">are recorded in OCI and </w:t>
      </w:r>
      <w:r>
        <w:t>are amortized.</w:t>
      </w:r>
    </w:p>
    <w:p w:rsidR="00BB5883" w:rsidRDefault="00BB5883" w:rsidP="00BB5883">
      <w:r>
        <w:rPr>
          <w:rFonts w:hint="eastAsia"/>
        </w:rPr>
        <w:t>Both 1 and 2 are amortized using corridor approach.</w:t>
      </w:r>
    </w:p>
    <w:p w:rsidR="00BB5883" w:rsidRDefault="00BB5883" w:rsidP="00BB5883"/>
    <w:p w:rsidR="00BB5883" w:rsidRDefault="00BB5883" w:rsidP="00BB5883">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0B1E39">
      <w:r>
        <w:t xml:space="preserve">Periodic pension cost </w:t>
      </w:r>
      <w:r w:rsidR="00956EB5">
        <w:t>= Current service cost + Interest cost (r * (PBO – asset))</w:t>
      </w:r>
      <w:r w:rsidR="00956EB5">
        <w:rPr>
          <w:rFonts w:hint="eastAsia"/>
        </w:rPr>
        <w:t xml:space="preserve"> </w:t>
      </w:r>
      <w:r w:rsidR="00565E18">
        <w:t>+</w:t>
      </w:r>
      <w:r w:rsidR="00956EB5">
        <w:rPr>
          <w:rFonts w:hint="eastAsia"/>
        </w:rPr>
        <w:t xml:space="preserve"> Past </w:t>
      </w:r>
      <w:r w:rsidR="00956EB5">
        <w:t xml:space="preserve">service cost </w:t>
      </w:r>
    </w:p>
    <w:p w:rsidR="00C571C1" w:rsidRDefault="00C571C1" w:rsidP="00C571C1"/>
    <w:p w:rsidR="00956EB5" w:rsidRDefault="00956EB5" w:rsidP="00BB5883">
      <w:r>
        <w:t>Actuarial gains/losses are recorded in OCI. No amortization.</w:t>
      </w:r>
    </w:p>
    <w:p w:rsidR="00877FEF" w:rsidRDefault="00877FEF" w:rsidP="00BB5883">
      <w:r>
        <w:t>Difference between actual return and r*asset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 xml:space="preserve">Periodic pension cost </w:t>
      </w:r>
      <w:r w:rsidR="00956EB5">
        <w:t>= employer contribution – (ending funded status – beginning funded status)</w:t>
      </w:r>
    </w:p>
    <w:p w:rsidR="00317F5D" w:rsidRDefault="003267A7" w:rsidP="00BB5883">
      <w:r>
        <w:t>Total Periodic pension cost = Periodic pension cost (in P/L) + Periodic pension cost in OCI</w:t>
      </w:r>
    </w:p>
    <w:p w:rsidR="00033CF9" w:rsidRPr="003267A7" w:rsidRDefault="00033CF9" w:rsidP="00BB5883"/>
    <w:p w:rsidR="00317F5D" w:rsidRDefault="00317F5D" w:rsidP="00CC1FC6">
      <w:pPr>
        <w:pStyle w:val="Level3"/>
        <w:numPr>
          <w:ilvl w:val="2"/>
          <w:numId w:val="56"/>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rsidR="00E700CC" w:rsidRDefault="00E700CC" w:rsidP="004B3263"/>
    <w:p w:rsidR="00E700CC" w:rsidRDefault="00E700CC" w:rsidP="00CC1FC6">
      <w:pPr>
        <w:pStyle w:val="Level3"/>
        <w:numPr>
          <w:ilvl w:val="2"/>
          <w:numId w:val="57"/>
        </w:numPr>
        <w:spacing w:after="156"/>
      </w:pPr>
      <w:r>
        <w:t>Explain how accounting for stock grants and stock options affects financial statements, and the importance of companies’ assumptions in valuing these grants and options.</w:t>
      </w:r>
    </w:p>
    <w:p w:rsidR="00E700CC" w:rsidRDefault="00E700CC" w:rsidP="004B3263">
      <w:r>
        <w:rPr>
          <w:rFonts w:hint="eastAsia"/>
        </w:rPr>
        <w:t>Stock Option</w:t>
      </w:r>
    </w:p>
    <w:p w:rsidR="00E700CC" w:rsidRDefault="00E700CC" w:rsidP="00CC1FC6">
      <w:pPr>
        <w:pStyle w:val="ListParagraph"/>
        <w:numPr>
          <w:ilvl w:val="0"/>
          <w:numId w:val="58"/>
        </w:numPr>
        <w:ind w:firstLineChars="0"/>
      </w:pPr>
      <w:r>
        <w:rPr>
          <w:rFonts w:hint="eastAsia"/>
        </w:rPr>
        <w:t>Characteristics: No cash transaction; Increase expense and reduce earnings.</w:t>
      </w:r>
    </w:p>
    <w:p w:rsidR="00E700CC" w:rsidRDefault="00E700CC" w:rsidP="00CC1FC6">
      <w:pPr>
        <w:pStyle w:val="ListParagraph"/>
        <w:numPr>
          <w:ilvl w:val="0"/>
          <w:numId w:val="58"/>
        </w:numPr>
        <w:ind w:firstLineChars="0"/>
      </w:pPr>
      <w:r>
        <w:t>Disadvantages:</w:t>
      </w:r>
    </w:p>
    <w:p w:rsidR="00E700CC" w:rsidRDefault="00E700CC" w:rsidP="00CC1FC6">
      <w:pPr>
        <w:pStyle w:val="ListParagraph"/>
        <w:numPr>
          <w:ilvl w:val="1"/>
          <w:numId w:val="58"/>
        </w:numPr>
        <w:ind w:firstLineChars="0"/>
      </w:pPr>
      <w:r>
        <w:t>Employee has limited influence over share price.</w:t>
      </w:r>
    </w:p>
    <w:p w:rsidR="00E700CC" w:rsidRDefault="00E700CC" w:rsidP="00CC1FC6">
      <w:pPr>
        <w:pStyle w:val="ListParagraph"/>
        <w:numPr>
          <w:ilvl w:val="1"/>
          <w:numId w:val="58"/>
        </w:numPr>
        <w:ind w:firstLineChars="0"/>
      </w:pPr>
      <w:r>
        <w:t>Increase employee’s share ownership.</w:t>
      </w:r>
    </w:p>
    <w:p w:rsidR="00E700CC" w:rsidRDefault="00E700CC" w:rsidP="00CC1FC6">
      <w:pPr>
        <w:pStyle w:val="ListParagraph"/>
        <w:numPr>
          <w:ilvl w:val="1"/>
          <w:numId w:val="58"/>
        </w:numPr>
        <w:ind w:firstLineChars="0"/>
      </w:pPr>
      <w:r>
        <w:t>Existing shareholder’s ownership is diluted.</w:t>
      </w:r>
    </w:p>
    <w:p w:rsidR="00E700CC" w:rsidRDefault="00E700CC" w:rsidP="00CC1FC6">
      <w:pPr>
        <w:pStyle w:val="ListParagraph"/>
        <w:numPr>
          <w:ilvl w:val="1"/>
          <w:numId w:val="58"/>
        </w:numPr>
        <w:ind w:firstLineChars="0"/>
      </w:pPr>
      <w:r>
        <w:t>Disclosures are required.</w:t>
      </w:r>
    </w:p>
    <w:p w:rsidR="00E700CC" w:rsidRDefault="00E700CC" w:rsidP="00CC1FC6">
      <w:pPr>
        <w:pStyle w:val="ListParagraph"/>
        <w:numPr>
          <w:ilvl w:val="0"/>
          <w:numId w:val="59"/>
        </w:numPr>
        <w:ind w:firstLineChars="0"/>
      </w:pPr>
      <w:r>
        <w:rPr>
          <w:rFonts w:hint="eastAsia"/>
        </w:rPr>
        <w:t>Valuation method:</w:t>
      </w:r>
    </w:p>
    <w:p w:rsidR="00E700CC" w:rsidRDefault="00E700CC" w:rsidP="00CC1FC6">
      <w:pPr>
        <w:pStyle w:val="ListParagraph"/>
        <w:numPr>
          <w:ilvl w:val="1"/>
          <w:numId w:val="59"/>
        </w:numPr>
        <w:ind w:firstLineChars="0"/>
      </w:pPr>
      <w:r>
        <w:t>Market value</w:t>
      </w:r>
    </w:p>
    <w:p w:rsidR="00E700CC" w:rsidRDefault="00E700CC" w:rsidP="00CC1FC6">
      <w:pPr>
        <w:pStyle w:val="ListParagraph"/>
        <w:numPr>
          <w:ilvl w:val="1"/>
          <w:numId w:val="59"/>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CC1FC6">
      <w:pPr>
        <w:pStyle w:val="ListParagraph"/>
        <w:numPr>
          <w:ilvl w:val="1"/>
          <w:numId w:val="59"/>
        </w:numPr>
        <w:ind w:firstLineChars="0"/>
      </w:pPr>
      <w:r>
        <w:t>Binominal model</w:t>
      </w:r>
    </w:p>
    <w:p w:rsidR="00E700CC" w:rsidRDefault="00E700CC" w:rsidP="00CC1FC6">
      <w:pPr>
        <w:pStyle w:val="ListParagraph"/>
        <w:numPr>
          <w:ilvl w:val="1"/>
          <w:numId w:val="59"/>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CC1FC6">
      <w:pPr>
        <w:pStyle w:val="ListParagraph"/>
        <w:numPr>
          <w:ilvl w:val="0"/>
          <w:numId w:val="59"/>
        </w:numPr>
        <w:ind w:firstLineChars="0"/>
      </w:pPr>
      <w:r>
        <w:rPr>
          <w:rFonts w:hint="eastAsia"/>
        </w:rPr>
        <w:t>Advantages: Avoid dilution; Less risk aversion</w:t>
      </w:r>
    </w:p>
    <w:p w:rsidR="009050FA" w:rsidRDefault="009050FA" w:rsidP="00CC1FC6">
      <w:pPr>
        <w:pStyle w:val="ListParagraph"/>
        <w:numPr>
          <w:ilvl w:val="0"/>
          <w:numId w:val="59"/>
        </w:numPr>
        <w:ind w:firstLineChars="0"/>
      </w:pPr>
      <w:r>
        <w:t>Disadvantage: Cash outflows</w:t>
      </w:r>
    </w:p>
    <w:p w:rsidR="009050FA" w:rsidRDefault="009050FA" w:rsidP="009050FA"/>
    <w:p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rsidR="00FE0080" w:rsidRDefault="00FE0080" w:rsidP="009050FA"/>
    <w:p w:rsidR="00FE0080" w:rsidRDefault="00FE0080" w:rsidP="00FE0080">
      <w:pPr>
        <w:pStyle w:val="Level2"/>
      </w:pPr>
      <w:r>
        <w:rPr>
          <w:rFonts w:hint="eastAsia"/>
        </w:rPr>
        <w:lastRenderedPageBreak/>
        <w:t>Multinational Operations</w:t>
      </w:r>
    </w:p>
    <w:p w:rsidR="00FE0080" w:rsidRDefault="00FE0080" w:rsidP="00FE0080">
      <w:pPr>
        <w:pStyle w:val="Level3"/>
        <w:spacing w:after="156"/>
      </w:pPr>
      <w:r>
        <w:rPr>
          <w:rFonts w:hint="eastAsia"/>
        </w:rPr>
        <w:t>Distinguish among presentation currency, functional currency and local currency.</w:t>
      </w:r>
    </w:p>
    <w:p w:rsidR="00FE0080" w:rsidRDefault="00FE0080" w:rsidP="00CC1FC6">
      <w:pPr>
        <w:pStyle w:val="ListParagraph"/>
        <w:numPr>
          <w:ilvl w:val="0"/>
          <w:numId w:val="60"/>
        </w:numPr>
        <w:ind w:firstLineChars="0"/>
      </w:pPr>
      <w:r>
        <w:rPr>
          <w:rFonts w:hint="eastAsia"/>
        </w:rPr>
        <w:t>The local currency is the currency of the country being referred to.</w:t>
      </w:r>
    </w:p>
    <w:p w:rsidR="00FE0080" w:rsidRDefault="00FE0080" w:rsidP="00CC1FC6">
      <w:pPr>
        <w:pStyle w:val="ListParagraph"/>
        <w:numPr>
          <w:ilvl w:val="0"/>
          <w:numId w:val="60"/>
        </w:numPr>
        <w:ind w:firstLineChars="0"/>
      </w:pPr>
      <w:r>
        <w:t>The functional currency, determined by management, is the currency of the primary economic environment in which the entity operates.</w:t>
      </w:r>
    </w:p>
    <w:p w:rsidR="00FE0080" w:rsidRDefault="00FE0080" w:rsidP="00CC1FC6">
      <w:pPr>
        <w:pStyle w:val="ListParagraph"/>
        <w:numPr>
          <w:ilvl w:val="0"/>
          <w:numId w:val="60"/>
        </w:numPr>
        <w:ind w:firstLineChars="0"/>
      </w:pPr>
      <w:r>
        <w:t>The presentation currency is the currency in which the parent company prepares its financial statements.</w:t>
      </w:r>
    </w:p>
    <w:p w:rsidR="00FE0080" w:rsidRDefault="00FE0080" w:rsidP="00FE0080"/>
    <w:p w:rsidR="00FE0080" w:rsidRDefault="00FE0080" w:rsidP="00FE0080">
      <w:pPr>
        <w:pStyle w:val="Level3"/>
        <w:spacing w:after="156"/>
      </w:pPr>
      <w:r>
        <w:rPr>
          <w:rFonts w:hint="eastAsia"/>
        </w:rPr>
        <w:t>Describe foreign currency transaction exposure, including accounting for and disclosures about foreign currency transaction gains and losses</w:t>
      </w:r>
    </w:p>
    <w:p w:rsidR="00FE0080" w:rsidRDefault="00FE0080" w:rsidP="00FE0080">
      <w:r>
        <w:t>Both realized</w:t>
      </w:r>
      <w:r w:rsidR="00D02223">
        <w:t xml:space="preserve"> and </w:t>
      </w:r>
      <w:r>
        <w:t>unrealized gains</w:t>
      </w:r>
      <w:r w:rsidR="00D02223">
        <w:t>/</w:t>
      </w:r>
      <w:r>
        <w:t>losses are recognized in the income statement.</w:t>
      </w:r>
    </w:p>
    <w:p w:rsidR="00D02223" w:rsidRDefault="00D02223" w:rsidP="00FE0080"/>
    <w:p w:rsidR="00D02223" w:rsidRDefault="00D02223" w:rsidP="00D02223">
      <w:pPr>
        <w:pStyle w:val="Level3"/>
        <w:spacing w:after="156"/>
      </w:pPr>
      <w:r>
        <w:t>Analyze how changes in exchange rates affect the translated sales of the subsidiary and parent company.</w:t>
      </w:r>
    </w:p>
    <w:p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rsidR="00D02223" w:rsidRDefault="00D02223" w:rsidP="00FE0080">
      <w:r>
        <w:t>Which method is appropriate?</w:t>
      </w:r>
    </w:p>
    <w:p w:rsidR="00D02223" w:rsidRDefault="00675641" w:rsidP="00FE0080">
      <w:r>
        <w:t>When re</w:t>
      </w:r>
      <w:r w:rsidR="00D02223">
        <w:t>measuring from local to functional currency, use the temporal method.</w:t>
      </w:r>
    </w:p>
    <w:p w:rsidR="00D02223" w:rsidRDefault="00D02223" w:rsidP="00FE0080">
      <w:r>
        <w:t>When translating from functional to presentation currency, use the current rate method.</w:t>
      </w:r>
    </w:p>
    <w:p w:rsidR="00D02223" w:rsidRDefault="00D02223" w:rsidP="00FE0080"/>
    <w:p w:rsidR="00D02223" w:rsidRDefault="00D02223" w:rsidP="00FE0080">
      <w:r>
        <w:t>Applying the current rate method:</w:t>
      </w:r>
    </w:p>
    <w:p w:rsidR="00D02223" w:rsidRDefault="00D02223" w:rsidP="00CC1FC6">
      <w:pPr>
        <w:pStyle w:val="ListParagraph"/>
        <w:numPr>
          <w:ilvl w:val="0"/>
          <w:numId w:val="61"/>
        </w:numPr>
        <w:ind w:firstLineChars="0"/>
      </w:pPr>
      <w:r>
        <w:rPr>
          <w:rFonts w:hint="eastAsia"/>
        </w:rPr>
        <w:t>Balance sheet: all assets and liabilities are translated at the current rate.</w:t>
      </w:r>
    </w:p>
    <w:p w:rsidR="00D02223" w:rsidRDefault="00D02223" w:rsidP="00CC1FC6">
      <w:pPr>
        <w:pStyle w:val="ListParagraph"/>
        <w:numPr>
          <w:ilvl w:val="0"/>
          <w:numId w:val="61"/>
        </w:numPr>
        <w:ind w:firstLineChars="0"/>
      </w:pPr>
      <w:r>
        <w:t>Balance sheet: common stocks, beginning retained earnings are translated at the historical rate.</w:t>
      </w:r>
    </w:p>
    <w:p w:rsidR="006E6824" w:rsidRDefault="006E6824" w:rsidP="00CC1FC6">
      <w:pPr>
        <w:pStyle w:val="ListParagraph"/>
        <w:numPr>
          <w:ilvl w:val="0"/>
          <w:numId w:val="61"/>
        </w:numPr>
        <w:ind w:firstLineChars="0"/>
      </w:pPr>
      <w:r>
        <w:t>Income statement: all accounts are translated at the average rate.</w:t>
      </w:r>
    </w:p>
    <w:p w:rsidR="00D02223" w:rsidRDefault="00A93803" w:rsidP="00CC1FC6">
      <w:pPr>
        <w:pStyle w:val="ListParagraph"/>
        <w:numPr>
          <w:ilvl w:val="0"/>
          <w:numId w:val="61"/>
        </w:numPr>
        <w:ind w:firstLineChars="0"/>
      </w:pPr>
      <w:r>
        <w:t>Dividends are translated at the historical rate.</w:t>
      </w:r>
    </w:p>
    <w:p w:rsidR="00A93803" w:rsidRDefault="00A93803" w:rsidP="00CC1FC6">
      <w:pPr>
        <w:pStyle w:val="ListParagraph"/>
        <w:numPr>
          <w:ilvl w:val="0"/>
          <w:numId w:val="61"/>
        </w:numPr>
        <w:ind w:firstLineChars="0"/>
      </w:pPr>
      <w:r>
        <w:t>Translation gain or loss is reported in shareholders’ equity as a part of the CTA.</w:t>
      </w:r>
    </w:p>
    <w:p w:rsidR="00A93803" w:rsidRDefault="00A93803" w:rsidP="00A93803"/>
    <w:p w:rsidR="00A93803" w:rsidRDefault="00A93803" w:rsidP="00A93803">
      <w:r>
        <w:rPr>
          <w:rFonts w:hint="eastAsia"/>
        </w:rPr>
        <w:t>Applying the Temporal Method:</w:t>
      </w:r>
    </w:p>
    <w:p w:rsidR="00A93803" w:rsidRDefault="00A93803" w:rsidP="00CC1FC6">
      <w:pPr>
        <w:pStyle w:val="ListParagraph"/>
        <w:numPr>
          <w:ilvl w:val="0"/>
          <w:numId w:val="62"/>
        </w:numPr>
        <w:ind w:firstLineChars="0"/>
      </w:pPr>
      <w:r>
        <w:rPr>
          <w:rFonts w:hint="eastAsia"/>
        </w:rPr>
        <w:t xml:space="preserve">Balance sheet: Monetary assets and liabilities are measured using the current </w:t>
      </w:r>
      <w:r>
        <w:t>rate, including cash, receivables, payables, and short-term and long-term debt.</w:t>
      </w:r>
    </w:p>
    <w:p w:rsidR="00A93803" w:rsidRDefault="00A93803" w:rsidP="00CC1FC6">
      <w:pPr>
        <w:pStyle w:val="ListParagraph"/>
        <w:numPr>
          <w:ilvl w:val="0"/>
          <w:numId w:val="62"/>
        </w:numPr>
        <w:ind w:firstLineChars="0"/>
      </w:pPr>
      <w:r>
        <w:t>Balance sheet: Non-monetary assets and liabilities are re-measured at the historical rate</w:t>
      </w:r>
    </w:p>
    <w:p w:rsidR="00A93803" w:rsidRDefault="00A93803" w:rsidP="00CC1FC6">
      <w:pPr>
        <w:pStyle w:val="ListParagraph"/>
        <w:numPr>
          <w:ilvl w:val="0"/>
          <w:numId w:val="62"/>
        </w:numPr>
        <w:ind w:firstLineChars="0"/>
      </w:pPr>
      <w:r>
        <w:t>Balance sheet: Non-monetary assets and liabilities at fair value are remeasured at current rate.</w:t>
      </w:r>
    </w:p>
    <w:p w:rsidR="006E6824" w:rsidRDefault="006E6824" w:rsidP="00CC1FC6">
      <w:pPr>
        <w:pStyle w:val="ListParagraph"/>
        <w:numPr>
          <w:ilvl w:val="0"/>
          <w:numId w:val="62"/>
        </w:numPr>
        <w:ind w:firstLineChars="0"/>
      </w:pPr>
      <w:r>
        <w:t>Balance sheet: common stocks, beginning retained earnings are translated at the historical rate.</w:t>
      </w:r>
    </w:p>
    <w:p w:rsidR="006E6824" w:rsidRDefault="006E6824" w:rsidP="00CC1FC6">
      <w:pPr>
        <w:pStyle w:val="ListParagraph"/>
        <w:numPr>
          <w:ilvl w:val="0"/>
          <w:numId w:val="62"/>
        </w:numPr>
        <w:ind w:firstLineChars="0"/>
      </w:pPr>
      <w:r>
        <w:rPr>
          <w:rFonts w:hint="eastAsia"/>
        </w:rPr>
        <w:t>Income statement: expenses related to non-monetary assets are remeasured at historical rates.</w:t>
      </w:r>
    </w:p>
    <w:p w:rsidR="006E6824" w:rsidRDefault="006E6824" w:rsidP="00CC1FC6">
      <w:pPr>
        <w:pStyle w:val="ListParagraph"/>
        <w:numPr>
          <w:ilvl w:val="0"/>
          <w:numId w:val="62"/>
        </w:numPr>
        <w:ind w:firstLineChars="0"/>
      </w:pPr>
      <w:r>
        <w:t>Income statement: Revenues and all other expenses are remeasured at average rate.</w:t>
      </w:r>
    </w:p>
    <w:p w:rsidR="006E6824" w:rsidRDefault="006E6824" w:rsidP="00CC1FC6">
      <w:pPr>
        <w:pStyle w:val="ListParagraph"/>
        <w:numPr>
          <w:ilvl w:val="0"/>
          <w:numId w:val="62"/>
        </w:numPr>
        <w:ind w:firstLineChars="0"/>
      </w:pPr>
      <w:r>
        <w:t>Dividends are translated at the historical rate.</w:t>
      </w:r>
    </w:p>
    <w:p w:rsidR="006E6824" w:rsidRDefault="006E6824" w:rsidP="00CC1FC6">
      <w:pPr>
        <w:pStyle w:val="ListParagraph"/>
        <w:numPr>
          <w:ilvl w:val="0"/>
          <w:numId w:val="62"/>
        </w:numPr>
        <w:ind w:firstLineChars="0"/>
      </w:pPr>
      <w:r>
        <w:t>Remeasurement gain or loss is recognized in the income statement.</w:t>
      </w:r>
    </w:p>
    <w:p w:rsidR="00A66E43" w:rsidRDefault="00A66E43" w:rsidP="00A66E43"/>
    <w:p w:rsidR="00A66E43" w:rsidRDefault="00A66E43" w:rsidP="00A66E43">
      <w:r>
        <w:rPr>
          <w:rFonts w:hint="eastAsia"/>
        </w:rPr>
        <w:lastRenderedPageBreak/>
        <w:t xml:space="preserve">Exposure to </w:t>
      </w:r>
      <w:r>
        <w:t>exc</w:t>
      </w:r>
      <w:r>
        <w:rPr>
          <w:rFonts w:hint="eastAsia"/>
        </w:rPr>
        <w:t>hanging exchange rates</w:t>
      </w:r>
    </w:p>
    <w:p w:rsidR="00A66E43" w:rsidRDefault="00A66E43" w:rsidP="00A66E43">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rsidR="00710222" w:rsidRDefault="00710222" w:rsidP="00A66E43"/>
    <w:p w:rsidR="00710222" w:rsidRDefault="00710222" w:rsidP="00CC1FC6">
      <w:pPr>
        <w:pStyle w:val="Level3"/>
        <w:numPr>
          <w:ilvl w:val="2"/>
          <w:numId w:val="63"/>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rsidR="00710222" w:rsidRDefault="00710222" w:rsidP="00710222">
      <w:r>
        <w:t>Under US GAAP, temporal method is used.</w:t>
      </w:r>
    </w:p>
    <w:p w:rsidR="00710222" w:rsidRDefault="00710222" w:rsidP="00710222"/>
    <w:p w:rsidR="00A96461" w:rsidRDefault="00710222" w:rsidP="00710222">
      <w:r>
        <w:t>Under IFRS, the statements are restated for inflation and then translated using the current exchange rate. (Not the current rate method, so there’s no CTA item).</w:t>
      </w:r>
    </w:p>
    <w:p w:rsidR="009B0460" w:rsidRDefault="00A96461" w:rsidP="00A96461">
      <w:pPr>
        <w:pStyle w:val="Level2"/>
      </w:pPr>
      <w:r>
        <w:br w:type="page"/>
      </w:r>
    </w:p>
    <w:p w:rsidR="009B0460" w:rsidRDefault="009B0460" w:rsidP="002E02EC">
      <w:pPr>
        <w:pStyle w:val="Level1"/>
      </w:pPr>
      <w:r>
        <w:lastRenderedPageBreak/>
        <w:t>Corporate Finance</w:t>
      </w:r>
    </w:p>
    <w:p w:rsidR="009B0460" w:rsidRDefault="009B0460" w:rsidP="007C3137">
      <w:pPr>
        <w:pStyle w:val="Level2"/>
        <w:numPr>
          <w:ilvl w:val="1"/>
          <w:numId w:val="107"/>
        </w:numPr>
      </w:pPr>
      <w:r>
        <w:rPr>
          <w:rFonts w:hint="eastAsia"/>
        </w:rPr>
        <w:t>C</w:t>
      </w:r>
      <w:r>
        <w:t>apital Budgeting</w:t>
      </w:r>
    </w:p>
    <w:p w:rsidR="009B0460" w:rsidRDefault="009B0460" w:rsidP="009B0460">
      <w:pPr>
        <w:pStyle w:val="Level3"/>
        <w:spacing w:after="156"/>
      </w:pPr>
      <w:r>
        <w:rPr>
          <w:rFonts w:hint="eastAsia"/>
        </w:rPr>
        <w:t xml:space="preserve">Calculate the yearly cash flows of </w:t>
      </w:r>
      <w:r>
        <w:t>expansion</w:t>
      </w:r>
      <w:r>
        <w:rPr>
          <w:rFonts w:hint="eastAsia"/>
        </w:rPr>
        <w:t xml:space="preserve"> </w:t>
      </w:r>
      <w:r>
        <w:t>and replacement capital projects and evaluate how the choice of depreciation method affects those cash flows.</w:t>
      </w:r>
    </w:p>
    <w:p w:rsidR="009B0460" w:rsidRDefault="009B0460" w:rsidP="009B0460">
      <w:r>
        <w:t>Replacement Project Analysis</w:t>
      </w:r>
    </w:p>
    <w:p w:rsidR="009B0460" w:rsidRDefault="009B0460" w:rsidP="007C3137">
      <w:pPr>
        <w:pStyle w:val="ListParagraph"/>
        <w:numPr>
          <w:ilvl w:val="0"/>
          <w:numId w:val="108"/>
        </w:numPr>
        <w:ind w:firstLineChars="0"/>
      </w:pPr>
      <w:r>
        <w:rPr>
          <w:rFonts w:hint="eastAsia"/>
        </w:rPr>
        <w:t xml:space="preserve">Outlay = -FCInv </w:t>
      </w:r>
      <w:r>
        <w:t>–</w:t>
      </w:r>
      <w:r>
        <w:rPr>
          <w:rFonts w:hint="eastAsia"/>
        </w:rPr>
        <w:t xml:space="preserve"> NWInc </w:t>
      </w:r>
      <w:r>
        <w:t>+ SaleOld</w:t>
      </w:r>
      <w:r w:rsidRPr="009B0460">
        <w:rPr>
          <w:vertAlign w:val="subscript"/>
        </w:rPr>
        <w:t>0</w:t>
      </w:r>
      <w:r>
        <w:t xml:space="preserve"> – T * (SaleOld</w:t>
      </w:r>
      <w:r w:rsidRPr="009B0460">
        <w:rPr>
          <w:vertAlign w:val="subscript"/>
        </w:rPr>
        <w:t>0</w:t>
      </w:r>
      <w:r>
        <w:t xml:space="preserve"> – BookOld</w:t>
      </w:r>
      <w:r w:rsidRPr="009B0460">
        <w:rPr>
          <w:vertAlign w:val="subscript"/>
        </w:rPr>
        <w:t>0</w:t>
      </w:r>
      <w:r>
        <w:t>)</w:t>
      </w:r>
    </w:p>
    <w:p w:rsidR="009B0460" w:rsidRDefault="009B0460" w:rsidP="007C3137">
      <w:pPr>
        <w:pStyle w:val="ListParagraph"/>
        <w:numPr>
          <w:ilvl w:val="0"/>
          <w:numId w:val="108"/>
        </w:numPr>
        <w:ind w:firstLineChars="0"/>
      </w:pPr>
      <w:r>
        <w:rPr>
          <w:rFonts w:hint="eastAsia"/>
        </w:rPr>
        <w:t>Δ</w:t>
      </w:r>
      <w:r>
        <w:t>CF = (</w:t>
      </w:r>
      <w:r>
        <w:rPr>
          <w:rFonts w:hint="eastAsia"/>
        </w:rPr>
        <w:t>Δ</w:t>
      </w:r>
      <w:r>
        <w:rPr>
          <w:rFonts w:hint="eastAsia"/>
        </w:rPr>
        <w:t xml:space="preserve">Sales </w:t>
      </w:r>
      <w:r>
        <w:t xml:space="preserve">– </w:t>
      </w:r>
      <w:r>
        <w:rPr>
          <w:rFonts w:hint="eastAsia"/>
        </w:rPr>
        <w:t>Δ</w:t>
      </w:r>
      <w:r>
        <w:t>c</w:t>
      </w:r>
      <w:r>
        <w:rPr>
          <w:rFonts w:hint="eastAsia"/>
        </w:rPr>
        <w:t xml:space="preserve">ost </w:t>
      </w:r>
      <w:r>
        <w:t xml:space="preserve">– </w:t>
      </w:r>
      <w:r>
        <w:rPr>
          <w:rFonts w:hint="eastAsia"/>
        </w:rPr>
        <w:t>Δ</w:t>
      </w:r>
      <w:r>
        <w:rPr>
          <w:rFonts w:hint="eastAsia"/>
        </w:rPr>
        <w:t>depreciation)</w:t>
      </w:r>
      <w:r>
        <w:t xml:space="preserve"> * (1 - Tax) + </w:t>
      </w:r>
      <w:r>
        <w:rPr>
          <w:rFonts w:hint="eastAsia"/>
        </w:rPr>
        <w:t>Δ</w:t>
      </w:r>
      <w:r>
        <w:rPr>
          <w:rFonts w:hint="eastAsia"/>
        </w:rPr>
        <w:t>depreciation</w:t>
      </w:r>
    </w:p>
    <w:p w:rsidR="009B0460" w:rsidRDefault="009B0460" w:rsidP="007C3137">
      <w:pPr>
        <w:pStyle w:val="ListParagraph"/>
        <w:numPr>
          <w:ilvl w:val="0"/>
          <w:numId w:val="108"/>
        </w:numPr>
        <w:ind w:firstLineChars="0"/>
      </w:pPr>
      <w:r>
        <w:t xml:space="preserve">Terminal year non-operating CF = </w:t>
      </w:r>
      <w:r>
        <w:rPr>
          <w:rFonts w:hint="eastAsia"/>
        </w:rPr>
        <w:t>Δ</w:t>
      </w:r>
      <w:r>
        <w:rPr>
          <w:rFonts w:hint="eastAsia"/>
        </w:rPr>
        <w:t xml:space="preserve">Sales </w:t>
      </w:r>
      <w:r>
        <w:t>+ NWCInv – T * (</w:t>
      </w:r>
      <w:r>
        <w:rPr>
          <w:rFonts w:hint="eastAsia"/>
        </w:rPr>
        <w:t>Δ</w:t>
      </w:r>
      <w:r>
        <w:rPr>
          <w:rFonts w:hint="eastAsia"/>
        </w:rPr>
        <w:t xml:space="preserve">Sales </w:t>
      </w:r>
      <w:r>
        <w:t xml:space="preserve">– </w:t>
      </w:r>
      <w:r>
        <w:rPr>
          <w:rFonts w:hint="eastAsia"/>
        </w:rPr>
        <w:t>Δ</w:t>
      </w:r>
      <w:r>
        <w:t>b</w:t>
      </w:r>
      <w:r>
        <w:rPr>
          <w:rFonts w:hint="eastAsia"/>
        </w:rPr>
        <w:t>ook)</w:t>
      </w:r>
    </w:p>
    <w:p w:rsidR="00BB6853" w:rsidRDefault="00BB6853" w:rsidP="00BB6853">
      <w:r>
        <w:t>*depreciation includes installing costs.</w:t>
      </w:r>
    </w:p>
    <w:p w:rsidR="00731669" w:rsidRDefault="00731669" w:rsidP="00BB6853"/>
    <w:p w:rsidR="00731669" w:rsidRDefault="00731669" w:rsidP="007C3137">
      <w:pPr>
        <w:pStyle w:val="Level3"/>
        <w:numPr>
          <w:ilvl w:val="2"/>
          <w:numId w:val="124"/>
        </w:numPr>
        <w:spacing w:after="156"/>
      </w:pPr>
      <w:r>
        <w:rPr>
          <w:rFonts w:hint="eastAsia"/>
        </w:rPr>
        <w:t>Calculate and interpret accounting income and economic income in the context of capital budgeting.</w:t>
      </w:r>
    </w:p>
    <w:p w:rsidR="00731669" w:rsidRDefault="00731669" w:rsidP="00731669">
      <w:r>
        <w:rPr>
          <w:rFonts w:hint="eastAsia"/>
        </w:rPr>
        <w:t>Beginning market value = PV of all cash flow</w:t>
      </w:r>
    </w:p>
    <w:p w:rsidR="00731669" w:rsidRDefault="00731669" w:rsidP="00731669">
      <w:r>
        <w:t>Economic income = cash flow + change in market value</w:t>
      </w:r>
    </w:p>
    <w:p w:rsidR="00731669" w:rsidRDefault="00731669" w:rsidP="00731669">
      <w:r>
        <w:rPr>
          <w:noProof/>
        </w:rPr>
        <w:drawing>
          <wp:inline distT="0" distB="0" distL="0" distR="0" wp14:anchorId="77598AEF" wp14:editId="34D364D1">
            <wp:extent cx="5274310" cy="18745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874520"/>
                    </a:xfrm>
                    <a:prstGeom prst="rect">
                      <a:avLst/>
                    </a:prstGeom>
                  </pic:spPr>
                </pic:pic>
              </a:graphicData>
            </a:graphic>
          </wp:inline>
        </w:drawing>
      </w:r>
    </w:p>
    <w:p w:rsidR="00F9560C" w:rsidRDefault="00F9560C" w:rsidP="00731669"/>
    <w:p w:rsidR="00F9560C" w:rsidRDefault="00F9560C" w:rsidP="00F9560C">
      <w:pPr>
        <w:pStyle w:val="Level3"/>
        <w:spacing w:after="156"/>
      </w:pPr>
      <w:r>
        <w:rPr>
          <w:rFonts w:hint="eastAsia"/>
        </w:rPr>
        <w:t>Distinguish among the economic profit, residual income, and claims valuation models for capital budgeting and evaluate a capital project using each.</w:t>
      </w:r>
    </w:p>
    <w:p w:rsidR="00F9560C" w:rsidRDefault="00F9560C" w:rsidP="00F9560C">
      <w:r>
        <w:t>Economic profit = EBIT * (1 – tax) - $WACC</w:t>
      </w:r>
      <w:r w:rsidR="00384558">
        <w:t xml:space="preserve"> (remaining book value of investment * Rwacc)</w:t>
      </w:r>
    </w:p>
    <w:p w:rsidR="00F9560C" w:rsidRDefault="00F9560C" w:rsidP="00F9560C">
      <w:r>
        <w:rPr>
          <w:rFonts w:hint="eastAsia"/>
        </w:rPr>
        <w:t xml:space="preserve">Market value added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EP</m:t>
                    </m:r>
                  </m:e>
                  <m:sub>
                    <m:r>
                      <w:rPr>
                        <w:rFonts w:ascii="Cambria Math" w:hAnsi="Cambria Math"/>
                      </w:rPr>
                      <m:t>i</m:t>
                    </m:r>
                  </m:sub>
                </m:sSub>
              </m:num>
              <m:den>
                <m:sSup>
                  <m:sSupPr>
                    <m:ctrlPr>
                      <w:rPr>
                        <w:rFonts w:ascii="Cambria Math" w:hAnsi="Cambria Math"/>
                        <w:i/>
                      </w:rPr>
                    </m:ctrlPr>
                  </m:sSupPr>
                  <m:e>
                    <m:r>
                      <w:rPr>
                        <w:rFonts w:ascii="Cambria Math" w:hAnsi="Cambria Math"/>
                      </w:rPr>
                      <m:t>(1+WACC)</m:t>
                    </m:r>
                  </m:e>
                  <m:sup>
                    <m:r>
                      <w:rPr>
                        <w:rFonts w:ascii="Cambria Math" w:hAnsi="Cambria Math"/>
                      </w:rPr>
                      <m:t>I</m:t>
                    </m:r>
                  </m:sup>
                </m:sSup>
              </m:den>
            </m:f>
          </m:e>
        </m:nary>
      </m:oMath>
    </w:p>
    <w:p w:rsidR="008C7B8E" w:rsidRPr="00F9560C" w:rsidRDefault="008C7B8E" w:rsidP="00F9560C">
      <w:pPr>
        <w:rPr>
          <w:rFonts w:hint="eastAsia"/>
        </w:rPr>
      </w:pPr>
      <w:r>
        <w:rPr>
          <w:rFonts w:hint="eastAsia"/>
        </w:rPr>
        <w:t xml:space="preserve">Book value </w:t>
      </w:r>
      <w:r>
        <w:t>of equity</w:t>
      </w:r>
      <w:r>
        <w:rPr>
          <w:rFonts w:hint="eastAsia"/>
        </w:rPr>
        <w:t xml:space="preserve"> + Market value Added = </w:t>
      </w:r>
      <w:r>
        <w:t>M</w:t>
      </w:r>
      <w:r>
        <w:rPr>
          <w:rFonts w:hint="eastAsia"/>
        </w:rPr>
        <w:t>arket value of equity</w:t>
      </w:r>
      <w:r w:rsidR="00811F4A">
        <w:t xml:space="preserve"> = PV of future dividend</w:t>
      </w:r>
    </w:p>
    <w:p w:rsidR="00731669" w:rsidRPr="00731669" w:rsidRDefault="00731669" w:rsidP="00731669"/>
    <w:p w:rsidR="002E4345" w:rsidRDefault="002E4345" w:rsidP="002E4345">
      <w:pPr>
        <w:pStyle w:val="Level2"/>
      </w:pPr>
      <w:r>
        <w:rPr>
          <w:rFonts w:hint="eastAsia"/>
        </w:rPr>
        <w:t>Capital Structure</w:t>
      </w:r>
    </w:p>
    <w:p w:rsidR="002E4345" w:rsidRDefault="00253C7B" w:rsidP="002E4345">
      <w:pPr>
        <w:pStyle w:val="Level3"/>
        <w:spacing w:after="156"/>
      </w:pPr>
      <w:r>
        <w:rPr>
          <w:rFonts w:hint="eastAsia"/>
        </w:rPr>
        <w:t>E</w:t>
      </w:r>
      <w:r>
        <w:t>xplain the MM propositions regarding capital structure, including the effects of leverage, taxes, financial distress, agency costs, and asymmetric information on a company’s cost of equity, cost of capital, and optimal capital structure.</w:t>
      </w:r>
    </w:p>
    <w:p w:rsidR="00DC6795" w:rsidRDefault="008B6B90" w:rsidP="00DC6795">
      <m:oMath>
        <m:sSub>
          <m:sSubPr>
            <m:ctrlPr>
              <w:rPr>
                <w:rFonts w:ascii="Cambria Math" w:hAnsi="Cambria Math"/>
              </w:rPr>
            </m:ctrlPr>
          </m:sSubPr>
          <m:e>
            <m:r>
              <w:rPr>
                <w:rFonts w:ascii="Cambria Math" w:hAnsi="Cambria Math"/>
              </w:rPr>
              <m:t>r</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)(1-t)</m:t>
        </m:r>
        <m:f>
          <m:fPr>
            <m:ctrlPr>
              <w:rPr>
                <w:rFonts w:ascii="Cambria Math" w:hAnsi="Cambria Math"/>
                <w:i/>
              </w:rPr>
            </m:ctrlPr>
          </m:fPr>
          <m:num>
            <m:r>
              <w:rPr>
                <w:rFonts w:ascii="Cambria Math" w:hAnsi="Cambria Math"/>
              </w:rPr>
              <m:t>D</m:t>
            </m:r>
          </m:num>
          <m:den>
            <m:r>
              <w:rPr>
                <w:rFonts w:ascii="Cambria Math" w:hAnsi="Cambria Math"/>
              </w:rPr>
              <m:t>E</m:t>
            </m:r>
          </m:den>
        </m:f>
      </m:oMath>
      <w:r w:rsidR="008064B3">
        <w:tab/>
      </w:r>
    </w:p>
    <w:p w:rsidR="008064B3" w:rsidRPr="008064B3" w:rsidRDefault="008B6B90" w:rsidP="00DC6795">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EBIT(1-t)</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oMath>
      </m:oMathPara>
    </w:p>
    <w:p w:rsidR="008064B3" w:rsidRPr="00DC6795" w:rsidRDefault="008B6B90" w:rsidP="00DC6795">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u</m:t>
              </m:r>
            </m:sub>
          </m:sSub>
          <m:r>
            <w:rPr>
              <w:rFonts w:ascii="Cambria Math" w:hAnsi="Cambria Math"/>
            </w:rPr>
            <m:t>+tD</m:t>
          </m:r>
        </m:oMath>
      </m:oMathPara>
    </w:p>
    <w:p w:rsidR="00DC6795" w:rsidRDefault="00DC6795" w:rsidP="00DC6795"/>
    <w:p w:rsidR="00253C7B" w:rsidRDefault="00253C7B" w:rsidP="00253C7B">
      <w:bookmarkStart w:id="0" w:name="_GoBack"/>
      <w:bookmarkEnd w:id="0"/>
      <w:r>
        <w:lastRenderedPageBreak/>
        <w:t>Pecking order theory</w:t>
      </w:r>
    </w:p>
    <w:p w:rsidR="00253C7B" w:rsidRDefault="00253C7B" w:rsidP="00253C7B">
      <w:r>
        <w:t>According to pecking order theory, managers prefer to make financing choices that are least likely to send signals to investors.</w:t>
      </w:r>
    </w:p>
    <w:p w:rsidR="008064B3" w:rsidRDefault="008064B3" w:rsidP="00253C7B"/>
    <w:p w:rsidR="001F2E01" w:rsidRDefault="001F2E01" w:rsidP="001F2E01">
      <w:pPr>
        <w:pStyle w:val="Level2"/>
      </w:pPr>
      <w:r>
        <w:rPr>
          <w:rFonts w:hint="eastAsia"/>
        </w:rPr>
        <w:t>Dividends and Share Repurchases: Analysis</w:t>
      </w:r>
    </w:p>
    <w:p w:rsidR="001F2E01" w:rsidRDefault="001F2E01" w:rsidP="007C3137">
      <w:pPr>
        <w:pStyle w:val="Level3"/>
        <w:numPr>
          <w:ilvl w:val="2"/>
          <w:numId w:val="109"/>
        </w:numPr>
        <w:spacing w:after="156"/>
      </w:pPr>
      <w:r>
        <w:rPr>
          <w:rFonts w:hint="eastAsia"/>
        </w:rPr>
        <w:t>Explain how clientele effects and agency issues may affect a company</w:t>
      </w:r>
      <w:r>
        <w:t>’s payout policy.</w:t>
      </w:r>
    </w:p>
    <w:p w:rsidR="001F2E01" w:rsidRDefault="001F2E01" w:rsidP="001F2E01">
      <w:r>
        <w:t>In the presence of differential tax rates on dividends and capital gains, investors would be indifferent between receiving: $D in dividends or capital gains (</w:t>
      </w:r>
      <w:r>
        <w:rPr>
          <w:rFonts w:hint="eastAsia"/>
        </w:rPr>
        <w:t>Δ</w:t>
      </w:r>
      <w:r>
        <w:rPr>
          <w:rFonts w:hint="eastAsia"/>
        </w:rPr>
        <w:t xml:space="preserve">P) $D * (1 </w:t>
      </w:r>
      <w:r>
        <w:t>–</w:t>
      </w:r>
      <w:r>
        <w:rPr>
          <w:rFonts w:hint="eastAsia"/>
        </w:rPr>
        <w:t xml:space="preserve"> TD) / ( 1 </w:t>
      </w:r>
      <w:r>
        <w:t>–</w:t>
      </w:r>
      <w:r>
        <w:rPr>
          <w:rFonts w:hint="eastAsia"/>
        </w:rPr>
        <w:t xml:space="preserve"> T</w:t>
      </w:r>
      <w:r w:rsidRPr="001F2E01">
        <w:rPr>
          <w:vertAlign w:val="subscript"/>
        </w:rPr>
        <w:t>c</w:t>
      </w:r>
      <w:r w:rsidRPr="001F2E01">
        <w:rPr>
          <w:rFonts w:hint="eastAsia"/>
          <w:vertAlign w:val="subscript"/>
        </w:rPr>
        <w:t xml:space="preserve">apital </w:t>
      </w:r>
      <w:r w:rsidRPr="001F2E01">
        <w:rPr>
          <w:vertAlign w:val="subscript"/>
        </w:rPr>
        <w:t>gain</w:t>
      </w:r>
      <w:r>
        <w:t>)</w:t>
      </w:r>
    </w:p>
    <w:p w:rsidR="002913E7" w:rsidRDefault="002913E7" w:rsidP="001F2E01"/>
    <w:p w:rsidR="002913E7" w:rsidRDefault="002913E7" w:rsidP="007C3137">
      <w:pPr>
        <w:pStyle w:val="Level3"/>
        <w:numPr>
          <w:ilvl w:val="2"/>
          <w:numId w:val="110"/>
        </w:numPr>
        <w:spacing w:after="156"/>
      </w:pPr>
      <w:r>
        <w:rPr>
          <w:rFonts w:hint="eastAsia"/>
        </w:rPr>
        <w:t>Compare stable dividend, constant dividend payout ratio, and RI payout policies, and calculate the dividend under each policy</w:t>
      </w:r>
      <w:r>
        <w:t>.</w:t>
      </w:r>
    </w:p>
    <w:p w:rsidR="002913E7" w:rsidRDefault="002913E7" w:rsidP="007C3137">
      <w:pPr>
        <w:pStyle w:val="ListParagraph"/>
        <w:numPr>
          <w:ilvl w:val="0"/>
          <w:numId w:val="125"/>
        </w:numPr>
        <w:ind w:firstLineChars="0"/>
      </w:pPr>
      <w:r>
        <w:t>Stable Dividend policy</w:t>
      </w:r>
    </w:p>
    <w:p w:rsidR="002913E7" w:rsidRDefault="002913E7" w:rsidP="002913E7">
      <w:r>
        <w:t>Expected dividend = previous dividend + increase in EPS * target payout ratio * adjustment factor</w:t>
      </w:r>
    </w:p>
    <w:p w:rsidR="002913E7" w:rsidRDefault="002913E7" w:rsidP="002913E7">
      <w:r>
        <w:t>Adjustment factor = 1 / number of years over which the adjustment in dividends will take place</w:t>
      </w:r>
    </w:p>
    <w:p w:rsidR="00222734" w:rsidRDefault="00222734" w:rsidP="007C3137">
      <w:pPr>
        <w:pStyle w:val="ListParagraph"/>
        <w:numPr>
          <w:ilvl w:val="0"/>
          <w:numId w:val="125"/>
        </w:numPr>
        <w:ind w:firstLineChars="0"/>
      </w:pPr>
      <w:r>
        <w:rPr>
          <w:rFonts w:hint="eastAsia"/>
        </w:rPr>
        <w:t>Constant Dividend Payout Ratio policy</w:t>
      </w:r>
    </w:p>
    <w:p w:rsidR="00DF7B58" w:rsidRDefault="00DF7B58" w:rsidP="007C3137">
      <w:pPr>
        <w:pStyle w:val="ListParagraph"/>
        <w:numPr>
          <w:ilvl w:val="0"/>
          <w:numId w:val="125"/>
        </w:numPr>
        <w:ind w:firstLineChars="0"/>
      </w:pPr>
      <w:r>
        <w:t>Residual Dividend Model</w:t>
      </w:r>
    </w:p>
    <w:p w:rsidR="00234A7A" w:rsidRDefault="00DF7B58" w:rsidP="002913E7">
      <w:r>
        <w:t>Dividends = earnings – funds retained to finance equity portion of target capital budget</w:t>
      </w:r>
    </w:p>
    <w:p w:rsidR="00234A7A" w:rsidRDefault="00234A7A" w:rsidP="002913E7"/>
    <w:p w:rsidR="00234A7A" w:rsidRDefault="00234A7A" w:rsidP="007C3137">
      <w:pPr>
        <w:pStyle w:val="Level3"/>
        <w:numPr>
          <w:ilvl w:val="2"/>
          <w:numId w:val="111"/>
        </w:numPr>
        <w:spacing w:after="156"/>
      </w:pPr>
      <w:r>
        <w:rPr>
          <w:rFonts w:hint="eastAsia"/>
        </w:rPr>
        <w:t>Calculate and interpret dividend coverage ratios based on net income and free cash flow</w:t>
      </w:r>
    </w:p>
    <w:p w:rsidR="00234A7A" w:rsidRDefault="00234A7A" w:rsidP="00234A7A">
      <w:r>
        <w:t>Dividend coverage ratio = net income / dividends</w:t>
      </w:r>
    </w:p>
    <w:p w:rsidR="00234A7A" w:rsidRDefault="00234A7A" w:rsidP="00234A7A">
      <w:r>
        <w:t>FCFE coverage ratio = FCFE / (dividends + share repurchases)</w:t>
      </w:r>
    </w:p>
    <w:p w:rsidR="00A34699" w:rsidRDefault="00A34699" w:rsidP="00234A7A"/>
    <w:p w:rsidR="00A34699" w:rsidRDefault="00A34699" w:rsidP="00A34699">
      <w:pPr>
        <w:pStyle w:val="Level2"/>
      </w:pPr>
      <w:r>
        <w:rPr>
          <w:rFonts w:hint="eastAsia"/>
        </w:rPr>
        <w:t>Corporate Performance, Governance and Business Ethics</w:t>
      </w:r>
    </w:p>
    <w:p w:rsidR="00A34699" w:rsidRDefault="00A34699" w:rsidP="007C3137">
      <w:pPr>
        <w:pStyle w:val="Level3"/>
        <w:numPr>
          <w:ilvl w:val="2"/>
          <w:numId w:val="112"/>
        </w:numPr>
        <w:spacing w:after="156"/>
      </w:pPr>
      <w:r>
        <w:rPr>
          <w:rFonts w:hint="eastAsia"/>
        </w:rPr>
        <w:t>Compare the Friedman doctrine, Utilitarianism, Kantian Ethics, and Rights and Justice Theories as approaches to ethical decision making.</w:t>
      </w:r>
    </w:p>
    <w:p w:rsidR="00A34699" w:rsidRDefault="00A34699" w:rsidP="007C3137">
      <w:pPr>
        <w:pStyle w:val="ListParagraph"/>
        <w:numPr>
          <w:ilvl w:val="0"/>
          <w:numId w:val="113"/>
        </w:numPr>
        <w:ind w:firstLineChars="0"/>
      </w:pPr>
      <w:r>
        <w:rPr>
          <w:rFonts w:hint="eastAsia"/>
        </w:rPr>
        <w:t xml:space="preserve">Friedman Doctrine: The only social </w:t>
      </w:r>
      <w:r>
        <w:t>responsibility</w:t>
      </w:r>
      <w:r>
        <w:rPr>
          <w:rFonts w:hint="eastAsia"/>
        </w:rPr>
        <w:t xml:space="preserve"> </w:t>
      </w:r>
      <w:r>
        <w:t>of a business is to increase profits within the rules of the game</w:t>
      </w:r>
    </w:p>
    <w:p w:rsidR="00A34699" w:rsidRDefault="00A34699" w:rsidP="007C3137">
      <w:pPr>
        <w:pStyle w:val="ListParagraph"/>
        <w:numPr>
          <w:ilvl w:val="0"/>
          <w:numId w:val="113"/>
        </w:numPr>
        <w:ind w:firstLineChars="0"/>
      </w:pPr>
      <w:r>
        <w:t>Utilitarianism argues that business must weigh the consequences to society of each of their actions and to seek to produce the highest good for the largest number of people.</w:t>
      </w:r>
    </w:p>
    <w:p w:rsidR="00A34699" w:rsidRDefault="00A34699" w:rsidP="007C3137">
      <w:pPr>
        <w:pStyle w:val="ListParagraph"/>
        <w:numPr>
          <w:ilvl w:val="0"/>
          <w:numId w:val="113"/>
        </w:numPr>
        <w:ind w:firstLineChars="0"/>
      </w:pPr>
      <w:r>
        <w:t>Kantian ethics argue that people are different from other factors of production and deserve dignity and respect.</w:t>
      </w:r>
    </w:p>
    <w:p w:rsidR="00A34699" w:rsidRDefault="00A34699" w:rsidP="007C3137">
      <w:pPr>
        <w:pStyle w:val="ListParagraph"/>
        <w:numPr>
          <w:ilvl w:val="0"/>
          <w:numId w:val="113"/>
        </w:numPr>
        <w:ind w:firstLineChars="0"/>
      </w:pPr>
      <w:r>
        <w:t>Rights theories argue that all individuals have fundamental rights and privileges.</w:t>
      </w:r>
    </w:p>
    <w:p w:rsidR="00A34699" w:rsidRDefault="00A34699" w:rsidP="007C3137">
      <w:pPr>
        <w:pStyle w:val="ListParagraph"/>
        <w:numPr>
          <w:ilvl w:val="0"/>
          <w:numId w:val="113"/>
        </w:numPr>
        <w:ind w:firstLineChars="0"/>
      </w:pPr>
      <w:r>
        <w:t>Justice theories focus on a just distribution of economic output.</w:t>
      </w:r>
    </w:p>
    <w:p w:rsidR="00B8053F" w:rsidRDefault="00B8053F" w:rsidP="00B8053F"/>
    <w:p w:rsidR="00B8053F" w:rsidRDefault="00B8053F" w:rsidP="00B8053F">
      <w:pPr>
        <w:pStyle w:val="Level2"/>
      </w:pPr>
      <w:r>
        <w:rPr>
          <w:rFonts w:hint="eastAsia"/>
        </w:rPr>
        <w:t>Co</w:t>
      </w:r>
      <w:r>
        <w:t>rporate Governance</w:t>
      </w:r>
    </w:p>
    <w:p w:rsidR="00B8053F" w:rsidRDefault="00B8053F" w:rsidP="00B8053F">
      <w:pPr>
        <w:pStyle w:val="Level3"/>
        <w:spacing w:after="156"/>
      </w:pPr>
      <w:r>
        <w:rPr>
          <w:rFonts w:hint="eastAsia"/>
        </w:rPr>
        <w:t>Describe objectives and core attributes of an effective corporate governance system and evaluate whether a company</w:t>
      </w:r>
      <w:r>
        <w:t>’s corporate governance has those attributes.</w:t>
      </w:r>
    </w:p>
    <w:p w:rsidR="00B8053F" w:rsidRDefault="00B8053F" w:rsidP="00B8053F">
      <w:r>
        <w:t>Two objectives</w:t>
      </w:r>
    </w:p>
    <w:p w:rsidR="00B8053F" w:rsidRDefault="00B8053F" w:rsidP="007C3137">
      <w:pPr>
        <w:pStyle w:val="ListParagraph"/>
        <w:numPr>
          <w:ilvl w:val="0"/>
          <w:numId w:val="126"/>
        </w:numPr>
        <w:ind w:firstLineChars="0"/>
      </w:pPr>
      <w:r>
        <w:t>T</w:t>
      </w:r>
      <w:r>
        <w:rPr>
          <w:rFonts w:hint="eastAsia"/>
        </w:rPr>
        <w:t xml:space="preserve">o </w:t>
      </w:r>
      <w:r>
        <w:t>eliminate or mitigate conflicts of interest, particularly those between managers and shareholders.</w:t>
      </w:r>
    </w:p>
    <w:p w:rsidR="00B8053F" w:rsidRDefault="00B8053F" w:rsidP="007C3137">
      <w:pPr>
        <w:pStyle w:val="ListParagraph"/>
        <w:numPr>
          <w:ilvl w:val="0"/>
          <w:numId w:val="126"/>
        </w:numPr>
        <w:ind w:firstLineChars="0"/>
      </w:pPr>
      <w:r>
        <w:t>To ensure that the assets of the company are used efficiently and productively and in the best interests of its investors and other stakeholders.</w:t>
      </w:r>
    </w:p>
    <w:p w:rsidR="00B8053F" w:rsidRDefault="00B8053F" w:rsidP="00B8053F">
      <w:r>
        <w:rPr>
          <w:rFonts w:hint="eastAsia"/>
        </w:rPr>
        <w:lastRenderedPageBreak/>
        <w:t>Core attributes of an effective corporate governance system</w:t>
      </w:r>
    </w:p>
    <w:p w:rsidR="00B8053F" w:rsidRDefault="00B8053F" w:rsidP="007C3137">
      <w:pPr>
        <w:pStyle w:val="ListParagraph"/>
        <w:numPr>
          <w:ilvl w:val="0"/>
          <w:numId w:val="127"/>
        </w:numPr>
        <w:ind w:firstLineChars="0"/>
      </w:pPr>
      <w:r>
        <w:t>D</w:t>
      </w:r>
      <w:r>
        <w:rPr>
          <w:rFonts w:hint="eastAsia"/>
        </w:rPr>
        <w:t xml:space="preserve">elineation </w:t>
      </w:r>
      <w:r>
        <w:t>of the rights of shareholders and other core stake holders.</w:t>
      </w:r>
    </w:p>
    <w:p w:rsidR="00B8053F" w:rsidRDefault="00B8053F" w:rsidP="007C3137">
      <w:pPr>
        <w:pStyle w:val="ListParagraph"/>
        <w:numPr>
          <w:ilvl w:val="0"/>
          <w:numId w:val="127"/>
        </w:numPr>
        <w:ind w:firstLineChars="0"/>
      </w:pPr>
      <w:r>
        <w:t>Clearly defined manager and director governance responsibilities to stakeholders.</w:t>
      </w:r>
    </w:p>
    <w:p w:rsidR="00B8053F" w:rsidRDefault="00B8053F" w:rsidP="007C3137">
      <w:pPr>
        <w:pStyle w:val="ListParagraph"/>
        <w:numPr>
          <w:ilvl w:val="0"/>
          <w:numId w:val="127"/>
        </w:numPr>
        <w:ind w:firstLineChars="0"/>
      </w:pPr>
      <w:r>
        <w:t>Identifiable and measurable accountabilities for the performance of the responsibilities.</w:t>
      </w:r>
    </w:p>
    <w:p w:rsidR="00B8053F" w:rsidRDefault="00B8053F" w:rsidP="007C3137">
      <w:pPr>
        <w:pStyle w:val="ListParagraph"/>
        <w:numPr>
          <w:ilvl w:val="0"/>
          <w:numId w:val="127"/>
        </w:numPr>
        <w:ind w:firstLineChars="0"/>
      </w:pPr>
      <w:r>
        <w:t>Fairness and equitable treatment in all dealings between managers, directors and shareholders.</w:t>
      </w:r>
    </w:p>
    <w:p w:rsidR="00B8053F" w:rsidRPr="00B8053F" w:rsidRDefault="00B8053F" w:rsidP="007C3137">
      <w:pPr>
        <w:pStyle w:val="ListParagraph"/>
        <w:numPr>
          <w:ilvl w:val="0"/>
          <w:numId w:val="127"/>
        </w:numPr>
        <w:ind w:firstLineChars="0"/>
      </w:pPr>
      <w:r>
        <w:t>Complete transparency and accuracy in disclosures regarding operations, performance, risk and financial position.</w:t>
      </w:r>
    </w:p>
    <w:p w:rsidR="00221DB9" w:rsidRDefault="00221DB9" w:rsidP="00221DB9"/>
    <w:p w:rsidR="00221DB9" w:rsidRDefault="00221DB9" w:rsidP="007C3137">
      <w:pPr>
        <w:pStyle w:val="Level2"/>
        <w:numPr>
          <w:ilvl w:val="1"/>
          <w:numId w:val="115"/>
        </w:numPr>
      </w:pPr>
      <w:r>
        <w:rPr>
          <w:rFonts w:hint="eastAsia"/>
        </w:rPr>
        <w:t>Mer</w:t>
      </w:r>
      <w:r>
        <w:t>gers and Acquisitions</w:t>
      </w:r>
    </w:p>
    <w:p w:rsidR="00221DB9" w:rsidRDefault="00221DB9" w:rsidP="00221DB9">
      <w:pPr>
        <w:pStyle w:val="Level3"/>
        <w:spacing w:after="156"/>
      </w:pPr>
      <w:r>
        <w:rPr>
          <w:rFonts w:hint="eastAsia"/>
        </w:rPr>
        <w:t>C</w:t>
      </w:r>
      <w:r>
        <w:t>lassify merger and acquisition activities based on forms of integration and relatedness of business activities.</w:t>
      </w:r>
    </w:p>
    <w:p w:rsidR="00221DB9" w:rsidRDefault="00221DB9" w:rsidP="007C3137">
      <w:pPr>
        <w:pStyle w:val="ListParagraph"/>
        <w:numPr>
          <w:ilvl w:val="0"/>
          <w:numId w:val="114"/>
        </w:numPr>
        <w:ind w:firstLineChars="0"/>
      </w:pPr>
      <w:r>
        <w:rPr>
          <w:rFonts w:hint="eastAsia"/>
        </w:rPr>
        <w:t xml:space="preserve">In a statutory </w:t>
      </w:r>
      <w:r>
        <w:t>merger, the acquiring company acquires all of the target’s assets and liabilities.</w:t>
      </w:r>
    </w:p>
    <w:p w:rsidR="00221DB9" w:rsidRDefault="00221DB9" w:rsidP="007C3137">
      <w:pPr>
        <w:pStyle w:val="ListParagraph"/>
        <w:numPr>
          <w:ilvl w:val="0"/>
          <w:numId w:val="114"/>
        </w:numPr>
        <w:ind w:firstLineChars="0"/>
      </w:pPr>
      <w:r>
        <w:t>In a subsidiary merger, the target company becomes a subsidiary of the purchaser.</w:t>
      </w:r>
    </w:p>
    <w:p w:rsidR="00221DB9" w:rsidRDefault="00221DB9" w:rsidP="007C3137">
      <w:pPr>
        <w:pStyle w:val="ListParagraph"/>
        <w:numPr>
          <w:ilvl w:val="0"/>
          <w:numId w:val="114"/>
        </w:numPr>
        <w:ind w:firstLineChars="0"/>
      </w:pPr>
      <w:r>
        <w:t>With a consolidation, both companies cease to exist in their prior form, and they come to form a new company.</w:t>
      </w:r>
    </w:p>
    <w:p w:rsidR="00017820" w:rsidRDefault="00017820" w:rsidP="00017820"/>
    <w:p w:rsidR="00017820" w:rsidRDefault="00017820" w:rsidP="00017820">
      <w:pPr>
        <w:pStyle w:val="Level3"/>
        <w:spacing w:after="156"/>
      </w:pPr>
      <w:r>
        <w:rPr>
          <w:rFonts w:hint="eastAsia"/>
        </w:rPr>
        <w:t>Explain bootstrapping of EPS and calculate a company</w:t>
      </w:r>
      <w:r>
        <w:t>’s postmerger EPS.</w:t>
      </w:r>
    </w:p>
    <w:p w:rsidR="00017820" w:rsidRDefault="00017820" w:rsidP="00017820">
      <w:r>
        <w:rPr>
          <w:rFonts w:hint="eastAsia"/>
        </w:rPr>
        <w:t xml:space="preserve">The bootstrap effects occurs when a high P/E firm acquires a low P/E firm. </w:t>
      </w:r>
      <w:r>
        <w:t>The result is a higher EPS, even when the merger creates no synergistic value.</w:t>
      </w:r>
    </w:p>
    <w:p w:rsidR="00487367" w:rsidRDefault="00487367" w:rsidP="00017820"/>
    <w:p w:rsidR="00487367" w:rsidRDefault="00487367" w:rsidP="00487367">
      <w:pPr>
        <w:pStyle w:val="Level3"/>
        <w:spacing w:after="156"/>
      </w:pPr>
      <w:r>
        <w:rPr>
          <w:rFonts w:hint="eastAsia"/>
        </w:rPr>
        <w:t>Contrast merger transaction characteristics by form of acquisition, method of payment, and attitude of target management.</w:t>
      </w:r>
    </w:p>
    <w:p w:rsidR="00487367" w:rsidRDefault="00487367" w:rsidP="00487367">
      <w:r>
        <w:t>Key differences between forms of acquisition</w:t>
      </w:r>
    </w:p>
    <w:tbl>
      <w:tblPr>
        <w:tblStyle w:val="TableGrid"/>
        <w:tblW w:w="0" w:type="auto"/>
        <w:tblLook w:val="04A0" w:firstRow="1" w:lastRow="0" w:firstColumn="1" w:lastColumn="0" w:noHBand="0" w:noVBand="1"/>
      </w:tblPr>
      <w:tblGrid>
        <w:gridCol w:w="2765"/>
        <w:gridCol w:w="2765"/>
        <w:gridCol w:w="2766"/>
      </w:tblGrid>
      <w:tr w:rsidR="00487367" w:rsidTr="00487367">
        <w:tc>
          <w:tcPr>
            <w:tcW w:w="2765" w:type="dxa"/>
          </w:tcPr>
          <w:p w:rsidR="00487367" w:rsidRDefault="00487367" w:rsidP="00487367"/>
        </w:tc>
        <w:tc>
          <w:tcPr>
            <w:tcW w:w="2765" w:type="dxa"/>
          </w:tcPr>
          <w:p w:rsidR="00487367" w:rsidRDefault="00487367" w:rsidP="00487367">
            <w:r>
              <w:rPr>
                <w:rFonts w:hint="eastAsia"/>
              </w:rPr>
              <w:t>Stock Purchase</w:t>
            </w:r>
          </w:p>
        </w:tc>
        <w:tc>
          <w:tcPr>
            <w:tcW w:w="2766" w:type="dxa"/>
          </w:tcPr>
          <w:p w:rsidR="00487367" w:rsidRDefault="00487367" w:rsidP="00487367">
            <w:r>
              <w:rPr>
                <w:rFonts w:hint="eastAsia"/>
              </w:rPr>
              <w:t>Asset Purchase</w:t>
            </w:r>
          </w:p>
        </w:tc>
      </w:tr>
      <w:tr w:rsidR="00487367" w:rsidTr="00487367">
        <w:tc>
          <w:tcPr>
            <w:tcW w:w="2765" w:type="dxa"/>
          </w:tcPr>
          <w:p w:rsidR="00487367" w:rsidRDefault="00487367" w:rsidP="00487367">
            <w:r>
              <w:rPr>
                <w:rFonts w:hint="eastAsia"/>
              </w:rPr>
              <w:t>Payment</w:t>
            </w:r>
          </w:p>
        </w:tc>
        <w:tc>
          <w:tcPr>
            <w:tcW w:w="2765" w:type="dxa"/>
          </w:tcPr>
          <w:p w:rsidR="00487367" w:rsidRDefault="00487367" w:rsidP="00487367">
            <w:r>
              <w:t>T</w:t>
            </w:r>
            <w:r>
              <w:rPr>
                <w:rFonts w:hint="eastAsia"/>
              </w:rPr>
              <w:t xml:space="preserve">o </w:t>
            </w:r>
            <w:r>
              <w:t>shareholder</w:t>
            </w:r>
          </w:p>
        </w:tc>
        <w:tc>
          <w:tcPr>
            <w:tcW w:w="2766" w:type="dxa"/>
          </w:tcPr>
          <w:p w:rsidR="00487367" w:rsidRDefault="00487367" w:rsidP="00487367">
            <w:r>
              <w:t>T</w:t>
            </w:r>
            <w:r>
              <w:rPr>
                <w:rFonts w:hint="eastAsia"/>
              </w:rPr>
              <w:t xml:space="preserve">o </w:t>
            </w:r>
            <w:r>
              <w:t>target company</w:t>
            </w:r>
          </w:p>
        </w:tc>
      </w:tr>
      <w:tr w:rsidR="00487367" w:rsidTr="00487367">
        <w:tc>
          <w:tcPr>
            <w:tcW w:w="2765" w:type="dxa"/>
          </w:tcPr>
          <w:p w:rsidR="00487367" w:rsidRDefault="00487367" w:rsidP="00487367">
            <w:r>
              <w:rPr>
                <w:rFonts w:hint="eastAsia"/>
              </w:rPr>
              <w:t>Approval</w:t>
            </w:r>
          </w:p>
        </w:tc>
        <w:tc>
          <w:tcPr>
            <w:tcW w:w="2765" w:type="dxa"/>
          </w:tcPr>
          <w:p w:rsidR="00487367" w:rsidRDefault="00487367" w:rsidP="00487367">
            <w:r>
              <w:rPr>
                <w:rFonts w:hint="eastAsia"/>
              </w:rPr>
              <w:t>Require Majority vot</w:t>
            </w:r>
            <w:r>
              <w:t>e</w:t>
            </w:r>
            <w:r>
              <w:rPr>
                <w:rFonts w:hint="eastAsia"/>
              </w:rPr>
              <w:t>s</w:t>
            </w:r>
          </w:p>
        </w:tc>
        <w:tc>
          <w:tcPr>
            <w:tcW w:w="2766" w:type="dxa"/>
          </w:tcPr>
          <w:p w:rsidR="00487367" w:rsidRDefault="00487367" w:rsidP="00487367">
            <w:r>
              <w:rPr>
                <w:rFonts w:hint="eastAsia"/>
              </w:rPr>
              <w:t>No approval needed</w:t>
            </w:r>
          </w:p>
        </w:tc>
      </w:tr>
      <w:tr w:rsidR="00487367" w:rsidTr="00487367">
        <w:tc>
          <w:tcPr>
            <w:tcW w:w="2765" w:type="dxa"/>
          </w:tcPr>
          <w:p w:rsidR="00487367" w:rsidRDefault="00487367" w:rsidP="00487367">
            <w:r>
              <w:rPr>
                <w:rFonts w:hint="eastAsia"/>
              </w:rPr>
              <w:t>Corporate taxes</w:t>
            </w:r>
          </w:p>
        </w:tc>
        <w:tc>
          <w:tcPr>
            <w:tcW w:w="2765" w:type="dxa"/>
          </w:tcPr>
          <w:p w:rsidR="00487367" w:rsidRDefault="00487367" w:rsidP="00487367">
            <w:r>
              <w:rPr>
                <w:rFonts w:hint="eastAsia"/>
              </w:rPr>
              <w:t>No</w:t>
            </w:r>
          </w:p>
        </w:tc>
        <w:tc>
          <w:tcPr>
            <w:tcW w:w="2766" w:type="dxa"/>
          </w:tcPr>
          <w:p w:rsidR="00487367" w:rsidRDefault="00487367" w:rsidP="00487367">
            <w:r>
              <w:t>Target company pays c</w:t>
            </w:r>
            <w:r>
              <w:rPr>
                <w:rFonts w:hint="eastAsia"/>
              </w:rPr>
              <w:t xml:space="preserve">apital </w:t>
            </w:r>
            <w:r>
              <w:t>gains taxes</w:t>
            </w:r>
          </w:p>
        </w:tc>
      </w:tr>
      <w:tr w:rsidR="00487367" w:rsidTr="00487367">
        <w:tc>
          <w:tcPr>
            <w:tcW w:w="2765" w:type="dxa"/>
          </w:tcPr>
          <w:p w:rsidR="00487367" w:rsidRDefault="00487367" w:rsidP="00487367">
            <w:r>
              <w:rPr>
                <w:rFonts w:hint="eastAsia"/>
              </w:rPr>
              <w:t>Shareholder taxes</w:t>
            </w:r>
          </w:p>
        </w:tc>
        <w:tc>
          <w:tcPr>
            <w:tcW w:w="2765" w:type="dxa"/>
          </w:tcPr>
          <w:p w:rsidR="00487367" w:rsidRDefault="00487367" w:rsidP="00487367">
            <w:r>
              <w:rPr>
                <w:rFonts w:hint="eastAsia"/>
              </w:rPr>
              <w:t>Shareholders pay capital gains tax</w:t>
            </w:r>
          </w:p>
        </w:tc>
        <w:tc>
          <w:tcPr>
            <w:tcW w:w="2766" w:type="dxa"/>
          </w:tcPr>
          <w:p w:rsidR="00487367" w:rsidRDefault="00487367" w:rsidP="00487367">
            <w:r>
              <w:rPr>
                <w:rFonts w:hint="eastAsia"/>
              </w:rPr>
              <w:t>No</w:t>
            </w:r>
          </w:p>
        </w:tc>
      </w:tr>
      <w:tr w:rsidR="00487367" w:rsidTr="00487367">
        <w:tc>
          <w:tcPr>
            <w:tcW w:w="2765" w:type="dxa"/>
          </w:tcPr>
          <w:p w:rsidR="00487367" w:rsidRDefault="00487367" w:rsidP="00487367">
            <w:r>
              <w:rPr>
                <w:rFonts w:hint="eastAsia"/>
              </w:rPr>
              <w:t>Liabilities</w:t>
            </w:r>
          </w:p>
        </w:tc>
        <w:tc>
          <w:tcPr>
            <w:tcW w:w="2765" w:type="dxa"/>
          </w:tcPr>
          <w:p w:rsidR="00487367" w:rsidRDefault="00487367" w:rsidP="00487367">
            <w:r>
              <w:rPr>
                <w:rFonts w:hint="eastAsia"/>
              </w:rPr>
              <w:t>Acquirer assumes liabilities</w:t>
            </w:r>
          </w:p>
        </w:tc>
        <w:tc>
          <w:tcPr>
            <w:tcW w:w="2766" w:type="dxa"/>
          </w:tcPr>
          <w:p w:rsidR="00487367" w:rsidRDefault="00487367" w:rsidP="00487367">
            <w:r>
              <w:rPr>
                <w:rFonts w:hint="eastAsia"/>
              </w:rPr>
              <w:t xml:space="preserve">Acquirer usually avoids </w:t>
            </w:r>
            <w:r>
              <w:t>assumption</w:t>
            </w:r>
            <w:r>
              <w:rPr>
                <w:rFonts w:hint="eastAsia"/>
              </w:rPr>
              <w:t xml:space="preserve"> </w:t>
            </w:r>
            <w:r>
              <w:t>of liabilities</w:t>
            </w:r>
          </w:p>
        </w:tc>
      </w:tr>
    </w:tbl>
    <w:p w:rsidR="00487367" w:rsidRDefault="00487367" w:rsidP="00487367"/>
    <w:p w:rsidR="00487367" w:rsidRDefault="00487367" w:rsidP="007C3137">
      <w:pPr>
        <w:pStyle w:val="Level3"/>
        <w:numPr>
          <w:ilvl w:val="2"/>
          <w:numId w:val="116"/>
        </w:numPr>
        <w:spacing w:after="156"/>
      </w:pPr>
      <w:r>
        <w:rPr>
          <w:rFonts w:hint="eastAsia"/>
        </w:rPr>
        <w:t>Distinguish among pre-offer and post-offer takeover defense mechanisms.</w:t>
      </w:r>
    </w:p>
    <w:p w:rsidR="00487367" w:rsidRDefault="00487367" w:rsidP="00487367">
      <w:r>
        <w:t>Pre-Offer Defense Mechanisms</w:t>
      </w:r>
    </w:p>
    <w:p w:rsidR="00487367" w:rsidRDefault="00487367" w:rsidP="007C3137">
      <w:pPr>
        <w:pStyle w:val="ListParagraph"/>
        <w:numPr>
          <w:ilvl w:val="0"/>
          <w:numId w:val="117"/>
        </w:numPr>
        <w:ind w:firstLineChars="0"/>
      </w:pPr>
      <w:r>
        <w:rPr>
          <w:rFonts w:hint="eastAsia"/>
        </w:rPr>
        <w:t>Poison Pill: It gives current shareholders the right to purchases additional shares of stock at extre</w:t>
      </w:r>
      <w:r>
        <w:t>mely attractive prices.</w:t>
      </w:r>
    </w:p>
    <w:p w:rsidR="00701DF4" w:rsidRDefault="00701DF4" w:rsidP="007C3137">
      <w:pPr>
        <w:pStyle w:val="ListParagraph"/>
        <w:numPr>
          <w:ilvl w:val="0"/>
          <w:numId w:val="117"/>
        </w:numPr>
        <w:ind w:firstLineChars="0"/>
      </w:pPr>
      <w:r>
        <w:t>Poison put. These puts give bondholders the option to demand immediate repayment of their bonds if there is a hostile takeover.</w:t>
      </w:r>
    </w:p>
    <w:p w:rsidR="00701DF4" w:rsidRDefault="00701DF4" w:rsidP="007C3137">
      <w:pPr>
        <w:pStyle w:val="ListParagraph"/>
        <w:numPr>
          <w:ilvl w:val="0"/>
          <w:numId w:val="117"/>
        </w:numPr>
        <w:ind w:firstLineChars="0"/>
      </w:pPr>
      <w:r>
        <w:t>Restrictive takeover laws</w:t>
      </w:r>
    </w:p>
    <w:p w:rsidR="00701DF4" w:rsidRDefault="00701DF4" w:rsidP="007C3137">
      <w:pPr>
        <w:pStyle w:val="ListParagraph"/>
        <w:numPr>
          <w:ilvl w:val="0"/>
          <w:numId w:val="117"/>
        </w:numPr>
        <w:ind w:firstLineChars="0"/>
      </w:pPr>
      <w:r>
        <w:t>Staggered board: In any particular year, a bidder can win at most one-third of the board seat</w:t>
      </w:r>
      <w:r w:rsidR="00077C4E">
        <w:t>s.</w:t>
      </w:r>
    </w:p>
    <w:p w:rsidR="00747A63" w:rsidRDefault="00747A63" w:rsidP="007C3137">
      <w:pPr>
        <w:pStyle w:val="ListParagraph"/>
        <w:numPr>
          <w:ilvl w:val="0"/>
          <w:numId w:val="117"/>
        </w:numPr>
        <w:ind w:firstLineChars="0"/>
      </w:pPr>
      <w:r>
        <w:lastRenderedPageBreak/>
        <w:t>Restricted voting rights: Equity ownership above some threshold level triggers a loss of voting rights.</w:t>
      </w:r>
    </w:p>
    <w:p w:rsidR="00747A63" w:rsidRDefault="00747A63" w:rsidP="007C3137">
      <w:pPr>
        <w:pStyle w:val="ListParagraph"/>
        <w:numPr>
          <w:ilvl w:val="0"/>
          <w:numId w:val="117"/>
        </w:numPr>
        <w:ind w:firstLineChars="0"/>
      </w:pPr>
      <w:r>
        <w:t>Supermajority voting provision for mergers.</w:t>
      </w:r>
    </w:p>
    <w:p w:rsidR="00747A63" w:rsidRDefault="00747A63" w:rsidP="007C3137">
      <w:pPr>
        <w:pStyle w:val="ListParagraph"/>
        <w:numPr>
          <w:ilvl w:val="0"/>
          <w:numId w:val="117"/>
        </w:numPr>
        <w:ind w:firstLineChars="0"/>
      </w:pPr>
      <w:r>
        <w:t>Fair price amendment restricts a merger offer unless a fair price is offered.</w:t>
      </w:r>
    </w:p>
    <w:p w:rsidR="00747A63" w:rsidRDefault="00747A63" w:rsidP="007C3137">
      <w:pPr>
        <w:pStyle w:val="ListParagraph"/>
        <w:numPr>
          <w:ilvl w:val="0"/>
          <w:numId w:val="117"/>
        </w:numPr>
        <w:ind w:firstLineChars="0"/>
      </w:pPr>
      <w:r>
        <w:rPr>
          <w:rFonts w:hint="eastAsia"/>
        </w:rPr>
        <w:t>Golden parachutes.</w:t>
      </w:r>
    </w:p>
    <w:p w:rsidR="00747A63" w:rsidRDefault="00747A63" w:rsidP="00747A63"/>
    <w:p w:rsidR="00747A63" w:rsidRDefault="00747A63" w:rsidP="00747A63">
      <w:r>
        <w:rPr>
          <w:rFonts w:hint="eastAsia"/>
        </w:rPr>
        <w:t>Post-offer Defense Mechanisms.</w:t>
      </w:r>
    </w:p>
    <w:p w:rsidR="00747A63" w:rsidRDefault="00747A63" w:rsidP="007C3137">
      <w:pPr>
        <w:pStyle w:val="ListParagraph"/>
        <w:numPr>
          <w:ilvl w:val="0"/>
          <w:numId w:val="118"/>
        </w:numPr>
        <w:ind w:firstLineChars="0"/>
      </w:pPr>
      <w:r>
        <w:t>“Just say no” defense.</w:t>
      </w:r>
    </w:p>
    <w:p w:rsidR="00747A63" w:rsidRDefault="00747A63" w:rsidP="007C3137">
      <w:pPr>
        <w:pStyle w:val="ListParagraph"/>
        <w:numPr>
          <w:ilvl w:val="0"/>
          <w:numId w:val="118"/>
        </w:numPr>
        <w:ind w:firstLineChars="0"/>
      </w:pPr>
      <w:r>
        <w:t>Litigation</w:t>
      </w:r>
    </w:p>
    <w:p w:rsidR="00747A63" w:rsidRDefault="00747A63" w:rsidP="007C3137">
      <w:pPr>
        <w:pStyle w:val="ListParagraph"/>
        <w:numPr>
          <w:ilvl w:val="0"/>
          <w:numId w:val="118"/>
        </w:numPr>
        <w:ind w:firstLineChars="0"/>
      </w:pPr>
      <w:r>
        <w:t>Greenmail is a payoff to the potential acquirer to terminate the hostile takeover attempt.</w:t>
      </w:r>
    </w:p>
    <w:p w:rsidR="00184E34" w:rsidRDefault="00184E34" w:rsidP="007C3137">
      <w:pPr>
        <w:pStyle w:val="ListParagraph"/>
        <w:numPr>
          <w:ilvl w:val="0"/>
          <w:numId w:val="118"/>
        </w:numPr>
        <w:ind w:firstLineChars="0"/>
      </w:pPr>
      <w:r>
        <w:t>Share repurchases. The target company can submit a tender offer for its own shares. This forces the acquirer to raise its bid in order to stay competitive with the target’s offer and also increases the use of leverage in the target’s capital structure.</w:t>
      </w:r>
    </w:p>
    <w:p w:rsidR="00184E34" w:rsidRDefault="00184E34" w:rsidP="007C3137">
      <w:pPr>
        <w:pStyle w:val="ListParagraph"/>
        <w:numPr>
          <w:ilvl w:val="0"/>
          <w:numId w:val="118"/>
        </w:numPr>
        <w:ind w:firstLineChars="0"/>
      </w:pPr>
      <w:r>
        <w:t>Crown jewel defense. A target may decide to sell its major asset (attractive to the acquirer) to a neutral third party.</w:t>
      </w:r>
    </w:p>
    <w:p w:rsidR="00184E34" w:rsidRDefault="008D74D9" w:rsidP="007C3137">
      <w:pPr>
        <w:pStyle w:val="ListParagraph"/>
        <w:numPr>
          <w:ilvl w:val="0"/>
          <w:numId w:val="118"/>
        </w:numPr>
        <w:ind w:firstLineChars="0"/>
      </w:pPr>
      <w:r>
        <w:t>Pac-Man defense. After a hostile takeover offer, the target can defend itself by making a counteroffer to acquire the acquirer.</w:t>
      </w:r>
    </w:p>
    <w:p w:rsidR="008D74D9" w:rsidRDefault="008D74D9" w:rsidP="007C3137">
      <w:pPr>
        <w:pStyle w:val="ListParagraph"/>
        <w:numPr>
          <w:ilvl w:val="0"/>
          <w:numId w:val="118"/>
        </w:numPr>
        <w:ind w:firstLineChars="0"/>
      </w:pPr>
      <w:r>
        <w:t>White knight defense. A white knight is a friendly third party that comes to the rescue of the target company. The tendency for the winner to overpay is called the winner’s curse.</w:t>
      </w:r>
    </w:p>
    <w:p w:rsidR="008D74D9" w:rsidRDefault="008D74D9" w:rsidP="007C3137">
      <w:pPr>
        <w:pStyle w:val="ListParagraph"/>
        <w:numPr>
          <w:ilvl w:val="0"/>
          <w:numId w:val="118"/>
        </w:numPr>
        <w:ind w:firstLineChars="0"/>
      </w:pPr>
      <w:r>
        <w:t>White squire defense. The target seeks a friendly third party that buys a minority stake in the target without buying the entire company.</w:t>
      </w:r>
    </w:p>
    <w:p w:rsidR="00321E8A" w:rsidRDefault="00321E8A" w:rsidP="00321E8A"/>
    <w:p w:rsidR="00321E8A" w:rsidRDefault="00321E8A" w:rsidP="00321E8A">
      <w:pPr>
        <w:pStyle w:val="Level3"/>
        <w:spacing w:after="156"/>
      </w:pPr>
      <w:r>
        <w:rPr>
          <w:rFonts w:hint="eastAsia"/>
        </w:rPr>
        <w:t>Calculate and interpret the HHI index, and evaluate the likelihood of an antitrust challenge for a given business combination</w:t>
      </w:r>
    </w:p>
    <w:tbl>
      <w:tblPr>
        <w:tblStyle w:val="TableGrid"/>
        <w:tblW w:w="0" w:type="auto"/>
        <w:tblLook w:val="04A0" w:firstRow="1" w:lastRow="0" w:firstColumn="1" w:lastColumn="0" w:noHBand="0" w:noVBand="1"/>
      </w:tblPr>
      <w:tblGrid>
        <w:gridCol w:w="2765"/>
        <w:gridCol w:w="2765"/>
        <w:gridCol w:w="2766"/>
      </w:tblGrid>
      <w:tr w:rsidR="00321E8A" w:rsidTr="00321E8A">
        <w:tc>
          <w:tcPr>
            <w:tcW w:w="2765" w:type="dxa"/>
          </w:tcPr>
          <w:p w:rsidR="00321E8A" w:rsidRDefault="00321E8A" w:rsidP="00321E8A">
            <w:r>
              <w:rPr>
                <w:rFonts w:hint="eastAsia"/>
              </w:rPr>
              <w:t>Post-Merger HHI</w:t>
            </w:r>
          </w:p>
        </w:tc>
        <w:tc>
          <w:tcPr>
            <w:tcW w:w="2765" w:type="dxa"/>
          </w:tcPr>
          <w:p w:rsidR="00321E8A" w:rsidRDefault="00321E8A" w:rsidP="00321E8A">
            <w:r>
              <w:rPr>
                <w:rFonts w:hint="eastAsia"/>
              </w:rPr>
              <w:t>Change in HHI</w:t>
            </w:r>
          </w:p>
        </w:tc>
        <w:tc>
          <w:tcPr>
            <w:tcW w:w="2766" w:type="dxa"/>
          </w:tcPr>
          <w:p w:rsidR="00321E8A" w:rsidRDefault="00321E8A" w:rsidP="00321E8A">
            <w:r>
              <w:rPr>
                <w:rFonts w:hint="eastAsia"/>
              </w:rPr>
              <w:t>Antitrust Action</w:t>
            </w:r>
          </w:p>
        </w:tc>
      </w:tr>
      <w:tr w:rsidR="00321E8A" w:rsidTr="00321E8A">
        <w:tc>
          <w:tcPr>
            <w:tcW w:w="2765" w:type="dxa"/>
          </w:tcPr>
          <w:p w:rsidR="00321E8A" w:rsidRDefault="00321E8A" w:rsidP="00321E8A">
            <w:r>
              <w:rPr>
                <w:rFonts w:hint="eastAsia"/>
              </w:rPr>
              <w:t>&lt; 1000</w:t>
            </w:r>
          </w:p>
        </w:tc>
        <w:tc>
          <w:tcPr>
            <w:tcW w:w="2765" w:type="dxa"/>
          </w:tcPr>
          <w:p w:rsidR="00321E8A" w:rsidRDefault="00321E8A" w:rsidP="00321E8A">
            <w:r>
              <w:rPr>
                <w:rFonts w:hint="eastAsia"/>
              </w:rPr>
              <w:t>-</w:t>
            </w:r>
          </w:p>
        </w:tc>
        <w:tc>
          <w:tcPr>
            <w:tcW w:w="2766" w:type="dxa"/>
          </w:tcPr>
          <w:p w:rsidR="00321E8A" w:rsidRDefault="00321E8A" w:rsidP="00321E8A">
            <w:r>
              <w:rPr>
                <w:rFonts w:hint="eastAsia"/>
              </w:rPr>
              <w:t>-</w:t>
            </w:r>
          </w:p>
        </w:tc>
      </w:tr>
      <w:tr w:rsidR="00321E8A" w:rsidTr="00321E8A">
        <w:tc>
          <w:tcPr>
            <w:tcW w:w="2765" w:type="dxa"/>
          </w:tcPr>
          <w:p w:rsidR="00321E8A" w:rsidRDefault="00321E8A" w:rsidP="00321E8A">
            <w:r>
              <w:rPr>
                <w:rFonts w:hint="eastAsia"/>
              </w:rPr>
              <w:t>&gt;=1000 and &lt;=1800</w:t>
            </w:r>
          </w:p>
        </w:tc>
        <w:tc>
          <w:tcPr>
            <w:tcW w:w="2765" w:type="dxa"/>
          </w:tcPr>
          <w:p w:rsidR="00321E8A" w:rsidRDefault="00321E8A" w:rsidP="00321E8A">
            <w:r>
              <w:rPr>
                <w:rFonts w:hint="eastAsia"/>
              </w:rPr>
              <w:t>&gt;= 100</w:t>
            </w:r>
          </w:p>
        </w:tc>
        <w:tc>
          <w:tcPr>
            <w:tcW w:w="2766" w:type="dxa"/>
          </w:tcPr>
          <w:p w:rsidR="00321E8A" w:rsidRDefault="00321E8A" w:rsidP="00321E8A">
            <w:r>
              <w:rPr>
                <w:rFonts w:hint="eastAsia"/>
              </w:rPr>
              <w:t>Possible challenge</w:t>
            </w:r>
          </w:p>
        </w:tc>
      </w:tr>
      <w:tr w:rsidR="00321E8A" w:rsidTr="00321E8A">
        <w:tc>
          <w:tcPr>
            <w:tcW w:w="2765" w:type="dxa"/>
          </w:tcPr>
          <w:p w:rsidR="00321E8A" w:rsidRDefault="00321E8A" w:rsidP="00321E8A">
            <w:r>
              <w:rPr>
                <w:rFonts w:hint="eastAsia"/>
              </w:rPr>
              <w:t>&gt;1800</w:t>
            </w:r>
          </w:p>
        </w:tc>
        <w:tc>
          <w:tcPr>
            <w:tcW w:w="2765" w:type="dxa"/>
          </w:tcPr>
          <w:p w:rsidR="00321E8A" w:rsidRDefault="00321E8A" w:rsidP="00321E8A">
            <w:r>
              <w:rPr>
                <w:rFonts w:hint="eastAsia"/>
              </w:rPr>
              <w:t>&gt;=50</w:t>
            </w:r>
          </w:p>
        </w:tc>
        <w:tc>
          <w:tcPr>
            <w:tcW w:w="2766" w:type="dxa"/>
          </w:tcPr>
          <w:p w:rsidR="00321E8A" w:rsidRDefault="00A0190D" w:rsidP="00321E8A">
            <w:r w:rsidRPr="00A0190D">
              <w:t>probable</w:t>
            </w:r>
          </w:p>
        </w:tc>
      </w:tr>
    </w:tbl>
    <w:p w:rsidR="00321E8A" w:rsidRDefault="00321E8A" w:rsidP="00321E8A"/>
    <w:p w:rsidR="00BF713A" w:rsidRDefault="00BF713A" w:rsidP="00BF713A">
      <w:pPr>
        <w:pStyle w:val="Level3"/>
        <w:spacing w:after="156"/>
      </w:pPr>
      <w:r>
        <w:rPr>
          <w:rFonts w:hint="eastAsia"/>
        </w:rPr>
        <w:t xml:space="preserve">Compare the discounted cash flow, comparable company, and comparable transaction analyses for valuing a target </w:t>
      </w:r>
      <w:r>
        <w:t>company</w:t>
      </w:r>
      <w:r>
        <w:rPr>
          <w:rFonts w:hint="eastAsia"/>
        </w:rPr>
        <w:t>,</w:t>
      </w:r>
      <w:r>
        <w:t xml:space="preserve"> including the advantages and disadvantages.</w:t>
      </w:r>
    </w:p>
    <w:p w:rsidR="00BF713A" w:rsidRDefault="00BF713A" w:rsidP="007C3137">
      <w:pPr>
        <w:pStyle w:val="ListParagraph"/>
        <w:numPr>
          <w:ilvl w:val="0"/>
          <w:numId w:val="119"/>
        </w:numPr>
        <w:ind w:firstLineChars="0"/>
      </w:pPr>
      <w:r>
        <w:t xml:space="preserve">Comparable company analysis uses market data from similar firms </w:t>
      </w:r>
      <w:r w:rsidRPr="00BF713A">
        <w:rPr>
          <w:b/>
        </w:rPr>
        <w:t>plus a takeover premiums</w:t>
      </w:r>
      <w:r>
        <w:t>.</w:t>
      </w:r>
    </w:p>
    <w:p w:rsidR="00EB7E52" w:rsidRDefault="00EB7E52" w:rsidP="00EB7E52">
      <w:pPr>
        <w:pStyle w:val="ListParagraph"/>
        <w:ind w:left="420" w:firstLineChars="0" w:firstLine="0"/>
      </w:pPr>
      <w:r>
        <w:t>Takeover premium is calculated as (acquiring price – stock price) / stock price * 100%</w:t>
      </w:r>
    </w:p>
    <w:p w:rsidR="00BF713A" w:rsidRDefault="00BF713A" w:rsidP="007C3137">
      <w:pPr>
        <w:pStyle w:val="ListParagraph"/>
        <w:numPr>
          <w:ilvl w:val="0"/>
          <w:numId w:val="119"/>
        </w:numPr>
        <w:ind w:firstLineChars="0"/>
      </w:pPr>
      <w:r>
        <w:rPr>
          <w:rFonts w:hint="eastAsia"/>
        </w:rPr>
        <w:t>Comparable transaction analysis uses details from completed MA deals for companies similar to the target.</w:t>
      </w:r>
    </w:p>
    <w:p w:rsidR="005C7C79" w:rsidRDefault="005C7C79" w:rsidP="005C7C79"/>
    <w:p w:rsidR="005C7C79" w:rsidRDefault="005C7C79" w:rsidP="007C3137">
      <w:pPr>
        <w:pStyle w:val="Level3"/>
        <w:numPr>
          <w:ilvl w:val="2"/>
          <w:numId w:val="120"/>
        </w:numPr>
        <w:spacing w:after="156"/>
      </w:pPr>
      <w:r>
        <w:rPr>
          <w:rFonts w:hint="eastAsia"/>
        </w:rPr>
        <w:t>Distinguish among equity carve-outs, spin-offs, split-offs, and liquidation.</w:t>
      </w:r>
    </w:p>
    <w:p w:rsidR="005C7C79" w:rsidRDefault="005C7C79" w:rsidP="007C3137">
      <w:pPr>
        <w:pStyle w:val="ListParagraph"/>
        <w:numPr>
          <w:ilvl w:val="0"/>
          <w:numId w:val="121"/>
        </w:numPr>
        <w:ind w:firstLineChars="0"/>
      </w:pPr>
      <w:r>
        <w:t>Eq</w:t>
      </w:r>
      <w:r>
        <w:rPr>
          <w:rFonts w:hint="eastAsia"/>
        </w:rPr>
        <w:t xml:space="preserve">uity </w:t>
      </w:r>
      <w:r>
        <w:t>carve-outs create a new independent company by giving an equity interest in a subsidiary to outside shareholders through a public offering.</w:t>
      </w:r>
    </w:p>
    <w:p w:rsidR="005C7C79" w:rsidRDefault="005C7C79" w:rsidP="007C3137">
      <w:pPr>
        <w:pStyle w:val="ListParagraph"/>
        <w:numPr>
          <w:ilvl w:val="0"/>
          <w:numId w:val="121"/>
        </w:numPr>
        <w:ind w:firstLineChars="0"/>
      </w:pPr>
      <w:r>
        <w:t>Spin-offs are like carve-outs. The difference is that shares are distributed to the parent company’s shareholders.</w:t>
      </w:r>
    </w:p>
    <w:p w:rsidR="00A96461" w:rsidRDefault="005C7C79" w:rsidP="007C3137">
      <w:pPr>
        <w:pStyle w:val="ListParagraph"/>
        <w:numPr>
          <w:ilvl w:val="0"/>
          <w:numId w:val="121"/>
        </w:numPr>
        <w:ind w:firstLineChars="0"/>
      </w:pPr>
      <w:r>
        <w:t xml:space="preserve">Split-offs allow shareholders to receive new shares of a division of the parent company </w:t>
      </w:r>
      <w:r w:rsidRPr="00EB7E52">
        <w:rPr>
          <w:b/>
        </w:rPr>
        <w:t>in exchange for</w:t>
      </w:r>
      <w:r w:rsidR="00A010BD" w:rsidRPr="00EB7E52">
        <w:rPr>
          <w:b/>
        </w:rPr>
        <w:t>/giving up</w:t>
      </w:r>
      <w:r>
        <w:t xml:space="preserve"> a portion of their shares in the parent company.</w:t>
      </w:r>
      <w:r w:rsidR="009B0460">
        <w:br w:type="page"/>
      </w:r>
    </w:p>
    <w:p w:rsidR="00266229" w:rsidRDefault="00A96461" w:rsidP="007C3137">
      <w:pPr>
        <w:pStyle w:val="Level1"/>
        <w:numPr>
          <w:ilvl w:val="0"/>
          <w:numId w:val="120"/>
        </w:numPr>
      </w:pPr>
      <w:r>
        <w:rPr>
          <w:rFonts w:hint="eastAsia"/>
        </w:rPr>
        <w:lastRenderedPageBreak/>
        <w:t>Equity Investment</w:t>
      </w:r>
    </w:p>
    <w:p w:rsidR="0017338F" w:rsidRDefault="0017338F" w:rsidP="007C3137">
      <w:pPr>
        <w:pStyle w:val="Level2"/>
        <w:numPr>
          <w:ilvl w:val="1"/>
          <w:numId w:val="84"/>
        </w:numPr>
      </w:pPr>
      <w:r>
        <w:t>Equity Valuation: Application and Process</w:t>
      </w:r>
    </w:p>
    <w:p w:rsidR="0017338F" w:rsidRDefault="0017338F" w:rsidP="0017338F">
      <w:pPr>
        <w:pStyle w:val="Level3"/>
        <w:spacing w:after="156"/>
      </w:pPr>
      <w:r>
        <w:rPr>
          <w:rFonts w:hint="eastAsia"/>
        </w:rPr>
        <w:t xml:space="preserve">Define valuation and intrinsic value and explain sources of perceived </w:t>
      </w:r>
      <w:r>
        <w:t>mispricing</w:t>
      </w:r>
      <w:r>
        <w:rPr>
          <w:rFonts w:hint="eastAsia"/>
        </w:rPr>
        <w:t>.</w:t>
      </w:r>
    </w:p>
    <w:p w:rsidR="0017338F" w:rsidRDefault="0017338F" w:rsidP="0017338F">
      <w:r>
        <w:rPr>
          <w:rFonts w:hint="eastAsia"/>
        </w:rPr>
        <w:t>IV</w:t>
      </w:r>
      <w:r w:rsidRPr="001364B3">
        <w:rPr>
          <w:rFonts w:hint="eastAsia"/>
          <w:vertAlign w:val="subscript"/>
        </w:rPr>
        <w:t>estimate</w:t>
      </w:r>
      <w:r>
        <w:rPr>
          <w:rFonts w:hint="eastAsia"/>
        </w:rPr>
        <w:t xml:space="preserve"> </w:t>
      </w:r>
      <w:r>
        <w:t>– Price = (IV</w:t>
      </w:r>
      <w:r w:rsidRPr="001364B3">
        <w:rPr>
          <w:vertAlign w:val="subscript"/>
        </w:rPr>
        <w:t xml:space="preserve">actual </w:t>
      </w:r>
      <w:r>
        <w:t>– Price) + (IV</w:t>
      </w:r>
      <w:r>
        <w:rPr>
          <w:vertAlign w:val="subscript"/>
        </w:rPr>
        <w:t>e</w:t>
      </w:r>
      <w:r w:rsidRPr="001364B3">
        <w:rPr>
          <w:vertAlign w:val="subscript"/>
        </w:rPr>
        <w:t>stimate</w:t>
      </w:r>
      <w:r>
        <w:t xml:space="preserve"> – IV</w:t>
      </w:r>
      <w:r w:rsidRPr="001364B3">
        <w:rPr>
          <w:vertAlign w:val="subscript"/>
        </w:rPr>
        <w:t>actual</w:t>
      </w:r>
      <w:r>
        <w:t>)</w:t>
      </w:r>
    </w:p>
    <w:p w:rsidR="0017338F" w:rsidRPr="001364B3" w:rsidRDefault="0017338F" w:rsidP="0017338F">
      <w:r>
        <w:t>The difference between intrinsic value between market price is the source that active investment manager attempt to identify.</w:t>
      </w:r>
    </w:p>
    <w:p w:rsidR="0017338F" w:rsidRPr="001364B3" w:rsidRDefault="0017338F" w:rsidP="0017338F"/>
    <w:p w:rsidR="0017338F" w:rsidRDefault="0017338F" w:rsidP="007C3137">
      <w:pPr>
        <w:pStyle w:val="Level3"/>
        <w:numPr>
          <w:ilvl w:val="2"/>
          <w:numId w:val="88"/>
        </w:numPr>
        <w:spacing w:after="156"/>
      </w:pPr>
      <w:r>
        <w:rPr>
          <w:rFonts w:hint="eastAsia"/>
        </w:rPr>
        <w:t xml:space="preserve">Describe definitions of </w:t>
      </w:r>
      <w:r>
        <w:t>value</w:t>
      </w:r>
      <w:r>
        <w:rPr>
          <w:rFonts w:hint="eastAsia"/>
        </w:rPr>
        <w:t xml:space="preserve"> </w:t>
      </w:r>
      <w:r>
        <w:t>and justify which definition of value is most relevant to public company valuations.</w:t>
      </w:r>
    </w:p>
    <w:p w:rsidR="0017338F" w:rsidRDefault="0017338F" w:rsidP="0017338F">
      <w:r w:rsidRPr="00764BE7">
        <w:rPr>
          <w:b/>
        </w:rPr>
        <w:t xml:space="preserve">Investment value </w:t>
      </w:r>
      <w:r>
        <w:t>is the value of a stock to a particular buyer, which depends on buyer’s specific needs and expectations.</w:t>
      </w:r>
    </w:p>
    <w:p w:rsidR="0017338F" w:rsidRPr="001766AE" w:rsidRDefault="0017338F" w:rsidP="0017338F"/>
    <w:p w:rsidR="0017338F" w:rsidRDefault="0017338F" w:rsidP="007C3137">
      <w:pPr>
        <w:pStyle w:val="Level3"/>
        <w:numPr>
          <w:ilvl w:val="2"/>
          <w:numId w:val="87"/>
        </w:numPr>
        <w:spacing w:after="156"/>
      </w:pPr>
      <w:r>
        <w:rPr>
          <w:rFonts w:hint="eastAsia"/>
        </w:rPr>
        <w:t>Describe questions that should be addressed in conducting an industry and competitive analysis.</w:t>
      </w:r>
    </w:p>
    <w:p w:rsidR="0017338F" w:rsidRDefault="0017338F" w:rsidP="0017338F">
      <w:r>
        <w:t>5 elements of industry structure:</w:t>
      </w:r>
    </w:p>
    <w:p w:rsidR="0017338F" w:rsidRDefault="0017338F" w:rsidP="007C3137">
      <w:pPr>
        <w:pStyle w:val="ListParagraph"/>
        <w:numPr>
          <w:ilvl w:val="0"/>
          <w:numId w:val="85"/>
        </w:numPr>
        <w:ind w:firstLineChars="0"/>
      </w:pPr>
      <w:r>
        <w:rPr>
          <w:rFonts w:hint="eastAsia"/>
        </w:rPr>
        <w:t>Bargaining p</w:t>
      </w:r>
      <w:r>
        <w:t>ower of buyer</w:t>
      </w:r>
    </w:p>
    <w:p w:rsidR="0017338F" w:rsidRDefault="0017338F" w:rsidP="007C3137">
      <w:pPr>
        <w:pStyle w:val="ListParagraph"/>
        <w:numPr>
          <w:ilvl w:val="0"/>
          <w:numId w:val="85"/>
        </w:numPr>
        <w:ind w:firstLineChars="0"/>
      </w:pPr>
      <w:r>
        <w:rPr>
          <w:rFonts w:hint="eastAsia"/>
        </w:rPr>
        <w:t>Bargaining p</w:t>
      </w:r>
      <w:r>
        <w:t>ower of supplier</w:t>
      </w:r>
    </w:p>
    <w:p w:rsidR="0017338F" w:rsidRDefault="0017338F" w:rsidP="007C3137">
      <w:pPr>
        <w:pStyle w:val="ListParagraph"/>
        <w:numPr>
          <w:ilvl w:val="0"/>
          <w:numId w:val="85"/>
        </w:numPr>
        <w:ind w:firstLineChars="0"/>
      </w:pPr>
      <w:r>
        <w:t>Threat of new entrants</w:t>
      </w:r>
    </w:p>
    <w:p w:rsidR="0017338F" w:rsidRDefault="0017338F" w:rsidP="007C3137">
      <w:pPr>
        <w:pStyle w:val="ListParagraph"/>
        <w:numPr>
          <w:ilvl w:val="0"/>
          <w:numId w:val="85"/>
        </w:numPr>
        <w:ind w:firstLineChars="0"/>
      </w:pPr>
      <w:r>
        <w:t>Threat of substitutes</w:t>
      </w:r>
    </w:p>
    <w:p w:rsidR="0017338F" w:rsidRDefault="0017338F" w:rsidP="007C3137">
      <w:pPr>
        <w:pStyle w:val="ListParagraph"/>
        <w:numPr>
          <w:ilvl w:val="0"/>
          <w:numId w:val="85"/>
        </w:numPr>
        <w:ind w:firstLineChars="0"/>
      </w:pPr>
      <w:r>
        <w:t>Rivalry among existing competitors</w:t>
      </w:r>
    </w:p>
    <w:p w:rsidR="0017338F" w:rsidRDefault="0017338F" w:rsidP="0017338F"/>
    <w:p w:rsidR="0017338F" w:rsidRDefault="0017338F" w:rsidP="007C3137">
      <w:pPr>
        <w:pStyle w:val="Level3"/>
        <w:numPr>
          <w:ilvl w:val="2"/>
          <w:numId w:val="86"/>
        </w:numPr>
        <w:spacing w:after="156"/>
      </w:pPr>
      <w:r>
        <w:rPr>
          <w:rFonts w:hint="eastAsia"/>
        </w:rPr>
        <w:t>Describe sum-of-the-parts valuation and conglomerate discounts.</w:t>
      </w:r>
    </w:p>
    <w:p w:rsidR="0017338F" w:rsidRDefault="0017338F" w:rsidP="0017338F">
      <w:r>
        <w:t>Conglomerate discounts</w:t>
      </w:r>
      <w:r>
        <w:rPr>
          <w:rFonts w:hint="eastAsia"/>
        </w:rPr>
        <w:t xml:space="preserve"> is based on the idea that investors apply a markdown to the value of a company that operates in multiple unrelated industries, compared to the value a company that has a single industry focus.</w:t>
      </w:r>
    </w:p>
    <w:p w:rsidR="0017338F" w:rsidRDefault="0017338F" w:rsidP="0017338F"/>
    <w:p w:rsidR="0017338F" w:rsidRDefault="0017338F" w:rsidP="0017338F">
      <w:pPr>
        <w:pStyle w:val="Level2"/>
      </w:pPr>
      <w:r>
        <w:rPr>
          <w:rFonts w:hint="eastAsia"/>
        </w:rPr>
        <w:t>Return Concepts</w:t>
      </w:r>
    </w:p>
    <w:p w:rsidR="0017338F" w:rsidRDefault="0017338F" w:rsidP="0017338F">
      <w:pPr>
        <w:pStyle w:val="Level3"/>
        <w:spacing w:after="156"/>
      </w:pPr>
      <w:r>
        <w:rPr>
          <w:rFonts w:hint="eastAsia"/>
        </w:rPr>
        <w:t>Calculate and interpret an equity risk premium using historical and forward-looking estimation approaches.</w:t>
      </w:r>
    </w:p>
    <w:p w:rsidR="0017338F" w:rsidRDefault="0017338F" w:rsidP="0017338F">
      <w:r>
        <w:rPr>
          <w:rFonts w:hint="eastAsia"/>
        </w:rPr>
        <w:t>Ibbotson-Chen model</w:t>
      </w:r>
    </w:p>
    <w:p w:rsidR="0017338F" w:rsidRDefault="0017338F" w:rsidP="0017338F">
      <w:r>
        <w:t>Equity risk premium = (1+long-term inflation forecast)*(1+growth in real earning)*(1+growth in P/E ratio) – 1 + dividend yield (income growth) – risk free rate</w:t>
      </w:r>
    </w:p>
    <w:p w:rsidR="0017338F" w:rsidRDefault="0017338F" w:rsidP="0017338F">
      <w:r>
        <w:t>Inflation can be derived from YTM of 20-year T-bonds – YTM of 20-year TIPS.</w:t>
      </w:r>
    </w:p>
    <w:p w:rsidR="0017338F" w:rsidRPr="006C54F2" w:rsidRDefault="0017338F" w:rsidP="0017338F"/>
    <w:p w:rsidR="0017338F" w:rsidRDefault="0017338F" w:rsidP="007C3137">
      <w:pPr>
        <w:pStyle w:val="Level3"/>
        <w:numPr>
          <w:ilvl w:val="2"/>
          <w:numId w:val="89"/>
        </w:numPr>
        <w:spacing w:after="156"/>
      </w:pPr>
      <w:r>
        <w:rPr>
          <w:rFonts w:hint="eastAsia"/>
        </w:rPr>
        <w:t>Estimate the required return on an equity investment using the CAPM, the Fama-French model, the Pastor-Stam</w:t>
      </w:r>
      <w:r>
        <w:t>baugh model, macro-economic multifactor models, and the build-up method.</w:t>
      </w:r>
    </w:p>
    <w:p w:rsidR="0017338F" w:rsidRDefault="0017338F" w:rsidP="007C3137">
      <w:pPr>
        <w:pStyle w:val="ListParagraph"/>
        <w:numPr>
          <w:ilvl w:val="0"/>
          <w:numId w:val="123"/>
        </w:numPr>
        <w:ind w:firstLineChars="0"/>
      </w:pPr>
      <w:r>
        <w:rPr>
          <w:rFonts w:hint="eastAsia"/>
        </w:rPr>
        <w:t>Fama-French Model</w:t>
      </w:r>
    </w:p>
    <w:p w:rsidR="0017338F" w:rsidRDefault="0017338F" w:rsidP="0017338F">
      <w:r>
        <w:t>Required return of stock</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mkt,j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mkt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smb,j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small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big</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HML,j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HBM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LBM</m:t>
                </m:r>
              </m:sub>
            </m:sSub>
          </m:e>
        </m:d>
      </m:oMath>
    </w:p>
    <w:p w:rsidR="0017338F" w:rsidRPr="00A54760" w:rsidRDefault="008B6B90" w:rsidP="0017338F">
      <m:oMath>
        <m:sSub>
          <m:sSubPr>
            <m:ctrlPr>
              <w:rPr>
                <w:rFonts w:ascii="Cambria Math" w:hAnsi="Cambria Math"/>
                <w:i/>
              </w:rPr>
            </m:ctrlPr>
          </m:sSubPr>
          <m:e>
            <m:r>
              <w:rPr>
                <w:rFonts w:ascii="Cambria Math" w:hAnsi="Cambria Math"/>
              </w:rPr>
              <m:t>R</m:t>
            </m:r>
          </m:e>
          <m:sub>
            <m:r>
              <w:rPr>
                <w:rFonts w:ascii="Cambria Math" w:hAnsi="Cambria Math"/>
              </w:rPr>
              <m:t>HBM</m:t>
            </m:r>
          </m:sub>
        </m:sSub>
      </m:oMath>
      <w:r w:rsidR="0017338F">
        <w:rPr>
          <w:rFonts w:hint="eastAsia"/>
        </w:rPr>
        <w:t xml:space="preserve"> = </w:t>
      </w:r>
      <w:r w:rsidR="0017338F">
        <w:t>return of h</w:t>
      </w:r>
      <w:r w:rsidR="0017338F">
        <w:rPr>
          <w:rFonts w:hint="eastAsia"/>
        </w:rPr>
        <w:t xml:space="preserve">igh book-to-market </w:t>
      </w:r>
      <w:r w:rsidR="0017338F">
        <w:t>security, which is usually value stock</w:t>
      </w:r>
    </w:p>
    <w:p w:rsidR="0017338F" w:rsidRDefault="0017338F" w:rsidP="007C3137">
      <w:pPr>
        <w:pStyle w:val="ListParagraph"/>
        <w:numPr>
          <w:ilvl w:val="0"/>
          <w:numId w:val="123"/>
        </w:numPr>
        <w:ind w:firstLineChars="0"/>
      </w:pPr>
      <w:r>
        <w:rPr>
          <w:rFonts w:hint="eastAsia"/>
        </w:rPr>
        <w:t>Pastor-Stambaugh Model adds a liquidity factor to the Fama-French model.</w:t>
      </w:r>
    </w:p>
    <w:p w:rsidR="0017338F" w:rsidRDefault="0017338F" w:rsidP="007C3137">
      <w:pPr>
        <w:pStyle w:val="ListParagraph"/>
        <w:numPr>
          <w:ilvl w:val="0"/>
          <w:numId w:val="123"/>
        </w:numPr>
        <w:ind w:firstLineChars="0"/>
      </w:pPr>
      <w:r>
        <w:t>Build-up model is usually applied to closely held companies where betas are not obtainable.</w:t>
      </w:r>
    </w:p>
    <w:p w:rsidR="0017338F" w:rsidRDefault="0017338F" w:rsidP="0017338F"/>
    <w:p w:rsidR="0017338F" w:rsidRDefault="0017338F" w:rsidP="0017338F">
      <w:pPr>
        <w:pStyle w:val="Level3"/>
        <w:spacing w:after="156"/>
      </w:pPr>
      <w:r>
        <w:rPr>
          <w:rFonts w:hint="eastAsia"/>
        </w:rPr>
        <w:t xml:space="preserve">Explain beta estimation for public companies, thinly traded public companies, and </w:t>
      </w:r>
      <w:r>
        <w:t>nonpublic</w:t>
      </w:r>
      <w:r>
        <w:rPr>
          <w:rFonts w:hint="eastAsia"/>
        </w:rPr>
        <w:t xml:space="preserve"> </w:t>
      </w:r>
      <w:r>
        <w:t>companies.</w:t>
      </w:r>
    </w:p>
    <w:p w:rsidR="0017338F" w:rsidRDefault="0017338F" w:rsidP="0017338F">
      <w:r>
        <w:t>(Blume’s) Adjusted Beta for Public Companies</w:t>
      </w:r>
    </w:p>
    <w:p w:rsidR="0017338F" w:rsidRDefault="0017338F" w:rsidP="0017338F">
      <w:r>
        <w:t>Adjusted beta = (2/3 * beta) + (1/3 * 1)</w:t>
      </w:r>
    </w:p>
    <w:p w:rsidR="0017338F" w:rsidRDefault="0017338F" w:rsidP="0017338F"/>
    <w:p w:rsidR="0017338F" w:rsidRDefault="0017338F" w:rsidP="007C3137">
      <w:pPr>
        <w:pStyle w:val="Level3"/>
        <w:numPr>
          <w:ilvl w:val="2"/>
          <w:numId w:val="122"/>
        </w:numPr>
        <w:spacing w:after="156"/>
      </w:pPr>
      <w:r>
        <w:rPr>
          <w:rFonts w:hint="eastAsia"/>
        </w:rPr>
        <w:t>Explain international considerations in required return estimation</w:t>
      </w:r>
    </w:p>
    <w:p w:rsidR="0017338F" w:rsidRPr="000C4AD8" w:rsidRDefault="0017338F" w:rsidP="0017338F">
      <w:r>
        <w:t>Among the issues that concern analysts estimating the required return of equities in a global context are exchange rates and data and model issues in emerging markets.</w:t>
      </w:r>
    </w:p>
    <w:p w:rsidR="0017338F" w:rsidRDefault="0017338F" w:rsidP="0017338F"/>
    <w:p w:rsidR="0017338F" w:rsidRDefault="0017338F" w:rsidP="007C3137">
      <w:pPr>
        <w:pStyle w:val="Level2"/>
        <w:numPr>
          <w:ilvl w:val="1"/>
          <w:numId w:val="90"/>
        </w:numPr>
      </w:pPr>
      <w:r>
        <w:rPr>
          <w:rFonts w:hint="eastAsia"/>
        </w:rPr>
        <w:t xml:space="preserve">Your </w:t>
      </w:r>
      <w:r>
        <w:t>S</w:t>
      </w:r>
      <w:r>
        <w:rPr>
          <w:rFonts w:hint="eastAsia"/>
        </w:rPr>
        <w:t>trategy Needs a Strategy</w:t>
      </w:r>
    </w:p>
    <w:p w:rsidR="0017338F" w:rsidRDefault="0017338F" w:rsidP="007C3137">
      <w:pPr>
        <w:pStyle w:val="Level3"/>
        <w:numPr>
          <w:ilvl w:val="2"/>
          <w:numId w:val="90"/>
        </w:numPr>
        <w:spacing w:after="156"/>
      </w:pPr>
      <w:r>
        <w:rPr>
          <w:rFonts w:hint="eastAsia"/>
        </w:rPr>
        <w:t>De</w:t>
      </w:r>
      <w:r>
        <w:t>scribe how an industry’s predictability and malleability are expected to affect the choice of an appropriate corporate strategy.</w:t>
      </w:r>
    </w:p>
    <w:tbl>
      <w:tblPr>
        <w:tblStyle w:val="TableGrid"/>
        <w:tblW w:w="0" w:type="auto"/>
        <w:tblLook w:val="04A0" w:firstRow="1" w:lastRow="0" w:firstColumn="1" w:lastColumn="0" w:noHBand="0" w:noVBand="1"/>
      </w:tblPr>
      <w:tblGrid>
        <w:gridCol w:w="2765"/>
        <w:gridCol w:w="2765"/>
        <w:gridCol w:w="2766"/>
      </w:tblGrid>
      <w:tr w:rsidR="0017338F" w:rsidTr="00350DE8">
        <w:tc>
          <w:tcPr>
            <w:tcW w:w="2765" w:type="dxa"/>
          </w:tcPr>
          <w:p w:rsidR="0017338F" w:rsidRDefault="0017338F" w:rsidP="00350DE8"/>
        </w:tc>
        <w:tc>
          <w:tcPr>
            <w:tcW w:w="2765" w:type="dxa"/>
          </w:tcPr>
          <w:p w:rsidR="0017338F" w:rsidRDefault="0017338F" w:rsidP="00350DE8">
            <w:r>
              <w:rPr>
                <w:rFonts w:hint="eastAsia"/>
              </w:rPr>
              <w:t>Less Predictable</w:t>
            </w:r>
          </w:p>
        </w:tc>
        <w:tc>
          <w:tcPr>
            <w:tcW w:w="2766" w:type="dxa"/>
          </w:tcPr>
          <w:p w:rsidR="0017338F" w:rsidRDefault="0017338F" w:rsidP="00350DE8">
            <w:r>
              <w:rPr>
                <w:rFonts w:hint="eastAsia"/>
              </w:rPr>
              <w:t>More Predictable</w:t>
            </w:r>
          </w:p>
        </w:tc>
      </w:tr>
      <w:tr w:rsidR="0017338F" w:rsidTr="00350DE8">
        <w:tc>
          <w:tcPr>
            <w:tcW w:w="2765" w:type="dxa"/>
          </w:tcPr>
          <w:p w:rsidR="0017338F" w:rsidRDefault="0017338F" w:rsidP="00350DE8">
            <w:r>
              <w:rPr>
                <w:rFonts w:hint="eastAsia"/>
              </w:rPr>
              <w:t>Less Malleable</w:t>
            </w:r>
          </w:p>
        </w:tc>
        <w:tc>
          <w:tcPr>
            <w:tcW w:w="2765" w:type="dxa"/>
          </w:tcPr>
          <w:p w:rsidR="0017338F" w:rsidRDefault="0017338F" w:rsidP="00350DE8">
            <w:r>
              <w:rPr>
                <w:rFonts w:hint="eastAsia"/>
              </w:rPr>
              <w:t>Adaptive</w:t>
            </w:r>
          </w:p>
        </w:tc>
        <w:tc>
          <w:tcPr>
            <w:tcW w:w="2766" w:type="dxa"/>
          </w:tcPr>
          <w:p w:rsidR="0017338F" w:rsidRDefault="0017338F" w:rsidP="00350DE8">
            <w:r>
              <w:rPr>
                <w:rFonts w:hint="eastAsia"/>
              </w:rPr>
              <w:t>Classic</w:t>
            </w:r>
          </w:p>
        </w:tc>
      </w:tr>
      <w:tr w:rsidR="0017338F" w:rsidTr="00350DE8">
        <w:tc>
          <w:tcPr>
            <w:tcW w:w="2765" w:type="dxa"/>
          </w:tcPr>
          <w:p w:rsidR="0017338F" w:rsidRDefault="0017338F" w:rsidP="00350DE8">
            <w:r>
              <w:t>More</w:t>
            </w:r>
            <w:r>
              <w:rPr>
                <w:rFonts w:hint="eastAsia"/>
              </w:rPr>
              <w:t xml:space="preserve"> Malleable</w:t>
            </w:r>
          </w:p>
        </w:tc>
        <w:tc>
          <w:tcPr>
            <w:tcW w:w="2765" w:type="dxa"/>
          </w:tcPr>
          <w:p w:rsidR="0017338F" w:rsidRDefault="0017338F" w:rsidP="00350DE8">
            <w:r>
              <w:rPr>
                <w:rFonts w:hint="eastAsia"/>
              </w:rPr>
              <w:t>Shaping</w:t>
            </w:r>
          </w:p>
        </w:tc>
        <w:tc>
          <w:tcPr>
            <w:tcW w:w="2766" w:type="dxa"/>
          </w:tcPr>
          <w:p w:rsidR="0017338F" w:rsidRDefault="0017338F" w:rsidP="00350DE8">
            <w:r>
              <w:rPr>
                <w:rFonts w:hint="eastAsia"/>
              </w:rPr>
              <w:t>Visionary</w:t>
            </w:r>
          </w:p>
        </w:tc>
      </w:tr>
    </w:tbl>
    <w:p w:rsidR="0017338F" w:rsidRDefault="0017338F" w:rsidP="0017338F"/>
    <w:p w:rsidR="0017338F" w:rsidRDefault="0017338F" w:rsidP="0017338F">
      <w:pPr>
        <w:pStyle w:val="Level2"/>
      </w:pPr>
      <w:r>
        <w:rPr>
          <w:rFonts w:hint="eastAsia"/>
        </w:rPr>
        <w:t>Industry and Company Analysis</w:t>
      </w:r>
    </w:p>
    <w:p w:rsidR="0017338F" w:rsidRDefault="0017338F" w:rsidP="0017338F">
      <w:pPr>
        <w:pStyle w:val="Level3"/>
        <w:spacing w:after="156"/>
      </w:pPr>
      <w:r>
        <w:rPr>
          <w:rFonts w:hint="eastAsia"/>
        </w:rPr>
        <w:t>Forecast the following costs: COGS, SG&amp;A, financing costs and income taxes</w:t>
      </w:r>
    </w:p>
    <w:p w:rsidR="0017338F" w:rsidRDefault="0017338F" w:rsidP="0017338F">
      <w:r>
        <w:t>Gross interest expense = Gross debt * interest rate</w:t>
      </w:r>
    </w:p>
    <w:p w:rsidR="0017338F" w:rsidRDefault="0017338F" w:rsidP="0017338F">
      <w:r>
        <w:t>Net interest expense = Gross interest expense – interest income on cash and short-term debt securities</w:t>
      </w:r>
    </w:p>
    <w:p w:rsidR="0017338F" w:rsidRDefault="0017338F" w:rsidP="0017338F">
      <w:r>
        <w:t>Net debt = Gross debt – cash, cash equivalent and short-term securities.</w:t>
      </w:r>
    </w:p>
    <w:p w:rsidR="0017338F" w:rsidRDefault="0017338F" w:rsidP="0017338F"/>
    <w:p w:rsidR="0017338F" w:rsidRDefault="0017338F" w:rsidP="007C3137">
      <w:pPr>
        <w:pStyle w:val="Level3"/>
        <w:numPr>
          <w:ilvl w:val="2"/>
          <w:numId w:val="91"/>
        </w:numPr>
        <w:spacing w:after="156"/>
      </w:pPr>
      <w:r>
        <w:rPr>
          <w:rFonts w:hint="eastAsia"/>
        </w:rPr>
        <w:t>Describe the relationship between return on invested capital and competitive advantage.</w:t>
      </w:r>
    </w:p>
    <w:p w:rsidR="0017338F" w:rsidRDefault="0017338F" w:rsidP="0017338F">
      <w:r>
        <w:t xml:space="preserve">Return on invested capital = net operating profit </w:t>
      </w:r>
      <w:r w:rsidRPr="007A45F2">
        <w:rPr>
          <w:b/>
        </w:rPr>
        <w:t>adjusted for taxes</w:t>
      </w:r>
      <w:r>
        <w:t xml:space="preserve"> divided by invested capital.</w:t>
      </w:r>
    </w:p>
    <w:p w:rsidR="0017338F" w:rsidRDefault="0017338F" w:rsidP="0017338F">
      <w:r>
        <w:t>It allows comparisons across firms with different capital structures.</w:t>
      </w:r>
    </w:p>
    <w:p w:rsidR="0017338F" w:rsidRDefault="0017338F" w:rsidP="0017338F">
      <w:r>
        <w:t xml:space="preserve">Return on capital employed is similar to return on invested capital, but uses </w:t>
      </w:r>
      <w:r w:rsidRPr="005179C9">
        <w:rPr>
          <w:b/>
        </w:rPr>
        <w:t>pretax</w:t>
      </w:r>
      <w:r>
        <w:t xml:space="preserve"> operating earnings in the numerator.</w:t>
      </w:r>
    </w:p>
    <w:p w:rsidR="0017338F" w:rsidRDefault="0017338F" w:rsidP="0017338F"/>
    <w:p w:rsidR="0017338F" w:rsidRDefault="0017338F" w:rsidP="0017338F">
      <w:pPr>
        <w:pStyle w:val="Level2"/>
      </w:pPr>
      <w:r>
        <w:rPr>
          <w:rFonts w:hint="eastAsia"/>
        </w:rPr>
        <w:t>D</w:t>
      </w:r>
      <w:r>
        <w:t>iscounted Dividend Valuation</w:t>
      </w:r>
    </w:p>
    <w:p w:rsidR="0017338F" w:rsidRDefault="0017338F" w:rsidP="007C3137">
      <w:pPr>
        <w:pStyle w:val="Level3"/>
        <w:numPr>
          <w:ilvl w:val="2"/>
          <w:numId w:val="92"/>
        </w:numPr>
        <w:spacing w:after="156"/>
      </w:pPr>
      <w:r>
        <w:rPr>
          <w:rFonts w:hint="eastAsia"/>
        </w:rPr>
        <w:t>Calculate and interpret the PV of growth opportunities and the component of the leading PE related to PVGO</w:t>
      </w:r>
    </w:p>
    <w:p w:rsidR="0017338F" w:rsidRDefault="0017338F" w:rsidP="0017338F">
      <w:r>
        <w:t>V</w:t>
      </w:r>
      <w:r w:rsidRPr="00C41795">
        <w:rPr>
          <w:vertAlign w:val="subscript"/>
        </w:rPr>
        <w:t>0</w:t>
      </w:r>
      <w:r>
        <w:t xml:space="preserve"> = E</w:t>
      </w:r>
      <w:r w:rsidRPr="00C41795">
        <w:rPr>
          <w:vertAlign w:val="subscript"/>
        </w:rPr>
        <w:t>1</w:t>
      </w:r>
      <w:r>
        <w:t>/r + PVGO</w:t>
      </w:r>
    </w:p>
    <w:p w:rsidR="0017338F" w:rsidRDefault="0017338F" w:rsidP="0017338F"/>
    <w:p w:rsidR="0017338F" w:rsidRDefault="0017338F" w:rsidP="0017338F"/>
    <w:p w:rsidR="0017338F" w:rsidRDefault="0017338F" w:rsidP="0017338F"/>
    <w:p w:rsidR="0017338F" w:rsidRDefault="0017338F" w:rsidP="0017338F"/>
    <w:p w:rsidR="0017338F" w:rsidRDefault="0017338F" w:rsidP="007C3137">
      <w:pPr>
        <w:pStyle w:val="Level3"/>
        <w:numPr>
          <w:ilvl w:val="2"/>
          <w:numId w:val="93"/>
        </w:numPr>
        <w:spacing w:after="156"/>
      </w:pPr>
      <w:r>
        <w:rPr>
          <w:rFonts w:hint="eastAsia"/>
        </w:rPr>
        <w:lastRenderedPageBreak/>
        <w:t>Explain the assumptions and justify the selection of the two-stage DDM, the H-model, the three-stage DDM, or spreadsheet modeling to value a company</w:t>
      </w:r>
      <w:r>
        <w:t>’s common shares</w:t>
      </w:r>
    </w:p>
    <w:p w:rsidR="0017338F" w:rsidRDefault="0017338F" w:rsidP="0017338F">
      <w:r>
        <w:t>H-model:</w:t>
      </w:r>
    </w:p>
    <w:p w:rsidR="0017338F" w:rsidRPr="006563A7" w:rsidRDefault="008B6B90" w:rsidP="0017338F">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oMath>
      </m:oMathPara>
    </w:p>
    <w:p w:rsidR="006563A7" w:rsidRPr="00C41795" w:rsidRDefault="006563A7" w:rsidP="0017338F"/>
    <w:p w:rsidR="0017338F" w:rsidRDefault="0017338F" w:rsidP="007C3137">
      <w:pPr>
        <w:pStyle w:val="Level3"/>
        <w:numPr>
          <w:ilvl w:val="2"/>
          <w:numId w:val="94"/>
        </w:numPr>
        <w:spacing w:after="156"/>
      </w:pPr>
      <w:r>
        <w:rPr>
          <w:rFonts w:hint="eastAsia"/>
        </w:rPr>
        <w:t xml:space="preserve">Calculate and interpret the SGR of a company and demonstrate the use of </w:t>
      </w:r>
      <w:r>
        <w:t>DuPont</w:t>
      </w:r>
      <w:r>
        <w:rPr>
          <w:rFonts w:hint="eastAsia"/>
        </w:rPr>
        <w:t xml:space="preserve"> analysis to estimate a company</w:t>
      </w:r>
      <w:r>
        <w:t>’s sustainable growth rate.</w:t>
      </w:r>
    </w:p>
    <w:p w:rsidR="0017338F" w:rsidRDefault="0017338F" w:rsidP="0017338F">
      <w:r>
        <w:t>When calculating ROE, use accounting data at beginning of a year.</w:t>
      </w:r>
    </w:p>
    <w:p w:rsidR="0017338F" w:rsidRDefault="0017338F" w:rsidP="0017338F"/>
    <w:p w:rsidR="0017338F" w:rsidRDefault="0017338F" w:rsidP="0017338F">
      <w:pPr>
        <w:pStyle w:val="Level2"/>
      </w:pPr>
      <w:r>
        <w:rPr>
          <w:rFonts w:hint="eastAsia"/>
        </w:rPr>
        <w:t>Free Cash Flow Valuation</w:t>
      </w:r>
    </w:p>
    <w:p w:rsidR="0017338F" w:rsidRDefault="0017338F" w:rsidP="0017338F">
      <w:pPr>
        <w:pStyle w:val="Level3"/>
        <w:spacing w:after="156"/>
      </w:pPr>
      <w:r>
        <w:rPr>
          <w:rFonts w:hint="eastAsia"/>
        </w:rPr>
        <w:t>Compare the FCFF and FCFE approaches to valuation.</w:t>
      </w:r>
    </w:p>
    <w:p w:rsidR="0017338F" w:rsidRDefault="0017338F" w:rsidP="0017338F">
      <w:r>
        <w:t>The differences between FCFF and FCFE account for differences in capital structure and consequently reflect the perspectives of different capital suppliers. FCFE is easier and more straightforward to use in cases where the company’s capital structure is not volatile.</w:t>
      </w:r>
    </w:p>
    <w:p w:rsidR="0017338F" w:rsidRDefault="0017338F" w:rsidP="0017338F"/>
    <w:p w:rsidR="0017338F" w:rsidRDefault="0017338F" w:rsidP="0017338F">
      <w:pPr>
        <w:pStyle w:val="Level3"/>
        <w:spacing w:after="156"/>
      </w:pPr>
      <w:r>
        <w:rPr>
          <w:rFonts w:hint="eastAsia"/>
        </w:rPr>
        <w:t>Explain the appropriate adjustments to NI, EBIT, EBITDA and CFO to calculate FCFF and FCFE.</w:t>
      </w:r>
    </w:p>
    <w:p w:rsidR="0017338F" w:rsidRDefault="0017338F" w:rsidP="0017338F">
      <w:r>
        <w:t>FCFF = NI + NCC + Interest * (1 – tax) – FCInv – WCInv</w:t>
      </w:r>
    </w:p>
    <w:p w:rsidR="0017338F" w:rsidRDefault="0017338F" w:rsidP="0017338F">
      <w:r>
        <w:t>FCFF = EBIT * (1 – tax) + Depreciation – FCInv – WCInv</w:t>
      </w:r>
    </w:p>
    <w:p w:rsidR="0017338F" w:rsidRDefault="0017338F" w:rsidP="0017338F">
      <w:r>
        <w:t>FCFF = EBITDA * (1 – tax) + Depreciation * tax – FCInv – WCInv</w:t>
      </w:r>
    </w:p>
    <w:p w:rsidR="0017338F" w:rsidRDefault="0017338F" w:rsidP="0017338F">
      <w:r>
        <w:t>FCFE = FCFF – interest * (1 – tax) + net borrowing</w:t>
      </w:r>
    </w:p>
    <w:p w:rsidR="0017338F" w:rsidRDefault="0017338F" w:rsidP="0017338F"/>
    <w:p w:rsidR="0017338F" w:rsidRDefault="0017338F" w:rsidP="0017338F">
      <w:r>
        <w:t>*Non-cash charge includes depreciation and restructuring charge. Added them back to NI.</w:t>
      </w:r>
    </w:p>
    <w:p w:rsidR="0017338F" w:rsidRDefault="0017338F" w:rsidP="0017338F"/>
    <w:p w:rsidR="0017338F" w:rsidRDefault="0017338F" w:rsidP="007C3137">
      <w:pPr>
        <w:pStyle w:val="ListParagraph"/>
        <w:numPr>
          <w:ilvl w:val="0"/>
          <w:numId w:val="95"/>
        </w:numPr>
        <w:ind w:firstLineChars="0"/>
      </w:pPr>
      <w:r>
        <w:rPr>
          <w:rFonts w:hint="eastAsia"/>
        </w:rPr>
        <w:t xml:space="preserve">Preferred dividend is </w:t>
      </w:r>
      <w:r>
        <w:t>subtracted</w:t>
      </w:r>
      <w:r>
        <w:rPr>
          <w:rFonts w:hint="eastAsia"/>
        </w:rPr>
        <w:t xml:space="preserve"> from </w:t>
      </w:r>
      <w:r>
        <w:t>EBIT with interest</w:t>
      </w:r>
    </w:p>
    <w:p w:rsidR="0017338F" w:rsidRDefault="0017338F" w:rsidP="007C3137">
      <w:pPr>
        <w:pStyle w:val="ListParagraph"/>
        <w:numPr>
          <w:ilvl w:val="0"/>
          <w:numId w:val="95"/>
        </w:numPr>
        <w:ind w:firstLineChars="0"/>
      </w:pPr>
      <w:r>
        <w:t xml:space="preserve">Assume there’s no PP&amp;E sold, </w:t>
      </w:r>
    </w:p>
    <w:p w:rsidR="0017338F" w:rsidRDefault="0017338F" w:rsidP="0017338F">
      <w:pPr>
        <w:pStyle w:val="ListParagraph"/>
        <w:ind w:left="420" w:firstLineChars="0"/>
      </w:pPr>
      <w:r>
        <w:t>Begin net BV PP&amp;E</w:t>
      </w:r>
    </w:p>
    <w:p w:rsidR="0017338F" w:rsidRDefault="0017338F" w:rsidP="0017338F">
      <w:pPr>
        <w:pStyle w:val="ListParagraph"/>
        <w:ind w:left="420" w:firstLineChars="0" w:firstLine="0"/>
      </w:pPr>
      <w:r>
        <w:t>-</w:t>
      </w:r>
      <w:r>
        <w:tab/>
        <w:t>Depreciation</w:t>
      </w:r>
    </w:p>
    <w:p w:rsidR="0017338F" w:rsidRDefault="0017338F" w:rsidP="0017338F">
      <w:pPr>
        <w:pStyle w:val="ListParagraph"/>
        <w:ind w:left="420" w:firstLineChars="0" w:firstLine="0"/>
      </w:pPr>
      <w:r>
        <w:t>+</w:t>
      </w:r>
      <w:r>
        <w:tab/>
        <w:t>FCInv</w:t>
      </w:r>
    </w:p>
    <w:p w:rsidR="0017338F" w:rsidRDefault="0017338F" w:rsidP="0017338F">
      <w:pPr>
        <w:pStyle w:val="ListParagraph"/>
        <w:ind w:left="420" w:firstLineChars="0" w:firstLine="0"/>
      </w:pPr>
      <w:r>
        <w:t>=</w:t>
      </w:r>
      <w:r>
        <w:tab/>
        <w:t>End net BV PP&amp;E</w:t>
      </w:r>
    </w:p>
    <w:p w:rsidR="0017338F" w:rsidRDefault="0017338F" w:rsidP="0017338F">
      <w:pPr>
        <w:pStyle w:val="ListParagraph"/>
        <w:ind w:left="420" w:firstLineChars="0" w:firstLine="0"/>
      </w:pPr>
      <w:r>
        <w:t>FCInv = End gross BV PP&amp;E – begin gross VB PP&amp;E</w:t>
      </w:r>
    </w:p>
    <w:p w:rsidR="0017338F" w:rsidRDefault="0017338F" w:rsidP="007C3137">
      <w:pPr>
        <w:pStyle w:val="ListParagraph"/>
        <w:numPr>
          <w:ilvl w:val="0"/>
          <w:numId w:val="95"/>
        </w:numPr>
        <w:ind w:firstLineChars="0"/>
      </w:pPr>
      <w:r>
        <w:rPr>
          <w:rFonts w:hint="eastAsia"/>
        </w:rPr>
        <w:t>Notes payable is not included in WCInv, but in net borrowing.</w:t>
      </w:r>
    </w:p>
    <w:p w:rsidR="0017338F" w:rsidRDefault="0017338F" w:rsidP="0017338F"/>
    <w:p w:rsidR="0017338F" w:rsidRDefault="0017338F" w:rsidP="007C3137">
      <w:pPr>
        <w:pStyle w:val="Level3"/>
        <w:numPr>
          <w:ilvl w:val="2"/>
          <w:numId w:val="96"/>
        </w:numPr>
        <w:spacing w:after="156"/>
      </w:pPr>
      <w:r>
        <w:rPr>
          <w:rFonts w:hint="eastAsia"/>
        </w:rPr>
        <w:t>Describe approaches for forecasting FCFF and FCFE.</w:t>
      </w:r>
    </w:p>
    <w:p w:rsidR="0017338F" w:rsidRDefault="0017338F" w:rsidP="0017338F">
      <w:r>
        <w:t>FCFE = NI + (1 – DR) * (Depreciation – FCInv – WCInv)</w:t>
      </w:r>
    </w:p>
    <w:p w:rsidR="0017338F" w:rsidRDefault="0017338F" w:rsidP="0017338F">
      <w:r>
        <w:t>DR = target debt-to-asset ratio</w:t>
      </w:r>
    </w:p>
    <w:p w:rsidR="0017338F" w:rsidRDefault="0017338F" w:rsidP="0017338F"/>
    <w:p w:rsidR="0017338F" w:rsidRDefault="0017338F" w:rsidP="0017338F">
      <w:pPr>
        <w:pStyle w:val="Level2"/>
      </w:pPr>
      <w:r>
        <w:rPr>
          <w:rFonts w:hint="eastAsia"/>
        </w:rPr>
        <w:t>Market-Based Valuation: Price and Enterprise Value Multiples</w:t>
      </w:r>
    </w:p>
    <w:p w:rsidR="0017338F" w:rsidRDefault="0017338F" w:rsidP="0017338F">
      <w:pPr>
        <w:pStyle w:val="Level3"/>
        <w:spacing w:after="156"/>
      </w:pPr>
      <w:r>
        <w:t>Calculate and interpret a justified price multiple.</w:t>
      </w:r>
    </w:p>
    <w:p w:rsidR="0017338F" w:rsidRDefault="0017338F" w:rsidP="0017338F">
      <w:r>
        <w:t>P/E Ratio</w:t>
      </w:r>
    </w:p>
    <w:p w:rsidR="0017338F" w:rsidRDefault="0017338F" w:rsidP="007C3137">
      <w:pPr>
        <w:pStyle w:val="ListParagraph"/>
        <w:numPr>
          <w:ilvl w:val="0"/>
          <w:numId w:val="95"/>
        </w:numPr>
        <w:ind w:firstLineChars="0"/>
      </w:pPr>
      <w:r>
        <w:t>T</w:t>
      </w:r>
      <w:r>
        <w:rPr>
          <w:rFonts w:hint="eastAsia"/>
        </w:rPr>
        <w:t xml:space="preserve">railing </w:t>
      </w:r>
      <w:r>
        <w:t>P/E = market price per share / EPS over previous 12 months</w:t>
      </w:r>
    </w:p>
    <w:p w:rsidR="0017338F" w:rsidRDefault="0017338F" w:rsidP="007C3137">
      <w:pPr>
        <w:pStyle w:val="ListParagraph"/>
        <w:numPr>
          <w:ilvl w:val="0"/>
          <w:numId w:val="95"/>
        </w:numPr>
        <w:ind w:firstLineChars="0"/>
      </w:pPr>
      <w:r>
        <w:lastRenderedPageBreak/>
        <w:t>Leading P/E = market price per share / forecasted EPS over next 12 months</w:t>
      </w:r>
    </w:p>
    <w:p w:rsidR="0017338F" w:rsidRDefault="0017338F" w:rsidP="0017338F">
      <w:r>
        <w:rPr>
          <w:rFonts w:hint="eastAsia"/>
        </w:rPr>
        <w:t>Justified</w:t>
      </w:r>
      <w:r>
        <w:t xml:space="preserve"> P/E multiples are affected by inflation rates and the ability of companies to pass through inflation in their costs in the form of higher prices to customers.</w:t>
      </w:r>
    </w:p>
    <w:p w:rsidR="0017338F" w:rsidRDefault="0017338F" w:rsidP="0017338F">
      <w:r>
        <w:t>If a company resides in a country with higher inflation rate, its P/E multiples will be lower.</w:t>
      </w:r>
    </w:p>
    <w:p w:rsidR="0017338F" w:rsidRDefault="0017338F" w:rsidP="0017338F">
      <w:r>
        <w:t>If a company has higher pass through rate, its P/E multiples will be lower.</w:t>
      </w:r>
    </w:p>
    <w:p w:rsidR="0017338F" w:rsidRDefault="0017338F" w:rsidP="0017338F"/>
    <w:p w:rsidR="0017338F" w:rsidRDefault="0017338F" w:rsidP="0017338F">
      <w:r>
        <w:rPr>
          <w:rFonts w:hint="eastAsia"/>
        </w:rPr>
        <w:t>Dividend Yield</w:t>
      </w:r>
    </w:p>
    <w:p w:rsidR="0017338F" w:rsidRDefault="0017338F" w:rsidP="007C3137">
      <w:pPr>
        <w:pStyle w:val="ListParagraph"/>
        <w:numPr>
          <w:ilvl w:val="0"/>
          <w:numId w:val="98"/>
        </w:numPr>
        <w:ind w:firstLineChars="0"/>
      </w:pPr>
      <w:r>
        <w:t>T</w:t>
      </w:r>
      <w:r>
        <w:rPr>
          <w:rFonts w:hint="eastAsia"/>
        </w:rPr>
        <w:t xml:space="preserve">railing </w:t>
      </w:r>
      <w:r>
        <w:t xml:space="preserve">D/P = 4 * </w:t>
      </w:r>
      <w:r w:rsidRPr="009F7214">
        <w:rPr>
          <w:b/>
        </w:rPr>
        <w:t>most recent quarterly dividend</w:t>
      </w:r>
      <w:r>
        <w:t xml:space="preserve"> / market price per share</w:t>
      </w:r>
    </w:p>
    <w:p w:rsidR="0017338F" w:rsidRDefault="0017338F" w:rsidP="007C3137">
      <w:pPr>
        <w:pStyle w:val="ListParagraph"/>
        <w:numPr>
          <w:ilvl w:val="0"/>
          <w:numId w:val="98"/>
        </w:numPr>
        <w:ind w:firstLineChars="0"/>
      </w:pPr>
      <w:r>
        <w:t xml:space="preserve">Leading D/P = </w:t>
      </w:r>
      <w:r w:rsidRPr="009F7214">
        <w:rPr>
          <w:b/>
        </w:rPr>
        <w:t>forecasted dividends over next 4 quarters</w:t>
      </w:r>
      <w:r>
        <w:t xml:space="preserve"> / market price per share</w:t>
      </w:r>
    </w:p>
    <w:p w:rsidR="0017338F" w:rsidRDefault="0017338F" w:rsidP="0017338F"/>
    <w:p w:rsidR="0017338F" w:rsidRDefault="0017338F" w:rsidP="007C3137">
      <w:pPr>
        <w:pStyle w:val="Level3"/>
        <w:numPr>
          <w:ilvl w:val="2"/>
          <w:numId w:val="99"/>
        </w:numPr>
        <w:spacing w:after="156"/>
      </w:pPr>
      <w:r>
        <w:rPr>
          <w:rFonts w:hint="eastAsia"/>
        </w:rPr>
        <w:t xml:space="preserve">Calculate and interpret underlying earnings, explain methods of normalizing EPS and </w:t>
      </w:r>
      <w:r>
        <w:t>calculate</w:t>
      </w:r>
      <w:r>
        <w:rPr>
          <w:rFonts w:hint="eastAsia"/>
        </w:rPr>
        <w:t xml:space="preserve"> </w:t>
      </w:r>
      <w:r>
        <w:t>normalized EPS</w:t>
      </w:r>
    </w:p>
    <w:p w:rsidR="0017338F" w:rsidRDefault="0017338F" w:rsidP="0017338F">
      <w:r>
        <w:t>Normalized Earnings</w:t>
      </w:r>
    </w:p>
    <w:p w:rsidR="0017338F" w:rsidRDefault="0017338F" w:rsidP="007C3137">
      <w:pPr>
        <w:pStyle w:val="ListParagraph"/>
        <w:numPr>
          <w:ilvl w:val="0"/>
          <w:numId w:val="100"/>
        </w:numPr>
        <w:ind w:firstLineChars="0"/>
      </w:pPr>
      <w:r>
        <w:rPr>
          <w:rFonts w:hint="eastAsia"/>
        </w:rPr>
        <w:t>Under the method of historical average EPS, it is estimated as the average EPS over some recent period.</w:t>
      </w:r>
    </w:p>
    <w:p w:rsidR="0017338F" w:rsidRDefault="0017338F" w:rsidP="007C3137">
      <w:pPr>
        <w:pStyle w:val="ListParagraph"/>
        <w:numPr>
          <w:ilvl w:val="0"/>
          <w:numId w:val="100"/>
        </w:numPr>
        <w:ind w:firstLineChars="0"/>
      </w:pPr>
      <w:r>
        <w:t>Under the method of average return on equity, it is estimated as the average ROE multiplied by the current book value per share.</w:t>
      </w:r>
    </w:p>
    <w:p w:rsidR="0017338F" w:rsidRPr="00F03B3F" w:rsidRDefault="0017338F" w:rsidP="0017338F">
      <w:pPr>
        <w:rPr>
          <w:lang w:val="en"/>
        </w:rPr>
      </w:pPr>
      <w:r>
        <w:rPr>
          <w:lang w:val="en"/>
        </w:rPr>
        <w:t>High P/E</w:t>
      </w:r>
      <w:r w:rsidRPr="00F03B3F">
        <w:rPr>
          <w:lang w:val="en"/>
        </w:rPr>
        <w:t xml:space="preserve"> on depressed EPS at the bottom of the cycle and l</w:t>
      </w:r>
      <w:r>
        <w:rPr>
          <w:lang w:val="en"/>
        </w:rPr>
        <w:t>ow P/E</w:t>
      </w:r>
      <w:r w:rsidRPr="00F03B3F">
        <w:rPr>
          <w:lang w:val="en"/>
        </w:rPr>
        <w:t xml:space="preserve"> on unusually high EPS at the top of the cycle reflect the countercyclical property of P/E known as the </w:t>
      </w:r>
      <w:r w:rsidRPr="00F03B3F">
        <w:rPr>
          <w:b/>
          <w:lang w:val="en"/>
        </w:rPr>
        <w:t>Molodovsky</w:t>
      </w:r>
      <w:r w:rsidRPr="00F03B3F">
        <w:rPr>
          <w:lang w:val="en"/>
        </w:rPr>
        <w:t xml:space="preserve"> effect.</w:t>
      </w:r>
    </w:p>
    <w:p w:rsidR="0017338F" w:rsidRDefault="0017338F" w:rsidP="0017338F"/>
    <w:p w:rsidR="0017338F" w:rsidRDefault="0017338F" w:rsidP="007C3137">
      <w:pPr>
        <w:pStyle w:val="Level3"/>
        <w:numPr>
          <w:ilvl w:val="2"/>
          <w:numId w:val="101"/>
        </w:numPr>
        <w:spacing w:after="156"/>
      </w:pPr>
      <w:r>
        <w:rPr>
          <w:rFonts w:hint="eastAsia"/>
        </w:rPr>
        <w:t>Calculate and interpret the justified P/E, P/B and P/S for a stock, based on forecasted fundamentals.</w:t>
      </w:r>
    </w:p>
    <w:p w:rsidR="0017338F" w:rsidRDefault="0017338F" w:rsidP="0017338F">
      <w:r>
        <w:t>Justified P/B ratio = (ROE – g) / (r – g)</w:t>
      </w:r>
    </w:p>
    <w:p w:rsidR="0017338F" w:rsidRDefault="0017338F" w:rsidP="0017338F"/>
    <w:p w:rsidR="0017338F" w:rsidRDefault="0017338F" w:rsidP="007C3137">
      <w:pPr>
        <w:pStyle w:val="Level3"/>
        <w:numPr>
          <w:ilvl w:val="2"/>
          <w:numId w:val="102"/>
        </w:numPr>
        <w:spacing w:after="156"/>
      </w:pPr>
      <w:r>
        <w:rPr>
          <w:rFonts w:hint="eastAsia"/>
        </w:rPr>
        <w:t>Calculate and interpret the P/E-to-growth ratio and explain its use in relative valuation.</w:t>
      </w:r>
    </w:p>
    <w:p w:rsidR="0017338F" w:rsidRDefault="0017338F" w:rsidP="0017338F">
      <w:r>
        <w:t>PEG ratio = P/E ratio / g</w:t>
      </w:r>
    </w:p>
    <w:p w:rsidR="0017338F" w:rsidRDefault="0017338F" w:rsidP="0017338F">
      <w:r>
        <w:rPr>
          <w:rFonts w:hint="eastAsia"/>
        </w:rPr>
        <w:t>PEG ratio does not factor in differences in risk, and does not account for differences in the duration of growth.</w:t>
      </w:r>
    </w:p>
    <w:p w:rsidR="0017338F" w:rsidRDefault="0017338F" w:rsidP="0017338F"/>
    <w:p w:rsidR="0017338F" w:rsidRDefault="0017338F" w:rsidP="007C3137">
      <w:pPr>
        <w:pStyle w:val="Level3"/>
        <w:numPr>
          <w:ilvl w:val="2"/>
          <w:numId w:val="103"/>
        </w:numPr>
        <w:spacing w:after="156"/>
      </w:pPr>
      <w:r>
        <w:rPr>
          <w:rFonts w:hint="eastAsia"/>
        </w:rPr>
        <w:t>Calculate and interpret EV multiples and evaluate the use of EV/EBITDA</w:t>
      </w:r>
    </w:p>
    <w:p w:rsidR="0017338F" w:rsidRDefault="0017338F" w:rsidP="0017338F">
      <w:r>
        <w:t xml:space="preserve">EV = MV of common stock + MV of preferred stock + MV of </w:t>
      </w:r>
      <w:r w:rsidRPr="00387A0E">
        <w:rPr>
          <w:b/>
        </w:rPr>
        <w:t>long-term</w:t>
      </w:r>
      <w:r>
        <w:t xml:space="preserve"> debt + minority interest – cash and investment</w:t>
      </w:r>
    </w:p>
    <w:p w:rsidR="0017338F" w:rsidRDefault="0017338F" w:rsidP="0017338F"/>
    <w:p w:rsidR="0017338F" w:rsidRDefault="0017338F" w:rsidP="0017338F">
      <w:pPr>
        <w:pStyle w:val="Level2"/>
      </w:pPr>
      <w:r>
        <w:rPr>
          <w:rFonts w:hint="eastAsia"/>
        </w:rPr>
        <w:t>Residual Income Valuation</w:t>
      </w:r>
    </w:p>
    <w:p w:rsidR="0017338F" w:rsidRDefault="0017338F" w:rsidP="0017338F">
      <w:pPr>
        <w:pStyle w:val="Level3"/>
        <w:spacing w:after="156"/>
      </w:pPr>
      <w:r>
        <w:rPr>
          <w:rFonts w:hint="eastAsia"/>
        </w:rPr>
        <w:t>Calculate and interpret residual income, economic value added, and market value added.</w:t>
      </w:r>
    </w:p>
    <w:p w:rsidR="0017338F" w:rsidRDefault="0017338F" w:rsidP="0017338F">
      <w:r>
        <w:t>Economic value added = net operating profit after tax – (WACC * total capital)</w:t>
      </w:r>
    </w:p>
    <w:p w:rsidR="0017338F" w:rsidRDefault="0017338F" w:rsidP="0017338F">
      <w:r>
        <w:tab/>
      </w:r>
      <w:r>
        <w:tab/>
      </w:r>
      <w:r>
        <w:tab/>
      </w:r>
      <w:r>
        <w:tab/>
        <w:t xml:space="preserve">   = EBIT * (1 – t) - $WACC</w:t>
      </w:r>
    </w:p>
    <w:p w:rsidR="0017338F" w:rsidRDefault="0017338F" w:rsidP="0017338F">
      <w:r>
        <w:t>Market value added = market value of total capital (debt &amp; equity) – book value of total capital</w:t>
      </w:r>
    </w:p>
    <w:p w:rsidR="0017338F" w:rsidRDefault="0017338F" w:rsidP="0017338F"/>
    <w:p w:rsidR="00A56D5C" w:rsidRDefault="00A56D5C" w:rsidP="0017338F"/>
    <w:p w:rsidR="00A56D5C" w:rsidRDefault="00A56D5C" w:rsidP="0017338F"/>
    <w:p w:rsidR="00A56D5C" w:rsidRDefault="00A56D5C" w:rsidP="0017338F"/>
    <w:p w:rsidR="0017338F" w:rsidRDefault="0017338F" w:rsidP="0017338F">
      <w:pPr>
        <w:pStyle w:val="Level3"/>
        <w:spacing w:after="156"/>
      </w:pPr>
      <w:r>
        <w:lastRenderedPageBreak/>
        <w:t>Calculate the intrinsic value of a common stock using the RI model and compare value recognition in RI and other PV models.</w:t>
      </w:r>
    </w:p>
    <w:p w:rsidR="0017338F" w:rsidRDefault="0017338F" w:rsidP="0017338F">
      <w:r>
        <w:t>RI</w:t>
      </w:r>
      <w:r w:rsidRPr="00A440A2">
        <w:rPr>
          <w:vertAlign w:val="subscript"/>
        </w:rPr>
        <w:t>t</w:t>
      </w:r>
      <w:r>
        <w:t xml:space="preserve"> = E</w:t>
      </w:r>
      <w:r w:rsidRPr="00A440A2">
        <w:rPr>
          <w:vertAlign w:val="subscript"/>
        </w:rPr>
        <w:t>t</w:t>
      </w:r>
      <w:r>
        <w:t xml:space="preserve"> – (r * B</w:t>
      </w:r>
      <w:r w:rsidRPr="0017102C">
        <w:rPr>
          <w:vertAlign w:val="subscript"/>
        </w:rPr>
        <w:t>t-1</w:t>
      </w:r>
      <w:r>
        <w:t>) = (ROE – r) * B</w:t>
      </w:r>
      <w:r w:rsidRPr="0017102C">
        <w:rPr>
          <w:vertAlign w:val="subscript"/>
        </w:rPr>
        <w:t>t-1</w:t>
      </w:r>
      <w:r>
        <w:t xml:space="preserve"> = EBIT * (1 – t) – (total capital * R</w:t>
      </w:r>
      <w:r w:rsidRPr="00FA4B4D">
        <w:rPr>
          <w:vertAlign w:val="subscript"/>
        </w:rPr>
        <w:t>wacc</w:t>
      </w:r>
      <w:r>
        <w:t>)</w:t>
      </w:r>
    </w:p>
    <w:p w:rsidR="00A56D5C" w:rsidRPr="00FA4B4D" w:rsidRDefault="00A56D5C" w:rsidP="0017338F"/>
    <w:p w:rsidR="0017338F" w:rsidRDefault="0017338F" w:rsidP="007C3137">
      <w:pPr>
        <w:pStyle w:val="Level3"/>
        <w:numPr>
          <w:ilvl w:val="2"/>
          <w:numId w:val="104"/>
        </w:numPr>
        <w:spacing w:after="156"/>
      </w:pPr>
      <w:r>
        <w:rPr>
          <w:rFonts w:hint="eastAsia"/>
        </w:rPr>
        <w:t>Explain continuing RI and justify an estimate of continuing RI at the forecast horizon, given company and industry prospects.</w:t>
      </w:r>
    </w:p>
    <w:p w:rsidR="0017338F" w:rsidRPr="00F03B3F" w:rsidRDefault="0017338F" w:rsidP="0017338F">
      <w:pPr>
        <w:rPr>
          <w:b/>
        </w:rPr>
      </w:pPr>
      <w:r w:rsidRPr="00F03B3F">
        <w:rPr>
          <w:b/>
        </w:rPr>
        <w:t>Assumption #3: Residual Income Declines over Time to Zero</w:t>
      </w:r>
    </w:p>
    <w:p w:rsidR="0017338F" w:rsidRDefault="0017338F" w:rsidP="0017338F">
      <w:r>
        <w:rPr>
          <w:rFonts w:hint="eastAsia"/>
        </w:rPr>
        <w:t>PV of continuing RI in year T-1 = RI</w:t>
      </w:r>
      <w:r w:rsidRPr="006E52F1">
        <w:rPr>
          <w:rFonts w:hint="eastAsia"/>
          <w:vertAlign w:val="subscript"/>
        </w:rPr>
        <w:t>T</w:t>
      </w:r>
      <w:r>
        <w:rPr>
          <w:rFonts w:hint="eastAsia"/>
        </w:rPr>
        <w:t xml:space="preserve"> / (1 + r </w:t>
      </w:r>
      <w:r>
        <w:t>–</w:t>
      </w:r>
      <w:r>
        <w:rPr>
          <w:rFonts w:hint="eastAsia"/>
        </w:rPr>
        <w:t xml:space="preserve"> w)</w:t>
      </w:r>
    </w:p>
    <w:p w:rsidR="0017338F" w:rsidRDefault="0017338F" w:rsidP="0017338F">
      <w:r>
        <w:t>Where w = persistence factor</w:t>
      </w:r>
    </w:p>
    <w:p w:rsidR="0017338F" w:rsidRDefault="0017338F" w:rsidP="0017338F">
      <w:r>
        <w:t>This PV already includes RI in year T.</w:t>
      </w:r>
    </w:p>
    <w:p w:rsidR="0017338F" w:rsidRPr="00F03B3F" w:rsidRDefault="0017338F" w:rsidP="0017338F">
      <w:pPr>
        <w:rPr>
          <w:b/>
        </w:rPr>
      </w:pPr>
      <w:r w:rsidRPr="00F03B3F">
        <w:rPr>
          <w:b/>
        </w:rPr>
        <w:t>Assumption #4: Residual Income Declines to Long-Run Level in Mature Industry</w:t>
      </w:r>
    </w:p>
    <w:p w:rsidR="0017338F" w:rsidRDefault="0017338F" w:rsidP="0017338F">
      <w:r>
        <w:t>PV of continuing RI in year T-1 = (P</w:t>
      </w:r>
      <w:r w:rsidRPr="00FC7075">
        <w:rPr>
          <w:vertAlign w:val="subscript"/>
        </w:rPr>
        <w:t>T</w:t>
      </w:r>
      <w:r>
        <w:t xml:space="preserve"> – B</w:t>
      </w:r>
      <w:r w:rsidRPr="00FC7075">
        <w:rPr>
          <w:vertAlign w:val="subscript"/>
        </w:rPr>
        <w:t>T</w:t>
      </w:r>
      <w:r>
        <w:t xml:space="preserve"> + RI</w:t>
      </w:r>
      <w:r w:rsidRPr="00FC7075">
        <w:rPr>
          <w:vertAlign w:val="subscript"/>
        </w:rPr>
        <w:t>T</w:t>
      </w:r>
      <w:r>
        <w:t>) / (1 + r)</w:t>
      </w:r>
    </w:p>
    <w:p w:rsidR="0017338F" w:rsidRDefault="0017338F" w:rsidP="0017338F"/>
    <w:p w:rsidR="0017338F" w:rsidRDefault="0017338F" w:rsidP="0017338F">
      <w:pPr>
        <w:pStyle w:val="Level2"/>
      </w:pPr>
      <w:r>
        <w:rPr>
          <w:rFonts w:hint="eastAsia"/>
        </w:rPr>
        <w:t>Private Company Valuation</w:t>
      </w:r>
    </w:p>
    <w:p w:rsidR="0017338F" w:rsidRDefault="0017338F" w:rsidP="007C3137">
      <w:pPr>
        <w:pStyle w:val="Level3"/>
        <w:numPr>
          <w:ilvl w:val="2"/>
          <w:numId w:val="105"/>
        </w:numPr>
        <w:spacing w:after="156"/>
      </w:pPr>
      <w:r>
        <w:rPr>
          <w:rFonts w:hint="eastAsia"/>
        </w:rPr>
        <w:t xml:space="preserve">Calculate the value of a private company using free cash flow, </w:t>
      </w:r>
      <w:r>
        <w:t>capitalized</w:t>
      </w:r>
      <w:r>
        <w:rPr>
          <w:rFonts w:hint="eastAsia"/>
        </w:rPr>
        <w:t xml:space="preserve"> </w:t>
      </w:r>
      <w:r>
        <w:t>cash flow, and excess earnings methods.</w:t>
      </w:r>
    </w:p>
    <w:p w:rsidR="0017338F" w:rsidRDefault="0017338F" w:rsidP="0017338F">
      <w:r>
        <w:rPr>
          <w:rFonts w:hint="eastAsia"/>
        </w:rPr>
        <w:t>The excess earning method</w:t>
      </w:r>
    </w:p>
    <w:p w:rsidR="0017338F" w:rsidRDefault="0017338F" w:rsidP="0017338F">
      <w:r>
        <w:t>Excess earning0 = normalized earning – fixed asset * R</w:t>
      </w:r>
      <w:r w:rsidRPr="001C614B">
        <w:rPr>
          <w:vertAlign w:val="subscript"/>
        </w:rPr>
        <w:t>fa</w:t>
      </w:r>
      <w:r>
        <w:t xml:space="preserve"> – working capital * R</w:t>
      </w:r>
      <w:r w:rsidRPr="001C614B">
        <w:rPr>
          <w:vertAlign w:val="subscript"/>
        </w:rPr>
        <w:t>wc</w:t>
      </w:r>
    </w:p>
    <w:p w:rsidR="0017338F" w:rsidRDefault="0017338F" w:rsidP="0017338F">
      <w:r>
        <w:t>RI = excess earning0 * (1 + g) / (r</w:t>
      </w:r>
      <w:r w:rsidRPr="00D439C7">
        <w:rPr>
          <w:vertAlign w:val="subscript"/>
        </w:rPr>
        <w:t>intangible</w:t>
      </w:r>
      <w:r>
        <w:t xml:space="preserve"> – g)</w:t>
      </w:r>
    </w:p>
    <w:p w:rsidR="0017338F" w:rsidRDefault="0017338F" w:rsidP="0017338F">
      <w:r>
        <w:t>V = fixed asset + working capital + RI (intangible’s value)</w:t>
      </w:r>
    </w:p>
    <w:p w:rsidR="0017338F" w:rsidRDefault="0017338F" w:rsidP="0017338F"/>
    <w:p w:rsidR="0017338F" w:rsidRDefault="0017338F" w:rsidP="007C3137">
      <w:pPr>
        <w:pStyle w:val="Level3"/>
        <w:numPr>
          <w:ilvl w:val="2"/>
          <w:numId w:val="106"/>
        </w:numPr>
        <w:spacing w:after="156"/>
      </w:pPr>
      <w:r>
        <w:t>Calculate the value of a private company based on market approach method and describe advantages and disadvantages of each method.</w:t>
      </w:r>
    </w:p>
    <w:p w:rsidR="0017338F" w:rsidRDefault="0017338F" w:rsidP="0017338F">
      <w:r>
        <w:t>Guideline Public Company Method</w:t>
      </w:r>
    </w:p>
    <w:p w:rsidR="0017338F" w:rsidRDefault="0017338F" w:rsidP="0017338F">
      <w:r>
        <w:rPr>
          <w:rFonts w:hint="eastAsia"/>
        </w:rPr>
        <w:t xml:space="preserve">GPCM uses price multiples from trade data for public companies, with adjustments to the multiples to account for differences between the subject firm and the </w:t>
      </w:r>
      <w:r>
        <w:t>comparables</w:t>
      </w:r>
      <w:r>
        <w:rPr>
          <w:rFonts w:hint="eastAsia"/>
        </w:rPr>
        <w:t>.</w:t>
      </w:r>
    </w:p>
    <w:p w:rsidR="0017338F" w:rsidRDefault="0017338F" w:rsidP="0017338F">
      <w:r>
        <w:t>Control premium adjustments are made only to the equity portion of the firm’s value.</w:t>
      </w:r>
    </w:p>
    <w:p w:rsidR="0017338F" w:rsidRPr="00F264C3" w:rsidRDefault="0017338F" w:rsidP="0017338F"/>
    <w:p w:rsidR="0017338F" w:rsidRDefault="0017338F" w:rsidP="0017338F">
      <w:r>
        <w:rPr>
          <w:rFonts w:hint="eastAsia"/>
        </w:rPr>
        <w:t>Guideline Transactions Method</w:t>
      </w:r>
    </w:p>
    <w:p w:rsidR="0017338F" w:rsidRDefault="0017338F" w:rsidP="0017338F">
      <w:r>
        <w:t xml:space="preserve">When using this method, prior acquisition values for </w:t>
      </w:r>
      <w:r w:rsidRPr="00915406">
        <w:rPr>
          <w:b/>
        </w:rPr>
        <w:t>entire</w:t>
      </w:r>
      <w:r>
        <w:t xml:space="preserve"> companies that already reflect any control premiums are used, </w:t>
      </w:r>
      <w:r w:rsidRPr="00915406">
        <w:rPr>
          <w:b/>
        </w:rPr>
        <w:t>so no additional adjustments for a controlling interest in necessary</w:t>
      </w:r>
      <w:r>
        <w:t>.</w:t>
      </w:r>
    </w:p>
    <w:p w:rsidR="0017338F" w:rsidRDefault="0017338F" w:rsidP="0017338F"/>
    <w:p w:rsidR="0017338F" w:rsidRDefault="0017338F" w:rsidP="0017338F">
      <w:r>
        <w:t>Prior Transaction Method</w:t>
      </w:r>
    </w:p>
    <w:p w:rsidR="0017338F" w:rsidRDefault="0017338F" w:rsidP="0017338F">
      <w:r>
        <w:t xml:space="preserve">PTM uses transactions data from the stock of the actual subject company and is most appropriate when </w:t>
      </w:r>
      <w:r w:rsidRPr="00051936">
        <w:rPr>
          <w:b/>
        </w:rPr>
        <w:t>valuing minority interests</w:t>
      </w:r>
      <w:r>
        <w:t>.</w:t>
      </w:r>
    </w:p>
    <w:p w:rsidR="0017338F" w:rsidRDefault="0017338F" w:rsidP="0017338F"/>
    <w:p w:rsidR="0017338F" w:rsidRDefault="0017338F" w:rsidP="0017338F">
      <w:pPr>
        <w:pStyle w:val="Level3"/>
        <w:spacing w:after="156"/>
      </w:pPr>
      <w:r>
        <w:t>Explain and evaluate the effects on private company valuations of discounts and premiums based on control and marketability.</w:t>
      </w:r>
    </w:p>
    <w:p w:rsidR="0017338F" w:rsidRPr="00593E45" w:rsidRDefault="0017338F" w:rsidP="0017338F">
      <w:r>
        <w:t>The discount for lack of control = 1 – 1 / (1 + control premium)</w:t>
      </w:r>
    </w:p>
    <w:p w:rsidR="00266229" w:rsidRDefault="00266229" w:rsidP="00C84712">
      <w:pPr>
        <w:pStyle w:val="Level2"/>
        <w:numPr>
          <w:ilvl w:val="0"/>
          <w:numId w:val="0"/>
        </w:numPr>
      </w:pPr>
      <w:r>
        <w:br w:type="page"/>
      </w:r>
    </w:p>
    <w:p w:rsidR="00710222" w:rsidRDefault="00266229" w:rsidP="004A23CD">
      <w:pPr>
        <w:pStyle w:val="Level1"/>
      </w:pPr>
      <w:r w:rsidRPr="00266229">
        <w:lastRenderedPageBreak/>
        <w:t>Alternative Investments</w:t>
      </w:r>
    </w:p>
    <w:p w:rsidR="00266229" w:rsidRDefault="00266229" w:rsidP="002A6A88">
      <w:pPr>
        <w:pStyle w:val="Level2"/>
        <w:numPr>
          <w:ilvl w:val="1"/>
          <w:numId w:val="64"/>
        </w:numPr>
      </w:pPr>
      <w:r>
        <w:rPr>
          <w:rFonts w:hint="eastAsia"/>
        </w:rPr>
        <w:t>Private Real Estate Investments</w:t>
      </w:r>
    </w:p>
    <w:p w:rsidR="000C6885" w:rsidRDefault="000C6885" w:rsidP="002A6A88">
      <w:pPr>
        <w:pStyle w:val="Level3"/>
        <w:numPr>
          <w:ilvl w:val="2"/>
          <w:numId w:val="69"/>
        </w:numPr>
        <w:spacing w:after="156"/>
      </w:pPr>
      <w:r>
        <w:rPr>
          <w:rFonts w:hint="eastAsia"/>
        </w:rPr>
        <w:t>Describe commercial property types, including their distinctive investment characteristics.</w:t>
      </w:r>
    </w:p>
    <w:p w:rsidR="000C6885" w:rsidRPr="000C6885" w:rsidRDefault="000C6885" w:rsidP="000C6885">
      <w:pPr>
        <w:rPr>
          <w:b/>
        </w:rPr>
      </w:pPr>
      <w:r w:rsidRPr="000C6885">
        <w:rPr>
          <w:rFonts w:hint="eastAsia"/>
          <w:b/>
        </w:rPr>
        <w:t>Retail</w:t>
      </w:r>
    </w:p>
    <w:p w:rsidR="000C6885" w:rsidRDefault="000C6885" w:rsidP="000C6885">
      <w:r w:rsidRPr="000C6885">
        <w:rPr>
          <w:b/>
        </w:rPr>
        <w:t>Percentage lease / Percentage rent</w:t>
      </w:r>
      <w:r>
        <w:t xml:space="preserve">: </w:t>
      </w:r>
      <w:r>
        <w:rPr>
          <w:rFonts w:hint="eastAsia"/>
        </w:rPr>
        <w:t>Retail tenants are often required to pay additional rent once sales reach a certain level.</w:t>
      </w:r>
      <w:r>
        <w:t xml:space="preserve"> The lease will also specify a minimum amount of rent to be paid without regard to sales.</w:t>
      </w:r>
    </w:p>
    <w:p w:rsidR="000C6885" w:rsidRPr="000C6885" w:rsidRDefault="000C6885" w:rsidP="000C6885"/>
    <w:p w:rsidR="00266229" w:rsidRDefault="00266229" w:rsidP="002A6A88">
      <w:pPr>
        <w:pStyle w:val="Level3"/>
        <w:numPr>
          <w:ilvl w:val="2"/>
          <w:numId w:val="65"/>
        </w:numPr>
        <w:spacing w:after="156"/>
      </w:pPr>
      <w:r>
        <w:rPr>
          <w:rFonts w:hint="eastAsia"/>
        </w:rPr>
        <w:t>Estimate and interpret the inputs to the direct capitalization and DCF valuation methods.</w:t>
      </w:r>
    </w:p>
    <w:p w:rsidR="00266229" w:rsidRDefault="00266229" w:rsidP="001A3CC1">
      <w:pPr>
        <w:pStyle w:val="Level3"/>
        <w:spacing w:after="156"/>
      </w:pPr>
      <w:r>
        <w:rPr>
          <w:rFonts w:hint="eastAsia"/>
        </w:rPr>
        <w:t>Calculate the value of a property using the direct capitalization and DCF valuation methods.</w:t>
      </w:r>
    </w:p>
    <w:p w:rsidR="00266229" w:rsidRPr="009A4155" w:rsidRDefault="00266229" w:rsidP="00266229">
      <w:pPr>
        <w:rPr>
          <w:b/>
        </w:rPr>
      </w:pPr>
      <w:r w:rsidRPr="009A4155">
        <w:rPr>
          <w:b/>
        </w:rPr>
        <w:t>Net Operating Income:</w:t>
      </w:r>
    </w:p>
    <w:p w:rsidR="00266229" w:rsidRDefault="00266229" w:rsidP="00266229">
      <w:r>
        <w:t>Rental income if fully occupied</w:t>
      </w:r>
    </w:p>
    <w:p w:rsidR="00266229" w:rsidRDefault="00266229" w:rsidP="00266229">
      <w:r>
        <w:t>+ Other income</w:t>
      </w:r>
    </w:p>
    <w:p w:rsidR="00266229" w:rsidRDefault="00266229" w:rsidP="00266229">
      <w:r>
        <w:t>= Potential gross income</w:t>
      </w:r>
    </w:p>
    <w:p w:rsidR="00266229" w:rsidRDefault="00266229" w:rsidP="00266229">
      <w:r>
        <w:t>- Vacancy and collection loss</w:t>
      </w:r>
    </w:p>
    <w:p w:rsidR="00266229" w:rsidRDefault="00266229" w:rsidP="00266229">
      <w:r>
        <w:t>= Effective gross income</w:t>
      </w:r>
    </w:p>
    <w:p w:rsidR="00266229" w:rsidRDefault="00266229" w:rsidP="00266229">
      <w:r>
        <w:t>- Operating expense</w:t>
      </w:r>
    </w:p>
    <w:p w:rsidR="00266229" w:rsidRDefault="00266229" w:rsidP="00266229">
      <w:r>
        <w:t>= Net operating income</w:t>
      </w:r>
    </w:p>
    <w:p w:rsidR="00266229" w:rsidRDefault="00266229" w:rsidP="00266229"/>
    <w:p w:rsidR="00266229" w:rsidRDefault="009854F5" w:rsidP="00266229">
      <w:r w:rsidRPr="009A4155">
        <w:rPr>
          <w:b/>
        </w:rPr>
        <w:t>Capitalization rate</w:t>
      </w:r>
      <w:r>
        <w:t xml:space="preserve"> = discount rate – growth rate</w:t>
      </w:r>
    </w:p>
    <w:p w:rsidR="009854F5" w:rsidRDefault="009854F5" w:rsidP="00266229"/>
    <w:p w:rsidR="009854F5" w:rsidRPr="009A4155" w:rsidRDefault="009854F5" w:rsidP="00266229">
      <w:pPr>
        <w:rPr>
          <w:b/>
        </w:rPr>
      </w:pPr>
      <w:r w:rsidRPr="009A4155">
        <w:rPr>
          <w:b/>
        </w:rPr>
        <w:t>Direct capitalization method:</w:t>
      </w:r>
    </w:p>
    <w:p w:rsidR="009854F5" w:rsidRDefault="009854F5" w:rsidP="00266229">
      <w:r>
        <w:t>V</w:t>
      </w:r>
      <w:r w:rsidRPr="009854F5">
        <w:rPr>
          <w:vertAlign w:val="subscript"/>
        </w:rPr>
        <w:t>0</w:t>
      </w:r>
      <w:r>
        <w:t xml:space="preserve"> = NOI</w:t>
      </w:r>
      <w:r w:rsidRPr="009854F5">
        <w:rPr>
          <w:vertAlign w:val="subscript"/>
        </w:rPr>
        <w:t>1</w:t>
      </w:r>
      <w:r>
        <w:t xml:space="preserve"> / cap rate</w:t>
      </w:r>
    </w:p>
    <w:p w:rsidR="000616D7" w:rsidRDefault="000616D7" w:rsidP="00266229"/>
    <w:p w:rsidR="000616D7" w:rsidRPr="009A4155" w:rsidRDefault="000616D7" w:rsidP="00266229">
      <w:pPr>
        <w:rPr>
          <w:b/>
        </w:rPr>
      </w:pPr>
      <w:r w:rsidRPr="009A4155">
        <w:rPr>
          <w:b/>
        </w:rPr>
        <w:t>Discounted Cash Flow Method</w:t>
      </w:r>
    </w:p>
    <w:p w:rsidR="000616D7" w:rsidRDefault="000616D7" w:rsidP="00266229">
      <w:r>
        <w:t>V</w:t>
      </w:r>
      <w:r w:rsidRPr="000616D7">
        <w:rPr>
          <w:vertAlign w:val="subscript"/>
        </w:rPr>
        <w:t>0</w:t>
      </w:r>
      <w:r>
        <w:t xml:space="preserve"> = NOI</w:t>
      </w:r>
      <w:r w:rsidRPr="000616D7">
        <w:rPr>
          <w:vertAlign w:val="subscript"/>
        </w:rPr>
        <w:t>1</w:t>
      </w:r>
      <w:r>
        <w:t xml:space="preserve"> / (r – g)</w:t>
      </w:r>
    </w:p>
    <w:p w:rsidR="000616D7" w:rsidRDefault="000616D7" w:rsidP="00266229"/>
    <w:p w:rsidR="000616D7" w:rsidRDefault="000616D7" w:rsidP="002A6A88">
      <w:pPr>
        <w:pStyle w:val="Level3"/>
        <w:numPr>
          <w:ilvl w:val="2"/>
          <w:numId w:val="66"/>
        </w:numPr>
        <w:spacing w:after="156"/>
      </w:pPr>
      <w:r>
        <w:rPr>
          <w:rFonts w:hint="eastAsia"/>
        </w:rPr>
        <w:t>Calculate the value of a property using the cost and sales comparison approaches.</w:t>
      </w:r>
    </w:p>
    <w:p w:rsidR="000616D7" w:rsidRPr="009A4155" w:rsidRDefault="000616D7" w:rsidP="000616D7">
      <w:pPr>
        <w:rPr>
          <w:b/>
        </w:rPr>
      </w:pPr>
      <w:r w:rsidRPr="009A4155">
        <w:rPr>
          <w:b/>
        </w:rPr>
        <w:t>Cost Approach:</w:t>
      </w:r>
    </w:p>
    <w:p w:rsidR="000616D7" w:rsidRDefault="000616D7" w:rsidP="000616D7">
      <w:r>
        <w:t>V</w:t>
      </w:r>
      <w:r w:rsidRPr="00EC54A4">
        <w:rPr>
          <w:vertAlign w:val="subscript"/>
        </w:rPr>
        <w:t>0</w:t>
      </w:r>
      <w:r>
        <w:t xml:space="preserve"> = Market value of land + building’s replacement cost – depreciation including physical deterioration, functional obsolescence, locational obsolescence and economic obsolescence.</w:t>
      </w:r>
    </w:p>
    <w:p w:rsidR="00EC54A4" w:rsidRDefault="00EC54A4" w:rsidP="00A04034"/>
    <w:p w:rsidR="00A04034" w:rsidRDefault="00A04034" w:rsidP="00A04034">
      <w:r>
        <w:rPr>
          <w:rFonts w:hint="eastAsia"/>
        </w:rPr>
        <w:t xml:space="preserve">Physical deterioration can be curable or incurable. </w:t>
      </w:r>
      <w:r>
        <w:t>An item is curable if the benefit of fixing the problem is at least as much as the cost to cure. The cost of fixing curable items is subtracted from the replacement cost.</w:t>
      </w:r>
    </w:p>
    <w:p w:rsidR="006647B8" w:rsidRDefault="006647B8" w:rsidP="000616D7">
      <w:r>
        <w:t xml:space="preserve">An item is incurable if the problem is not </w:t>
      </w:r>
      <w:r w:rsidR="00A04034">
        <w:t>economically feasible to remedy. Since it would not be fixed, depreciation can be estimated based on the effective age of the property relative to its total economic life.</w:t>
      </w:r>
    </w:p>
    <w:p w:rsidR="00F31C18" w:rsidRDefault="00F31C18" w:rsidP="000616D7"/>
    <w:p w:rsidR="00F31C18" w:rsidRPr="009A4155" w:rsidRDefault="00F31C18" w:rsidP="000616D7">
      <w:pPr>
        <w:rPr>
          <w:b/>
        </w:rPr>
      </w:pPr>
      <w:r w:rsidRPr="009A4155">
        <w:rPr>
          <w:b/>
        </w:rPr>
        <w:t>Sales Comparison Approach</w:t>
      </w:r>
    </w:p>
    <w:p w:rsidR="00F31C18" w:rsidRDefault="00F31C18" w:rsidP="000616D7">
      <w:r>
        <w:t>The premise of this approach is that a buyer would pay no more for a property than others are paying for similar properties in the current market.</w:t>
      </w:r>
    </w:p>
    <w:p w:rsidR="009A4155" w:rsidRDefault="009A4155" w:rsidP="002A6A88">
      <w:pPr>
        <w:pStyle w:val="Level3"/>
        <w:numPr>
          <w:ilvl w:val="2"/>
          <w:numId w:val="67"/>
        </w:numPr>
        <w:spacing w:after="156"/>
      </w:pPr>
      <w:r>
        <w:rPr>
          <w:rFonts w:hint="eastAsia"/>
        </w:rPr>
        <w:lastRenderedPageBreak/>
        <w:t>Discuss private equity real estate investment indices, including their construction and potential biases.</w:t>
      </w:r>
    </w:p>
    <w:p w:rsidR="009A4155" w:rsidRPr="004A4BFD" w:rsidRDefault="004F574D" w:rsidP="009A4155">
      <w:pPr>
        <w:rPr>
          <w:b/>
        </w:rPr>
      </w:pPr>
      <w:r w:rsidRPr="004A4BFD">
        <w:rPr>
          <w:rFonts w:hint="eastAsia"/>
          <w:b/>
        </w:rPr>
        <w:t>Appraisal-Based Indices</w:t>
      </w:r>
    </w:p>
    <w:p w:rsidR="004F574D" w:rsidRDefault="004F574D" w:rsidP="009A4155">
      <w:r>
        <w:t>Return = (NOI – capital expenditures + end market value – beginning market value) / beginning market value</w:t>
      </w:r>
    </w:p>
    <w:p w:rsidR="004B388B" w:rsidRDefault="004B388B" w:rsidP="009A4155">
      <w:r>
        <w:t>Appraisal-based indices tend to lag actual transactions because actual transactions occur before appraisals are performed.</w:t>
      </w:r>
      <w:r w:rsidR="007022A7">
        <w:t xml:space="preserve"> Also they tend to smooth the index or reduce its volatility.</w:t>
      </w:r>
      <w:r w:rsidR="00EC438F">
        <w:t xml:space="preserve"> Also it’ll reduce its correlation with other asset classes.</w:t>
      </w:r>
    </w:p>
    <w:p w:rsidR="004A4BFD" w:rsidRDefault="004A4BFD" w:rsidP="009A4155"/>
    <w:p w:rsidR="004A4BFD" w:rsidRPr="00C10348" w:rsidRDefault="004A4BFD" w:rsidP="009A4155">
      <w:pPr>
        <w:rPr>
          <w:b/>
        </w:rPr>
      </w:pPr>
      <w:r w:rsidRPr="00C10348">
        <w:rPr>
          <w:b/>
        </w:rPr>
        <w:t>Transaction-Based Indices</w:t>
      </w:r>
    </w:p>
    <w:p w:rsidR="004A4BFD" w:rsidRDefault="004A4BFD" w:rsidP="009A4155">
      <w:r>
        <w:t>A repeat-sales index relies on repeat sales of the same property.</w:t>
      </w:r>
    </w:p>
    <w:p w:rsidR="004A4BFD" w:rsidRDefault="004A4BFD" w:rsidP="009A4155">
      <w:r>
        <w:t>A hedonic index requires only one sale. A regression is developed to control for differences in property characteristics.</w:t>
      </w:r>
    </w:p>
    <w:p w:rsidR="00C10348" w:rsidRDefault="00C10348" w:rsidP="009A4155"/>
    <w:p w:rsidR="00C10348" w:rsidRDefault="001E6961" w:rsidP="002A6A88">
      <w:pPr>
        <w:pStyle w:val="Level3"/>
        <w:numPr>
          <w:ilvl w:val="2"/>
          <w:numId w:val="68"/>
        </w:numPr>
        <w:spacing w:after="156"/>
      </w:pPr>
      <w:r>
        <w:rPr>
          <w:rFonts w:hint="eastAsia"/>
        </w:rPr>
        <w:t>Calculate and interpret financial ratios used to analyze and evaluate private real estate investments.</w:t>
      </w:r>
    </w:p>
    <w:p w:rsidR="001E6961" w:rsidRDefault="001E6961" w:rsidP="001E6961">
      <w:r>
        <w:t>Debt service coverage ratio = NOI</w:t>
      </w:r>
      <w:r w:rsidRPr="001E6961">
        <w:rPr>
          <w:vertAlign w:val="subscript"/>
        </w:rPr>
        <w:t>1</w:t>
      </w:r>
      <w:r>
        <w:t xml:space="preserve"> / debt service</w:t>
      </w:r>
    </w:p>
    <w:p w:rsidR="001E6961" w:rsidRDefault="001E6961" w:rsidP="001E6961">
      <w:r>
        <w:t>Equity dividend rate = CF</w:t>
      </w:r>
      <w:r w:rsidRPr="00D22731">
        <w:rPr>
          <w:vertAlign w:val="subscript"/>
        </w:rPr>
        <w:t>1</w:t>
      </w:r>
      <w:r>
        <w:t xml:space="preserve"> (NOI</w:t>
      </w:r>
      <w:r w:rsidRPr="00D22731">
        <w:rPr>
          <w:vertAlign w:val="subscript"/>
        </w:rPr>
        <w:t>1</w:t>
      </w:r>
      <w:r>
        <w:t xml:space="preserve"> – debt service payment) / equity</w:t>
      </w:r>
    </w:p>
    <w:p w:rsidR="00BE2297" w:rsidRDefault="00BE2297" w:rsidP="001E6961"/>
    <w:p w:rsidR="00BE2297" w:rsidRDefault="00BE2297" w:rsidP="001E6961">
      <w:r>
        <w:t>The maximum amount of debt that an investor can obtain on commercial real estate is usually the minimum (Loan-to-value * appraised value, maximum debt service / mortgage rate).</w:t>
      </w:r>
    </w:p>
    <w:p w:rsidR="004413B8" w:rsidRDefault="004413B8" w:rsidP="001E6961"/>
    <w:p w:rsidR="004413B8" w:rsidRDefault="004413B8" w:rsidP="001A3CC1">
      <w:pPr>
        <w:pStyle w:val="Level2"/>
      </w:pPr>
      <w:r>
        <w:rPr>
          <w:rFonts w:hint="eastAsia"/>
        </w:rPr>
        <w:t>Publicly Traded Real Estate Securities</w:t>
      </w:r>
    </w:p>
    <w:p w:rsidR="004413B8" w:rsidRDefault="004413B8" w:rsidP="002A6A88">
      <w:pPr>
        <w:pStyle w:val="Level3"/>
        <w:numPr>
          <w:ilvl w:val="2"/>
          <w:numId w:val="70"/>
        </w:numPr>
        <w:spacing w:after="156"/>
      </w:pPr>
      <w:r>
        <w:rPr>
          <w:rFonts w:hint="eastAsia"/>
        </w:rPr>
        <w:t>Explain advantages and disadvantages of investing in real estate through publicly traded securities.</w:t>
      </w:r>
    </w:p>
    <w:p w:rsidR="004413B8" w:rsidRDefault="004413B8" w:rsidP="004413B8">
      <w:r>
        <w:t>REIT-Specific Advantages</w:t>
      </w:r>
    </w:p>
    <w:p w:rsidR="004413B8" w:rsidRDefault="004413B8" w:rsidP="002A6A88">
      <w:pPr>
        <w:pStyle w:val="ListParagraph"/>
        <w:numPr>
          <w:ilvl w:val="0"/>
          <w:numId w:val="71"/>
        </w:numPr>
        <w:ind w:firstLineChars="0"/>
      </w:pPr>
      <w:r>
        <w:rPr>
          <w:rFonts w:hint="eastAsia"/>
        </w:rPr>
        <w:t>Exemption from taxation.</w:t>
      </w:r>
    </w:p>
    <w:p w:rsidR="004413B8" w:rsidRDefault="004413B8" w:rsidP="002A6A88">
      <w:pPr>
        <w:pStyle w:val="ListParagraph"/>
        <w:numPr>
          <w:ilvl w:val="0"/>
          <w:numId w:val="71"/>
        </w:numPr>
        <w:ind w:firstLineChars="0"/>
      </w:pPr>
      <w:r>
        <w:t>Predictable earnings &amp; high yield: To maintain their tax-advantage status, REITs are obligated to pay out most of their taxable income as dividends.</w:t>
      </w:r>
    </w:p>
    <w:p w:rsidR="00C34ABC" w:rsidRDefault="00C34ABC" w:rsidP="00C34ABC"/>
    <w:p w:rsidR="00C34ABC" w:rsidRDefault="00C34ABC" w:rsidP="00C34ABC">
      <w:r>
        <w:rPr>
          <w:rFonts w:hint="eastAsia"/>
        </w:rPr>
        <w:t>REIT-Specific Disadvantages: Lack of flexibility.</w:t>
      </w:r>
    </w:p>
    <w:p w:rsidR="00EB2E3C" w:rsidRDefault="00EB2E3C" w:rsidP="00C34ABC"/>
    <w:p w:rsidR="00EB2E3C" w:rsidRDefault="00EB2E3C" w:rsidP="002A6A88">
      <w:pPr>
        <w:pStyle w:val="Level3"/>
        <w:numPr>
          <w:ilvl w:val="2"/>
          <w:numId w:val="73"/>
        </w:numPr>
        <w:spacing w:after="156"/>
      </w:pPr>
      <w:r>
        <w:rPr>
          <w:rFonts w:hint="eastAsia"/>
        </w:rPr>
        <w:t>Justify the use of NAVPS in REIT valuation and estimate NAVPS on forecasted cash net operating income.</w:t>
      </w:r>
    </w:p>
    <w:p w:rsidR="00442B75" w:rsidRDefault="00442B75" w:rsidP="00442B75">
      <w:r>
        <w:rPr>
          <w:rFonts w:hint="eastAsia"/>
        </w:rPr>
        <w:t xml:space="preserve">NAVPS is the difference between a real estate </w:t>
      </w:r>
      <w:r>
        <w:t xml:space="preserve">company’s assets and its liabilities, all taken at </w:t>
      </w:r>
      <w:r w:rsidRPr="009D03C4">
        <w:rPr>
          <w:b/>
        </w:rPr>
        <w:t>current market values</w:t>
      </w:r>
      <w:r>
        <w:t xml:space="preserve"> instead of accounting values, divided by the number of shares outstanding.</w:t>
      </w:r>
    </w:p>
    <w:p w:rsidR="00442B75" w:rsidRPr="00442B75" w:rsidRDefault="00442B75" w:rsidP="00442B75"/>
    <w:p w:rsidR="00701021" w:rsidRDefault="00701021" w:rsidP="00701021">
      <w:r>
        <w:rPr>
          <w:rFonts w:hint="eastAsia"/>
        </w:rPr>
        <w:t>Last 12-months NOI</w:t>
      </w:r>
    </w:p>
    <w:p w:rsidR="00701021" w:rsidRDefault="00701021" w:rsidP="00701021">
      <w:r>
        <w:t>-</w:t>
      </w:r>
      <w:r w:rsidR="00F56786">
        <w:t xml:space="preserve"> </w:t>
      </w:r>
      <w:r>
        <w:t>Non-cash rents</w:t>
      </w:r>
    </w:p>
    <w:p w:rsidR="00F56786" w:rsidRDefault="00F56786" w:rsidP="00701021">
      <w:r>
        <w:t>+ Full-year adjustment for acquisitions</w:t>
      </w:r>
    </w:p>
    <w:p w:rsidR="00F56786" w:rsidRDefault="00F56786" w:rsidP="00701021">
      <w:r>
        <w:t>+ Next year growth in NOI (NOI</w:t>
      </w:r>
      <w:r w:rsidRPr="00F56786">
        <w:rPr>
          <w:vertAlign w:val="subscript"/>
        </w:rPr>
        <w:t>0</w:t>
      </w:r>
      <w:r>
        <w:t xml:space="preserve"> * growth rate)</w:t>
      </w:r>
    </w:p>
    <w:p w:rsidR="00F56786" w:rsidRDefault="00F56786" w:rsidP="00701021">
      <w:r>
        <w:t>= Estimated next year cash NOI</w:t>
      </w:r>
    </w:p>
    <w:p w:rsidR="00F56786" w:rsidRDefault="00F56786" w:rsidP="00701021">
      <w:r>
        <w:lastRenderedPageBreak/>
        <w:t>/ cap rate</w:t>
      </w:r>
    </w:p>
    <w:p w:rsidR="00F56786" w:rsidRDefault="00F56786" w:rsidP="00701021">
      <w:r>
        <w:t>= Estimated value of operating real estate</w:t>
      </w:r>
    </w:p>
    <w:p w:rsidR="00F56786" w:rsidRDefault="00F56786" w:rsidP="00701021">
      <w:r>
        <w:t>+ Cash and equivalents/Land held for development/Acct. Receivable/other assets (excluding intangibles)</w:t>
      </w:r>
    </w:p>
    <w:p w:rsidR="00F56786" w:rsidRDefault="00F56786" w:rsidP="00F56786">
      <w:r>
        <w:rPr>
          <w:rFonts w:hint="eastAsia"/>
        </w:rPr>
        <w:t xml:space="preserve">- </w:t>
      </w:r>
      <w:r>
        <w:t>Debt and other liabilities</w:t>
      </w:r>
    </w:p>
    <w:p w:rsidR="00F56786" w:rsidRPr="00701021" w:rsidRDefault="00F56786" w:rsidP="00F56786">
      <w:r>
        <w:rPr>
          <w:rFonts w:hint="eastAsia"/>
        </w:rPr>
        <w:t>= N</w:t>
      </w:r>
      <w:r>
        <w:t>et asset value</w:t>
      </w:r>
    </w:p>
    <w:p w:rsidR="00234572" w:rsidRDefault="00234572" w:rsidP="00C34ABC"/>
    <w:p w:rsidR="00234572" w:rsidRDefault="00234572" w:rsidP="002A6A88">
      <w:pPr>
        <w:pStyle w:val="Level3"/>
        <w:numPr>
          <w:ilvl w:val="2"/>
          <w:numId w:val="72"/>
        </w:numPr>
        <w:spacing w:after="156"/>
      </w:pPr>
      <w:r>
        <w:t>Describe the use of FFO and adjusted FFO in REIT valuation.</w:t>
      </w:r>
    </w:p>
    <w:p w:rsidR="000A3E90" w:rsidRDefault="000A3E90" w:rsidP="000A3E90">
      <w:r>
        <w:rPr>
          <w:rFonts w:hint="eastAsia"/>
        </w:rPr>
        <w:t>Accounting net income</w:t>
      </w:r>
    </w:p>
    <w:p w:rsidR="000A3E90" w:rsidRDefault="000A3E90" w:rsidP="000A3E90">
      <w:r>
        <w:t>+ Depreciation expense</w:t>
      </w:r>
    </w:p>
    <w:p w:rsidR="000A3E90" w:rsidRDefault="000A3E90" w:rsidP="000A3E90">
      <w:r>
        <w:t>+ Deferred tax expenses</w:t>
      </w:r>
    </w:p>
    <w:p w:rsidR="000A3E90" w:rsidRDefault="000A3E90" w:rsidP="000A3E90">
      <w:r>
        <w:t>-/+ Gain/loss from sales of PP&amp;E and debt restructuring</w:t>
      </w:r>
    </w:p>
    <w:p w:rsidR="000A3E90" w:rsidRDefault="000A3E90" w:rsidP="000A3E90">
      <w:r>
        <w:t>= Funds from operations</w:t>
      </w:r>
    </w:p>
    <w:p w:rsidR="000A3E90" w:rsidRPr="000A3E90" w:rsidRDefault="000A3E90" w:rsidP="000A3E90"/>
    <w:p w:rsidR="00234572" w:rsidRDefault="00234572" w:rsidP="00C34ABC">
      <w:r>
        <w:rPr>
          <w:rFonts w:hint="eastAsia"/>
        </w:rPr>
        <w:t xml:space="preserve">AFFO = FFO </w:t>
      </w:r>
      <w:r>
        <w:t>–</w:t>
      </w:r>
      <w:r>
        <w:rPr>
          <w:rFonts w:hint="eastAsia"/>
        </w:rPr>
        <w:t xml:space="preserve"> Non-</w:t>
      </w:r>
      <w:r>
        <w:t>cash rent adjustment – recurring maintenance-type capital expenditures and leasing commissions.</w:t>
      </w:r>
    </w:p>
    <w:p w:rsidR="00722094" w:rsidRDefault="00234572" w:rsidP="00C34ABC">
      <w:r>
        <w:t xml:space="preserve">AFFO is a better measurement but relies on more estimates and is considered more </w:t>
      </w:r>
      <w:r w:rsidR="00722094">
        <w:t>subjective</w:t>
      </w:r>
      <w:r>
        <w:t>.</w:t>
      </w:r>
    </w:p>
    <w:p w:rsidR="004C2EC2" w:rsidRDefault="004C2EC2" w:rsidP="00C34ABC"/>
    <w:p w:rsidR="004C2EC2" w:rsidRDefault="004C2EC2" w:rsidP="001A3CC1">
      <w:pPr>
        <w:pStyle w:val="Level2"/>
      </w:pPr>
      <w:r>
        <w:rPr>
          <w:rFonts w:hint="eastAsia"/>
        </w:rPr>
        <w:t>P</w:t>
      </w:r>
      <w:r>
        <w:t>rivate Equity Valuation</w:t>
      </w:r>
    </w:p>
    <w:p w:rsidR="004C2EC2" w:rsidRDefault="007A43A8" w:rsidP="002A6A88">
      <w:pPr>
        <w:pStyle w:val="Level3"/>
        <w:numPr>
          <w:ilvl w:val="2"/>
          <w:numId w:val="74"/>
        </w:numPr>
        <w:spacing w:after="156"/>
      </w:pPr>
      <w:r>
        <w:rPr>
          <w:rFonts w:hint="eastAsia"/>
        </w:rPr>
        <w:t>Explain how private equity firms align their interests with those of the managers of portfolio companies.</w:t>
      </w:r>
    </w:p>
    <w:p w:rsidR="007A43A8" w:rsidRDefault="007A43A8" w:rsidP="007A43A8">
      <w:r>
        <w:t>Tag-alone: Minority shareholder has the right to sell with majority holder at the same price.</w:t>
      </w:r>
    </w:p>
    <w:p w:rsidR="007A43A8" w:rsidRDefault="007A43A8" w:rsidP="007A43A8">
      <w:r>
        <w:t>Drag-alone: Minority shareholder must sell with majority holder.</w:t>
      </w:r>
    </w:p>
    <w:p w:rsidR="007A43A8" w:rsidRDefault="007A43A8" w:rsidP="007A43A8">
      <w:r>
        <w:t>Earn-outs: Earn-outs tie the acquisition price paid by the PE firm to the portfolio company’s future performance over a specified period.</w:t>
      </w:r>
    </w:p>
    <w:p w:rsidR="00715754" w:rsidRDefault="00715754" w:rsidP="007A43A8"/>
    <w:p w:rsidR="00715754" w:rsidRDefault="00715754" w:rsidP="002A6A88">
      <w:pPr>
        <w:pStyle w:val="Level3"/>
        <w:numPr>
          <w:ilvl w:val="2"/>
          <w:numId w:val="75"/>
        </w:numPr>
        <w:spacing w:after="156"/>
      </w:pPr>
      <w:r>
        <w:rPr>
          <w:rFonts w:hint="eastAsia"/>
        </w:rPr>
        <w:t>Explain PE fund structures, terms, valuation, and due diligence in the context of an analysis of PE fund returns</w:t>
      </w:r>
    </w:p>
    <w:p w:rsidR="00715754" w:rsidRDefault="00715754" w:rsidP="00715754">
      <w:r w:rsidRPr="00715754">
        <w:rPr>
          <w:b/>
        </w:rPr>
        <w:t>Management fees</w:t>
      </w:r>
      <w:r>
        <w:t xml:space="preserve"> are paid to GP on an annual basis as a percent of committed capital or paid-in capital or NAV.</w:t>
      </w:r>
    </w:p>
    <w:p w:rsidR="00715754" w:rsidRDefault="00715754" w:rsidP="00715754">
      <w:r w:rsidRPr="00715754">
        <w:rPr>
          <w:b/>
        </w:rPr>
        <w:t xml:space="preserve">Carried interest </w:t>
      </w:r>
      <w:r>
        <w:t>is GP’s share of the fund profits and is usually 20% of profit after management fees.</w:t>
      </w:r>
    </w:p>
    <w:p w:rsidR="00715754" w:rsidRDefault="00715754" w:rsidP="00715754">
      <w:r w:rsidRPr="00BB3793">
        <w:rPr>
          <w:b/>
        </w:rPr>
        <w:t>Ratchet</w:t>
      </w:r>
      <w:r>
        <w:t xml:space="preserve"> specifies the allocation of equity between stockholders and management of the portfolio company and allows management to increase their allocation depending on the performance.</w:t>
      </w:r>
    </w:p>
    <w:p w:rsidR="00BB3793" w:rsidRDefault="00BB3793" w:rsidP="00715754">
      <w:r w:rsidRPr="00BB3793">
        <w:rPr>
          <w:b/>
        </w:rPr>
        <w:t>Vintage</w:t>
      </w:r>
      <w:r>
        <w:t xml:space="preserve"> is the year the fund was started and facilitates performance comparisons with other funds.</w:t>
      </w:r>
    </w:p>
    <w:p w:rsidR="00BB3793" w:rsidRDefault="00BB3793" w:rsidP="00715754"/>
    <w:p w:rsidR="00AD3A2D" w:rsidRDefault="00AD3A2D" w:rsidP="001A3CC1">
      <w:pPr>
        <w:pStyle w:val="Level3"/>
        <w:spacing w:after="156"/>
      </w:pPr>
      <w:r>
        <w:rPr>
          <w:rFonts w:hint="eastAsia"/>
        </w:rPr>
        <w:t>Explain risks and costs of investing in PE.</w:t>
      </w:r>
    </w:p>
    <w:p w:rsidR="00AD3A2D" w:rsidRDefault="00AD3A2D" w:rsidP="00AD3A2D">
      <w:r>
        <w:t>Placement fees: Placement agents who raise funds for PE firms may charge up-front fees or annual trailer fees as a percent of funds raised through LPs.</w:t>
      </w:r>
    </w:p>
    <w:p w:rsidR="00AD3A2D" w:rsidRDefault="00AD3A2D" w:rsidP="00AD3A2D"/>
    <w:p w:rsidR="00AD3A2D" w:rsidRDefault="00AD3A2D" w:rsidP="00AD3A2D"/>
    <w:p w:rsidR="001461A9" w:rsidRDefault="001461A9" w:rsidP="00AD3A2D"/>
    <w:p w:rsidR="00AD3A2D" w:rsidRDefault="000E068F" w:rsidP="001A3CC1">
      <w:pPr>
        <w:pStyle w:val="Level3"/>
        <w:spacing w:after="156"/>
      </w:pPr>
      <w:r>
        <w:rPr>
          <w:rFonts w:hint="eastAsia"/>
        </w:rPr>
        <w:lastRenderedPageBreak/>
        <w:t xml:space="preserve">Interpret and compare financial performance of PE funds </w:t>
      </w:r>
      <w:r>
        <w:t>from</w:t>
      </w:r>
      <w:r>
        <w:rPr>
          <w:rFonts w:hint="eastAsia"/>
        </w:rPr>
        <w:t xml:space="preserve"> the perspective of an investor.</w:t>
      </w:r>
    </w:p>
    <w:p w:rsidR="000E068F" w:rsidRDefault="000E068F" w:rsidP="000E068F">
      <w:r>
        <w:t>Internal Rate of Return</w:t>
      </w:r>
    </w:p>
    <w:p w:rsidR="000E068F" w:rsidRDefault="000E068F" w:rsidP="000E068F">
      <w:r>
        <w:t>The return metric recommended for private equity by the GIPS is the IRR. The IRR is a cash-weighted return measure.</w:t>
      </w:r>
    </w:p>
    <w:p w:rsidR="001824C7" w:rsidRDefault="001824C7" w:rsidP="000E068F"/>
    <w:p w:rsidR="001824C7" w:rsidRDefault="001824C7" w:rsidP="000E068F">
      <w:r>
        <w:t>Quantitative Measures</w:t>
      </w:r>
    </w:p>
    <w:p w:rsidR="001824C7" w:rsidRDefault="001824C7" w:rsidP="000E068F">
      <w:r>
        <w:t>Paid-in-capital, Distributed to paid-in capital, Residual value to paid-in capital, total value to paid-in capital.</w:t>
      </w:r>
    </w:p>
    <w:p w:rsidR="001824C7" w:rsidRDefault="001824C7" w:rsidP="000E068F"/>
    <w:p w:rsidR="001824C7" w:rsidRDefault="001824C7" w:rsidP="001A3CC1">
      <w:pPr>
        <w:pStyle w:val="Level3"/>
        <w:spacing w:after="156"/>
      </w:pPr>
      <w:r>
        <w:t>Calculate management fees, carried interest, net asset value, DPI, RVPI and TVPI of a PE fund.</w:t>
      </w:r>
    </w:p>
    <w:p w:rsidR="001824C7" w:rsidRDefault="001824C7" w:rsidP="000E068F">
      <w:r>
        <w:rPr>
          <w:rFonts w:hint="eastAsia"/>
        </w:rPr>
        <w:t>NAV after distributions at the end of previous year</w:t>
      </w:r>
    </w:p>
    <w:p w:rsidR="001824C7" w:rsidRDefault="001824C7" w:rsidP="000E068F">
      <w:r>
        <w:t>+ Capital Called down</w:t>
      </w:r>
    </w:p>
    <w:p w:rsidR="001824C7" w:rsidRDefault="001824C7" w:rsidP="000E068F">
      <w:r>
        <w:t>- Management fees</w:t>
      </w:r>
    </w:p>
    <w:p w:rsidR="001824C7" w:rsidRDefault="001824C7" w:rsidP="000E068F">
      <w:r>
        <w:t>+/- operating results (gain/loss)</w:t>
      </w:r>
    </w:p>
    <w:p w:rsidR="001824C7" w:rsidRDefault="001824C7" w:rsidP="000E068F">
      <w:r>
        <w:t>= NAV before distributions this year</w:t>
      </w:r>
    </w:p>
    <w:p w:rsidR="001824C7" w:rsidRDefault="001824C7" w:rsidP="000E068F">
      <w:r>
        <w:t>- Carried interest</w:t>
      </w:r>
    </w:p>
    <w:p w:rsidR="001824C7" w:rsidRDefault="001824C7" w:rsidP="000E068F">
      <w:r>
        <w:t>- Distribution</w:t>
      </w:r>
    </w:p>
    <w:p w:rsidR="001824C7" w:rsidRDefault="001824C7" w:rsidP="000E068F">
      <w:r>
        <w:t>= NAV after distributions this year</w:t>
      </w:r>
    </w:p>
    <w:p w:rsidR="001824C7" w:rsidRDefault="001824C7" w:rsidP="000E068F"/>
    <w:p w:rsidR="001824C7" w:rsidRDefault="001824C7" w:rsidP="001A3CC1">
      <w:pPr>
        <w:pStyle w:val="Level3"/>
        <w:spacing w:after="156"/>
      </w:pPr>
      <w:r>
        <w:t>Calculate pre-money valuation, post-money valuation, ownership fraction, and price per share applying the venture capital method with single and multiple financing rounds and in terms of IRR.</w:t>
      </w:r>
    </w:p>
    <w:p w:rsidR="001824C7" w:rsidRDefault="001824C7" w:rsidP="000E068F">
      <w:r>
        <w:t xml:space="preserve">Post-money value = </w:t>
      </w:r>
      <w:r w:rsidR="00491669">
        <w:t>pre-money value + VC investment = Present value of exit value.</w:t>
      </w:r>
    </w:p>
    <w:p w:rsidR="00DC698F" w:rsidRDefault="00DC698F" w:rsidP="000E068F"/>
    <w:p w:rsidR="00DC698F" w:rsidRDefault="00DC698F" w:rsidP="001A3CC1">
      <w:pPr>
        <w:pStyle w:val="Level2"/>
      </w:pPr>
      <w:r>
        <w:rPr>
          <w:rFonts w:hint="eastAsia"/>
        </w:rPr>
        <w:t>A</w:t>
      </w:r>
      <w:r>
        <w:t xml:space="preserve"> Primer on Commodity Investing</w:t>
      </w:r>
    </w:p>
    <w:p w:rsidR="00DC698F" w:rsidRDefault="00DC698F" w:rsidP="002A6A88">
      <w:pPr>
        <w:pStyle w:val="Level3"/>
        <w:numPr>
          <w:ilvl w:val="2"/>
          <w:numId w:val="76"/>
        </w:numPr>
        <w:spacing w:after="156"/>
      </w:pPr>
      <w:r>
        <w:rPr>
          <w:rFonts w:hint="eastAsia"/>
        </w:rPr>
        <w:t>Explain the convenience yield and how it relates to the stock of a commodity.</w:t>
      </w:r>
    </w:p>
    <w:p w:rsidR="00DC698F" w:rsidRDefault="00DC698F" w:rsidP="00DC698F">
      <w:r>
        <w:t>Convenience yield reflects the markets’ expectation about future availability of a nonrenewable commodity. Commodities that are expected to be in short supply in the future will have higher convenience yield.</w:t>
      </w:r>
    </w:p>
    <w:p w:rsidR="00CE599D" w:rsidRDefault="00CE599D" w:rsidP="00DC698F">
      <w:r>
        <w:t>There’s an inverse relationship between inventory level and convenience yield.</w:t>
      </w:r>
    </w:p>
    <w:p w:rsidR="00CE599D" w:rsidRDefault="00CE599D" w:rsidP="00DC698F"/>
    <w:p w:rsidR="00CE599D" w:rsidRDefault="00CE599D" w:rsidP="002A6A88">
      <w:pPr>
        <w:pStyle w:val="Level3"/>
        <w:spacing w:after="156"/>
      </w:pPr>
      <w:r>
        <w:rPr>
          <w:rFonts w:hint="eastAsia"/>
        </w:rPr>
        <w:t>Describe the components of return to a commodity futures and a portfolio of commodity futures.</w:t>
      </w:r>
    </w:p>
    <w:p w:rsidR="00CE599D" w:rsidRDefault="00CE599D" w:rsidP="007C3137">
      <w:pPr>
        <w:pStyle w:val="ListParagraph"/>
        <w:numPr>
          <w:ilvl w:val="0"/>
          <w:numId w:val="77"/>
        </w:numPr>
        <w:ind w:firstLineChars="0"/>
      </w:pPr>
      <w:r>
        <w:rPr>
          <w:rFonts w:hint="eastAsia"/>
        </w:rPr>
        <w:t>Spot return</w:t>
      </w:r>
    </w:p>
    <w:p w:rsidR="00CE599D" w:rsidRDefault="00CE599D" w:rsidP="007C3137">
      <w:pPr>
        <w:pStyle w:val="ListParagraph"/>
        <w:numPr>
          <w:ilvl w:val="0"/>
          <w:numId w:val="77"/>
        </w:numPr>
        <w:ind w:firstLineChars="0"/>
      </w:pPr>
      <w:r>
        <w:t>Roll return is the income generated as we close out maturing futures contracts and replace them with newer futures contracts.</w:t>
      </w:r>
    </w:p>
    <w:p w:rsidR="00BB79D2" w:rsidRDefault="00BB79D2" w:rsidP="00BB79D2">
      <w:pPr>
        <w:pStyle w:val="ListParagraph"/>
        <w:ind w:left="360" w:firstLineChars="0" w:firstLine="0"/>
      </w:pPr>
      <w:r>
        <w:t>When the term structure is in backwardation, roll return will be positive.</w:t>
      </w:r>
    </w:p>
    <w:p w:rsidR="00CE599D" w:rsidRDefault="00CE599D" w:rsidP="007C3137">
      <w:pPr>
        <w:pStyle w:val="ListParagraph"/>
        <w:numPr>
          <w:ilvl w:val="0"/>
          <w:numId w:val="77"/>
        </w:numPr>
        <w:ind w:firstLineChars="0"/>
      </w:pPr>
      <w:r>
        <w:t>Collateral return</w:t>
      </w:r>
    </w:p>
    <w:p w:rsidR="00CD5943" w:rsidRDefault="00CE599D" w:rsidP="007C3137">
      <w:pPr>
        <w:pStyle w:val="ListParagraph"/>
        <w:numPr>
          <w:ilvl w:val="0"/>
          <w:numId w:val="77"/>
        </w:numPr>
        <w:ind w:firstLineChars="0"/>
      </w:pPr>
      <w:r>
        <w:t>Rebalancing return</w:t>
      </w:r>
    </w:p>
    <w:p w:rsidR="002F23A1" w:rsidRPr="002F23A1" w:rsidRDefault="00CD5943" w:rsidP="002F23A1">
      <w:r>
        <w:br w:type="page"/>
      </w:r>
    </w:p>
    <w:p w:rsidR="002F23A1" w:rsidRDefault="002F23A1" w:rsidP="004A23CD">
      <w:pPr>
        <w:pStyle w:val="Level1"/>
      </w:pPr>
      <w:r>
        <w:rPr>
          <w:rFonts w:hint="eastAsia"/>
        </w:rPr>
        <w:lastRenderedPageBreak/>
        <w:t>Fixed income</w:t>
      </w:r>
    </w:p>
    <w:p w:rsidR="002F23A1" w:rsidRDefault="002F23A1" w:rsidP="007C3137">
      <w:pPr>
        <w:pStyle w:val="Level2"/>
        <w:numPr>
          <w:ilvl w:val="1"/>
          <w:numId w:val="130"/>
        </w:numPr>
      </w:pPr>
      <w:r>
        <w:rPr>
          <w:rFonts w:hint="eastAsia"/>
        </w:rPr>
        <w:t>The Term Structure and Interest Rate Dynamics</w:t>
      </w:r>
    </w:p>
    <w:p w:rsidR="002F23A1" w:rsidRDefault="002F23A1" w:rsidP="007C3137">
      <w:pPr>
        <w:pStyle w:val="Level3"/>
        <w:numPr>
          <w:ilvl w:val="2"/>
          <w:numId w:val="131"/>
        </w:numPr>
        <w:spacing w:after="156"/>
      </w:pPr>
      <w:r>
        <w:rPr>
          <w:rFonts w:hint="eastAsia"/>
        </w:rPr>
        <w:t>Describe the strategy of riding the yield curve</w:t>
      </w:r>
    </w:p>
    <w:p w:rsidR="002F23A1" w:rsidRDefault="00E008F7" w:rsidP="002F23A1">
      <w:r>
        <w:t>Under this strategy, an investor will purchase bonds with maturities longer than his investment horizon. In an upward-sloping yield curve, shorter maturity bonds have lower yields than longer maturity bonds. As the bond approaches maturity, it</w:t>
      </w:r>
      <w:r w:rsidR="00E3539A">
        <w:t xml:space="preserve"> is</w:t>
      </w:r>
      <w:r>
        <w:t xml:space="preserve"> valued using lower yields.</w:t>
      </w:r>
    </w:p>
    <w:p w:rsidR="00AA32A4" w:rsidRDefault="00AA32A4" w:rsidP="002F23A1"/>
    <w:p w:rsidR="00AA32A4" w:rsidRDefault="00AA32A4" w:rsidP="00AA32A4">
      <w:pPr>
        <w:pStyle w:val="Level3"/>
        <w:spacing w:after="156"/>
      </w:pPr>
      <w:r>
        <w:rPr>
          <w:rFonts w:hint="eastAsia"/>
        </w:rPr>
        <w:t xml:space="preserve">Explain the swap rate curve and why and how </w:t>
      </w:r>
      <w:r>
        <w:t>market participants</w:t>
      </w:r>
      <w:r>
        <w:rPr>
          <w:rFonts w:hint="eastAsia"/>
        </w:rPr>
        <w:t xml:space="preserve"> </w:t>
      </w:r>
      <w:r>
        <w:t>use it in valuation.</w:t>
      </w:r>
    </w:p>
    <w:p w:rsidR="00AA32A4" w:rsidRDefault="00AA32A4" w:rsidP="00AA32A4">
      <w:r>
        <w:t>Market participants prefer the swap rate curve as a benchmark interest rate curve for the following reasons:</w:t>
      </w:r>
    </w:p>
    <w:p w:rsidR="00AA32A4" w:rsidRDefault="00AA32A4" w:rsidP="007C3137">
      <w:pPr>
        <w:pStyle w:val="ListParagraph"/>
        <w:numPr>
          <w:ilvl w:val="0"/>
          <w:numId w:val="132"/>
        </w:numPr>
        <w:ind w:firstLineChars="0"/>
      </w:pPr>
      <w:r>
        <w:rPr>
          <w:rFonts w:hint="eastAsia"/>
        </w:rPr>
        <w:t>Swap rates reflect the credit risk of commercial banks rather than the credit risk of governments.</w:t>
      </w:r>
    </w:p>
    <w:p w:rsidR="00AA32A4" w:rsidRDefault="00AA32A4" w:rsidP="007C3137">
      <w:pPr>
        <w:pStyle w:val="ListParagraph"/>
        <w:numPr>
          <w:ilvl w:val="0"/>
          <w:numId w:val="132"/>
        </w:numPr>
        <w:ind w:firstLineChars="0"/>
      </w:pPr>
      <w:r>
        <w:t>The swap market is not regulated, which makes swap rates in different countries more comparable.</w:t>
      </w:r>
    </w:p>
    <w:p w:rsidR="00AA32A4" w:rsidRDefault="00AA32A4" w:rsidP="007C3137">
      <w:pPr>
        <w:pStyle w:val="ListParagraph"/>
        <w:numPr>
          <w:ilvl w:val="0"/>
          <w:numId w:val="132"/>
        </w:numPr>
        <w:ind w:firstLineChars="0"/>
      </w:pPr>
      <w:r>
        <w:t>The swap curve typically has yield quotes at many maturities, while the government bond yield curve has on-the-run issues trading at only a small number of maturities.</w:t>
      </w:r>
    </w:p>
    <w:p w:rsidR="008601BF" w:rsidRDefault="008601BF" w:rsidP="008601BF"/>
    <w:p w:rsidR="008601BF" w:rsidRDefault="008601BF" w:rsidP="008601BF">
      <w:pPr>
        <w:pStyle w:val="Level3"/>
        <w:spacing w:after="156"/>
      </w:pPr>
      <w:r>
        <w:rPr>
          <w:rFonts w:hint="eastAsia"/>
        </w:rPr>
        <w:t>Calculate and interpret the swap spread for a given maturity.</w:t>
      </w:r>
    </w:p>
    <w:p w:rsidR="008601BF" w:rsidRDefault="008601BF" w:rsidP="008601BF">
      <w:r>
        <w:t xml:space="preserve">Swap spread = swap rate – treasury </w:t>
      </w:r>
      <w:r w:rsidR="00B53392">
        <w:t>yield</w:t>
      </w:r>
    </w:p>
    <w:p w:rsidR="001A6FCE" w:rsidRDefault="001A6FCE" w:rsidP="008601BF">
      <w:r>
        <w:t xml:space="preserve">I-spread = yield on the bond – swap </w:t>
      </w:r>
      <w:r w:rsidR="0035663F">
        <w:t>rate</w:t>
      </w:r>
    </w:p>
    <w:p w:rsidR="00B53392" w:rsidRDefault="00B53392" w:rsidP="008601BF"/>
    <w:p w:rsidR="00B53392" w:rsidRDefault="00B53392" w:rsidP="007C3137">
      <w:pPr>
        <w:pStyle w:val="Level3"/>
        <w:numPr>
          <w:ilvl w:val="2"/>
          <w:numId w:val="133"/>
        </w:numPr>
        <w:spacing w:after="156"/>
      </w:pPr>
      <w:r>
        <w:rPr>
          <w:rFonts w:hint="eastAsia"/>
        </w:rPr>
        <w:t>Describe the TED and Libor-OIS spread</w:t>
      </w:r>
    </w:p>
    <w:p w:rsidR="00B53392" w:rsidRDefault="00B53392" w:rsidP="00B53392">
      <w:r>
        <w:t>TED spread = 3-month LIBOR rate – 3-month T-bill rate</w:t>
      </w:r>
    </w:p>
    <w:p w:rsidR="00F71D0E" w:rsidRDefault="00F71D0E" w:rsidP="00B53392">
      <w:r>
        <w:t>OIS stands for overnight indexed swap.</w:t>
      </w:r>
      <w:r w:rsidR="001F4145">
        <w:t xml:space="preserve"> The OIS rate roughly reflects the federal funds rate.</w:t>
      </w:r>
    </w:p>
    <w:p w:rsidR="001F4145" w:rsidRDefault="001F4145" w:rsidP="00B53392">
      <w:r>
        <w:t>Libor-OIS spread = LIBOR rate – OIS rate</w:t>
      </w:r>
    </w:p>
    <w:p w:rsidR="00A16BF1" w:rsidRDefault="00A16BF1" w:rsidP="00B53392"/>
    <w:p w:rsidR="00A16BF1" w:rsidRDefault="00A16BF1" w:rsidP="00A16BF1">
      <w:pPr>
        <w:pStyle w:val="Level3"/>
        <w:spacing w:after="156"/>
      </w:pPr>
      <w:r>
        <w:rPr>
          <w:rFonts w:hint="eastAsia"/>
        </w:rPr>
        <w:t>Explain traditional theories of the term structure of interest rates and describe the implications of each theory for forward rates and the shape of yield curve.</w:t>
      </w:r>
    </w:p>
    <w:p w:rsidR="00A16BF1" w:rsidRDefault="00A16BF1" w:rsidP="007C3137">
      <w:pPr>
        <w:pStyle w:val="ListParagraph"/>
        <w:numPr>
          <w:ilvl w:val="0"/>
          <w:numId w:val="134"/>
        </w:numPr>
        <w:ind w:firstLineChars="0"/>
      </w:pPr>
      <w:r>
        <w:rPr>
          <w:rFonts w:hint="eastAsia"/>
        </w:rPr>
        <w:t>Unbiased Expectations Theory</w:t>
      </w:r>
    </w:p>
    <w:p w:rsidR="00A16BF1" w:rsidRDefault="00A16BF1" w:rsidP="00A16BF1">
      <w:pPr>
        <w:pStyle w:val="ListParagraph"/>
        <w:ind w:left="420" w:firstLineChars="0" w:firstLine="0"/>
      </w:pPr>
      <w:r>
        <w:t>This theory suggests that forward rates are solely a function of expected future spot rates.</w:t>
      </w:r>
    </w:p>
    <w:p w:rsidR="0059407F" w:rsidRDefault="0059407F" w:rsidP="007C3137">
      <w:pPr>
        <w:pStyle w:val="ListParagraph"/>
        <w:numPr>
          <w:ilvl w:val="0"/>
          <w:numId w:val="134"/>
        </w:numPr>
        <w:ind w:firstLineChars="0"/>
      </w:pPr>
      <w:r>
        <w:rPr>
          <w:rFonts w:hint="eastAsia"/>
        </w:rPr>
        <w:t>Local expectations Theory</w:t>
      </w:r>
    </w:p>
    <w:p w:rsidR="0059407F" w:rsidRDefault="0059407F" w:rsidP="0059407F">
      <w:pPr>
        <w:pStyle w:val="ListParagraph"/>
        <w:ind w:left="420" w:firstLineChars="0" w:firstLine="0"/>
      </w:pPr>
      <w:r>
        <w:t>This theory is similar to the unbiased expectations theory with one difference: the local expectations theory preserves the risk-neutrality assumption only for short holding periods.</w:t>
      </w:r>
      <w:r w:rsidR="001C7264">
        <w:t xml:space="preserve"> In other words, over longer periods, risk premiums should exist.</w:t>
      </w:r>
      <w:r w:rsidR="007927D1">
        <w:t xml:space="preserve"> This means the short-term return for every bond should be the same.</w:t>
      </w:r>
    </w:p>
    <w:p w:rsidR="00FA0D7F" w:rsidRDefault="00FA0D7F" w:rsidP="007C3137">
      <w:pPr>
        <w:pStyle w:val="ListParagraph"/>
        <w:numPr>
          <w:ilvl w:val="0"/>
          <w:numId w:val="134"/>
        </w:numPr>
        <w:ind w:firstLineChars="0"/>
      </w:pPr>
      <w:r>
        <w:rPr>
          <w:rFonts w:hint="eastAsia"/>
        </w:rPr>
        <w:t>Liquidity Preference Theory</w:t>
      </w:r>
    </w:p>
    <w:p w:rsidR="00FA0D7F" w:rsidRDefault="00FA0D7F" w:rsidP="00FA0D7F">
      <w:pPr>
        <w:pStyle w:val="ListParagraph"/>
        <w:ind w:left="420" w:firstLineChars="0" w:firstLine="0"/>
      </w:pPr>
      <w:r>
        <w:t>Forward rates reflect investors’ expectations of future spot rates, plus a liquidity premium to compensate investors for exposure to interest rate risk.</w:t>
      </w:r>
    </w:p>
    <w:p w:rsidR="00C84613" w:rsidRDefault="00C84613" w:rsidP="00FA0D7F">
      <w:pPr>
        <w:pStyle w:val="ListParagraph"/>
        <w:ind w:left="420" w:firstLineChars="0" w:firstLine="0"/>
      </w:pPr>
      <w:r>
        <w:t>Thus, the liquidity preference theory states that forward rates are biased estimates of the market’s expectation of future rates because t</w:t>
      </w:r>
      <w:r w:rsidR="00E5705A">
        <w:t>hey include a liquidity premium and this premium is positively related to maturity.</w:t>
      </w:r>
    </w:p>
    <w:p w:rsidR="00C84613" w:rsidRDefault="00C84613" w:rsidP="00FA0D7F">
      <w:pPr>
        <w:pStyle w:val="ListParagraph"/>
        <w:ind w:left="420" w:firstLineChars="0" w:firstLine="0"/>
      </w:pPr>
      <w:r>
        <w:t xml:space="preserve">Thus, a positive-sloping yield curve may indicate 1) the market expects future interest rates </w:t>
      </w:r>
      <w:r>
        <w:lastRenderedPageBreak/>
        <w:t xml:space="preserve">to rise. 2) </w:t>
      </w:r>
      <w:r w:rsidR="00C6344B">
        <w:t>Rates</w:t>
      </w:r>
      <w:r>
        <w:t xml:space="preserve"> are expected to remain constant or even fall, but addition of the liquidity premium results in a positive slop</w:t>
      </w:r>
      <w:r w:rsidR="00C6344B">
        <w:t>e</w:t>
      </w:r>
      <w:r>
        <w:t>.</w:t>
      </w:r>
    </w:p>
    <w:p w:rsidR="00C6344B" w:rsidRDefault="00457AD1" w:rsidP="007C3137">
      <w:pPr>
        <w:pStyle w:val="ListParagraph"/>
        <w:numPr>
          <w:ilvl w:val="0"/>
          <w:numId w:val="134"/>
        </w:numPr>
        <w:ind w:firstLineChars="0"/>
      </w:pPr>
      <w:r>
        <w:rPr>
          <w:rFonts w:hint="eastAsia"/>
        </w:rPr>
        <w:t>Segmented markets theory</w:t>
      </w:r>
    </w:p>
    <w:p w:rsidR="00C6344B" w:rsidRDefault="00C6344B" w:rsidP="00C6344B">
      <w:pPr>
        <w:pStyle w:val="ListParagraph"/>
        <w:ind w:left="420" w:firstLineChars="0" w:firstLine="0"/>
      </w:pPr>
      <w:r>
        <w:t>The shape of the yield curve is determined by the preferences of borrowers and lenders, which drives the balance between supply of and demand for loans of different maturities.</w:t>
      </w:r>
    </w:p>
    <w:p w:rsidR="00C6344B" w:rsidRDefault="00457AD1" w:rsidP="00C6344B">
      <w:pPr>
        <w:pStyle w:val="ListParagraph"/>
        <w:ind w:left="420" w:firstLineChars="0" w:firstLine="0"/>
      </w:pPr>
      <w:r>
        <w:t>The theory also suggests that the yield at each maturity is determined independently of the yields at other maturities.</w:t>
      </w:r>
    </w:p>
    <w:p w:rsidR="00457AD1" w:rsidRDefault="00457AD1" w:rsidP="007C3137">
      <w:pPr>
        <w:pStyle w:val="ListParagraph"/>
        <w:numPr>
          <w:ilvl w:val="0"/>
          <w:numId w:val="134"/>
        </w:numPr>
        <w:ind w:firstLineChars="0"/>
      </w:pPr>
      <w:r>
        <w:rPr>
          <w:rFonts w:hint="eastAsia"/>
        </w:rPr>
        <w:t>Preferred Habitat Theory</w:t>
      </w:r>
    </w:p>
    <w:p w:rsidR="00457AD1" w:rsidRDefault="00457AD1" w:rsidP="00457AD1">
      <w:pPr>
        <w:pStyle w:val="ListParagraph"/>
        <w:ind w:left="420" w:firstLineChars="0" w:firstLine="0"/>
      </w:pPr>
      <w:r>
        <w:rPr>
          <w:rFonts w:hint="eastAsia"/>
        </w:rPr>
        <w:t>It proposes that forward rates represent expected future sport rates plus a premium, but it does not support the view that this premium is directly related to maturity.</w:t>
      </w:r>
    </w:p>
    <w:p w:rsidR="004A6794" w:rsidRDefault="004A6794" w:rsidP="00457AD1">
      <w:pPr>
        <w:pStyle w:val="ListParagraph"/>
        <w:ind w:left="420" w:firstLineChars="0" w:firstLine="0"/>
      </w:pPr>
      <w:r>
        <w:t>Under this theory, premiums are related to supply and demand for funds at various maturities.</w:t>
      </w:r>
    </w:p>
    <w:p w:rsidR="00F63A7B" w:rsidRDefault="00F63A7B" w:rsidP="00F63A7B"/>
    <w:p w:rsidR="00F63A7B" w:rsidRDefault="00F63A7B" w:rsidP="00F63A7B">
      <w:pPr>
        <w:pStyle w:val="Level3"/>
        <w:spacing w:after="156"/>
      </w:pPr>
      <w:r>
        <w:t>Describe</w:t>
      </w:r>
      <w:r>
        <w:rPr>
          <w:rFonts w:hint="eastAsia"/>
        </w:rPr>
        <w:t xml:space="preserve"> </w:t>
      </w:r>
      <w:r>
        <w:t>modern term structure models and how they are used.</w:t>
      </w:r>
    </w:p>
    <w:p w:rsidR="00F63A7B" w:rsidRDefault="001B396D" w:rsidP="007C3137">
      <w:pPr>
        <w:pStyle w:val="ListParagraph"/>
        <w:numPr>
          <w:ilvl w:val="0"/>
          <w:numId w:val="134"/>
        </w:numPr>
        <w:ind w:firstLineChars="0"/>
      </w:pPr>
      <w:r>
        <w:rPr>
          <w:rFonts w:hint="eastAsia"/>
        </w:rPr>
        <w:t>The Cox-Ingersoll-Ross Model</w:t>
      </w:r>
    </w:p>
    <w:p w:rsidR="001B396D" w:rsidRPr="001B396D" w:rsidRDefault="001B396D" w:rsidP="001B396D">
      <m:oMathPara>
        <m:oMathParaPr>
          <m:jc m:val="left"/>
        </m:oMathParaPr>
        <m:oMath>
          <m:r>
            <m:rPr>
              <m:sty m:val="p"/>
            </m:rPr>
            <w:rPr>
              <w:rFonts w:ascii="Cambria Math" w:hAnsi="Cambria Math"/>
            </w:rPr>
            <m:t>dr=a</m:t>
          </m:r>
          <m:d>
            <m:dPr>
              <m:ctrlPr>
                <w:rPr>
                  <w:rFonts w:ascii="Cambria Math" w:hAnsi="Cambria Math"/>
                </w:rPr>
              </m:ctrlPr>
            </m:dPr>
            <m:e>
              <m:r>
                <m:rPr>
                  <m:sty m:val="p"/>
                </m:rPr>
                <w:rPr>
                  <w:rFonts w:ascii="Cambria Math" w:hAnsi="Cambria Math"/>
                </w:rPr>
                <m:t>b-r</m:t>
              </m:r>
            </m:e>
          </m:d>
          <m:r>
            <m:rPr>
              <m:sty m:val="p"/>
            </m:rPr>
            <w:rPr>
              <w:rFonts w:ascii="Cambria Math" w:hAnsi="Cambria Math"/>
            </w:rPr>
            <m:t>dt+σ</m:t>
          </m:r>
          <m:rad>
            <m:radPr>
              <m:degHide m:val="1"/>
              <m:ctrlPr>
                <w:rPr>
                  <w:rFonts w:ascii="Cambria Math" w:hAnsi="Cambria Math"/>
                </w:rPr>
              </m:ctrlPr>
            </m:radPr>
            <m:deg/>
            <m:e>
              <m:r>
                <w:rPr>
                  <w:rFonts w:ascii="Cambria Math" w:hAnsi="Cambria Math"/>
                </w:rPr>
                <m:t>r</m:t>
              </m:r>
            </m:e>
          </m:rad>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1B396D" w:rsidRDefault="001B396D" w:rsidP="001B396D">
      <w:r>
        <w:rPr>
          <w:rFonts w:hint="eastAsia"/>
        </w:rPr>
        <w:t>The a(b-r)dt term forces the interest rate to mean-revert toward the long-run value (b) at a speed determined by parameter a.</w:t>
      </w:r>
    </w:p>
    <w:p w:rsidR="00C21F26" w:rsidRDefault="00C21F26" w:rsidP="001B396D">
      <w:r>
        <w:t>Volatility increases with the interest rate, as can be seen in the</w:t>
      </w:r>
      <w:r>
        <w:rPr>
          <w:rFonts w:hint="eastAsia"/>
        </w:rPr>
        <w:t xml:space="preserve"> </w:t>
      </w:r>
      <m:oMath>
        <m:r>
          <m:rPr>
            <m:sty m:val="p"/>
          </m:rPr>
          <w:rPr>
            <w:rFonts w:ascii="Cambria Math" w:hAnsi="Cambria Math"/>
          </w:rPr>
          <m:t>σ</m:t>
        </m:r>
        <m:rad>
          <m:radPr>
            <m:degHide m:val="1"/>
            <m:ctrlPr>
              <w:rPr>
                <w:rFonts w:ascii="Cambria Math" w:hAnsi="Cambria Math"/>
              </w:rPr>
            </m:ctrlPr>
          </m:radPr>
          <m:deg/>
          <m:e>
            <m:r>
              <w:rPr>
                <w:rFonts w:ascii="Cambria Math" w:hAnsi="Cambria Math"/>
              </w:rPr>
              <m:t>r</m:t>
            </m:r>
          </m:e>
        </m:rad>
      </m:oMath>
      <w:r>
        <w:rPr>
          <w:rFonts w:hint="eastAsia"/>
        </w:rPr>
        <w:t xml:space="preserve"> term.</w:t>
      </w:r>
    </w:p>
    <w:p w:rsidR="00B505F5" w:rsidRPr="00B505F5" w:rsidRDefault="00B505F5" w:rsidP="007C3137">
      <w:pPr>
        <w:pStyle w:val="ListParagraph"/>
        <w:numPr>
          <w:ilvl w:val="0"/>
          <w:numId w:val="134"/>
        </w:numPr>
        <w:ind w:firstLineChars="0"/>
      </w:pPr>
      <w:r>
        <w:rPr>
          <w:rFonts w:hint="eastAsia"/>
        </w:rPr>
        <w:t>The Vasicek Model</w:t>
      </w:r>
    </w:p>
    <w:p w:rsidR="00B505F5" w:rsidRPr="00B505F5" w:rsidRDefault="00B505F5" w:rsidP="00B505F5">
      <m:oMathPara>
        <m:oMathParaPr>
          <m:jc m:val="left"/>
        </m:oMathParaPr>
        <m:oMath>
          <m:r>
            <m:rPr>
              <m:sty m:val="p"/>
            </m:rPr>
            <w:rPr>
              <w:rFonts w:ascii="Cambria Math" w:hAnsi="Cambria Math"/>
            </w:rPr>
            <m:t>dr=a</m:t>
          </m:r>
          <m:d>
            <m:dPr>
              <m:ctrlPr>
                <w:rPr>
                  <w:rFonts w:ascii="Cambria Math" w:hAnsi="Cambria Math"/>
                </w:rPr>
              </m:ctrlPr>
            </m:dPr>
            <m:e>
              <m:r>
                <m:rPr>
                  <m:sty m:val="p"/>
                </m:rPr>
                <w:rPr>
                  <w:rFonts w:ascii="Cambria Math" w:hAnsi="Cambria Math"/>
                </w:rPr>
                <m:t>b-r</m:t>
              </m:r>
            </m:e>
          </m:d>
          <m:r>
            <m:rPr>
              <m:sty m:val="p"/>
            </m:rPr>
            <w:rPr>
              <w:rFonts w:ascii="Cambria Math" w:hAnsi="Cambria Math"/>
            </w:rPr>
            <m:t>dt+σ</m:t>
          </m:r>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B505F5" w:rsidRDefault="00B505F5" w:rsidP="00B505F5">
      <w:r>
        <w:rPr>
          <w:rFonts w:hint="eastAsia"/>
        </w:rPr>
        <w:t>The main disadvantages of this model is that it does not force interest rates to be non-negative.</w:t>
      </w:r>
    </w:p>
    <w:p w:rsidR="00B505F5" w:rsidRPr="00B505F5" w:rsidRDefault="00B505F5" w:rsidP="007C3137">
      <w:pPr>
        <w:pStyle w:val="ListParagraph"/>
        <w:numPr>
          <w:ilvl w:val="0"/>
          <w:numId w:val="134"/>
        </w:numPr>
        <w:ind w:firstLineChars="0"/>
      </w:pPr>
      <w:r>
        <w:rPr>
          <w:rFonts w:hint="eastAsia"/>
        </w:rPr>
        <w:t>The Ho-Lee Model</w:t>
      </w:r>
    </w:p>
    <w:p w:rsidR="00B505F5" w:rsidRPr="00B505F5" w:rsidRDefault="00B505F5" w:rsidP="00B505F5">
      <m:oMathPara>
        <m:oMathParaPr>
          <m:jc m:val="left"/>
        </m:oMathParaPr>
        <m:oMath>
          <m:r>
            <m:rPr>
              <m:sty m:val="p"/>
            </m:rPr>
            <w:rPr>
              <w:rFonts w:ascii="Cambria Math" w:hAnsi="Cambria Math"/>
            </w:rPr>
            <m:t>dr=θdt+σ</m:t>
          </m:r>
          <m:r>
            <w:rPr>
              <w:rFonts w:ascii="Cambria Math" w:hAnsi="Cambria Math"/>
            </w:rPr>
            <m:t>εd</m:t>
          </m:r>
          <m:rad>
            <m:radPr>
              <m:degHide m:val="1"/>
              <m:ctrlPr>
                <w:rPr>
                  <w:rFonts w:ascii="Cambria Math" w:hAnsi="Cambria Math"/>
                </w:rPr>
              </m:ctrlPr>
            </m:radPr>
            <m:deg/>
            <m:e>
              <m:r>
                <w:rPr>
                  <w:rFonts w:ascii="Cambria Math" w:hAnsi="Cambria Math"/>
                </w:rPr>
                <m:t>t</m:t>
              </m:r>
            </m:e>
          </m:rad>
        </m:oMath>
      </m:oMathPara>
    </w:p>
    <w:p w:rsidR="00B505F5" w:rsidRDefault="00934597" w:rsidP="00B505F5">
      <w:r>
        <w:rPr>
          <w:rFonts w:hint="eastAsia"/>
        </w:rPr>
        <w:t>This model is calibrated by using market prices to find the time-dependent drift term</w:t>
      </w:r>
      <w:r>
        <w:rPr>
          <w:rFonts w:hint="eastAsia"/>
        </w:rPr>
        <w:t>θ</w:t>
      </w:r>
      <w:r>
        <w:rPr>
          <w:rFonts w:hint="eastAsia"/>
        </w:rPr>
        <w:t>.</w:t>
      </w:r>
      <w:r>
        <w:t xml:space="preserve"> Then it can be used to price zero-coupon bonds and to determine the spot curve.</w:t>
      </w:r>
    </w:p>
    <w:p w:rsidR="00457A59" w:rsidRPr="00B505F5" w:rsidRDefault="00457A59" w:rsidP="00B505F5"/>
    <w:p w:rsidR="00B505F5" w:rsidRDefault="00457A59" w:rsidP="00457A59">
      <w:pPr>
        <w:pStyle w:val="Level3"/>
        <w:spacing w:after="156"/>
      </w:pPr>
      <w:r>
        <w:rPr>
          <w:rFonts w:hint="eastAsia"/>
        </w:rPr>
        <w:t>Explain how a bond</w:t>
      </w:r>
      <w:r>
        <w:t>’s exposure to each of the factors driving the yield curve can be measured and how these exposures can be used to manage yield curve risks.</w:t>
      </w:r>
    </w:p>
    <w:p w:rsidR="00457A59" w:rsidRDefault="00457A59" w:rsidP="00457A59">
      <w:r>
        <w:rPr>
          <w:rFonts w:hint="eastAsia"/>
        </w:rPr>
        <w:t>Sensitivity to Parallel, Steepness, and Curvature Movements</w:t>
      </w:r>
    </w:p>
    <w:p w:rsidR="00457A59" w:rsidRDefault="00457A59" w:rsidP="00457A59">
      <w:r>
        <w:t>Level – A parallel increase of decrease of interest rates.</w:t>
      </w:r>
    </w:p>
    <w:p w:rsidR="00457A59" w:rsidRDefault="00457A59" w:rsidP="00457A59">
      <w:r>
        <w:t>Steepness – Long-term interest rates increase while short-term rates decrease.</w:t>
      </w:r>
    </w:p>
    <w:p w:rsidR="00457A59" w:rsidRDefault="00457A59" w:rsidP="00457A59">
      <w:r>
        <w:t>Curvature – Increasing curvature means short- and long-term interest rates increase while intermediate rates do not change.</w:t>
      </w:r>
    </w:p>
    <w:p w:rsidR="00830DA7" w:rsidRDefault="00830DA7" w:rsidP="00457A59"/>
    <w:p w:rsidR="00830DA7" w:rsidRDefault="00830DA7" w:rsidP="00830DA7">
      <w:pPr>
        <w:pStyle w:val="Level3"/>
        <w:spacing w:after="156"/>
      </w:pPr>
      <w:r>
        <w:rPr>
          <w:rFonts w:hint="eastAsia"/>
        </w:rPr>
        <w:t>Explain the maturity structure of yield volatilities and their effect on price volatility.</w:t>
      </w:r>
    </w:p>
    <w:p w:rsidR="00830DA7" w:rsidRDefault="00830DA7" w:rsidP="00830DA7">
      <w:r>
        <w:t>Short-term interest rates are generally more volatile than long-term rates.</w:t>
      </w:r>
    </w:p>
    <w:p w:rsidR="00830DA7" w:rsidRDefault="00830DA7" w:rsidP="00830DA7">
      <w:r>
        <w:t>Volatility at the long-maturity end is thought to be associated with uncertainty regarding the real economy and inflation, while volatility at the short-maturity end reflects risks regarding monetary policy.</w:t>
      </w:r>
    </w:p>
    <w:p w:rsidR="0090284A" w:rsidRDefault="0090284A" w:rsidP="00830DA7"/>
    <w:p w:rsidR="0076163C" w:rsidRDefault="0076163C" w:rsidP="00830DA7"/>
    <w:p w:rsidR="0076163C" w:rsidRDefault="0076163C" w:rsidP="00830DA7"/>
    <w:p w:rsidR="0076163C" w:rsidRDefault="0076163C" w:rsidP="00830DA7"/>
    <w:p w:rsidR="0090284A" w:rsidRDefault="002706A2" w:rsidP="0090284A">
      <w:pPr>
        <w:pStyle w:val="Level2"/>
      </w:pPr>
      <w:r>
        <w:rPr>
          <w:rFonts w:hint="eastAsia"/>
        </w:rPr>
        <w:lastRenderedPageBreak/>
        <w:t>The Arbitrage-free Valuation Framework</w:t>
      </w:r>
    </w:p>
    <w:p w:rsidR="002706A2" w:rsidRDefault="002706A2" w:rsidP="002706A2">
      <w:pPr>
        <w:pStyle w:val="Level3"/>
        <w:spacing w:after="156"/>
      </w:pPr>
      <w:r>
        <w:rPr>
          <w:rFonts w:hint="eastAsia"/>
        </w:rPr>
        <w:t>Explain what is meant by arbitrage-free valuation of a fixed-income instrument</w:t>
      </w:r>
    </w:p>
    <w:p w:rsidR="002706A2" w:rsidRDefault="002706A2" w:rsidP="002706A2">
      <w:r>
        <w:t>There’re 2 types of arbitrage opportunities: value additivity and dominance (law of one price).</w:t>
      </w:r>
    </w:p>
    <w:p w:rsidR="002706A2" w:rsidRDefault="002706A2" w:rsidP="002706A2">
      <w:r>
        <w:t xml:space="preserve">If the principle of value additivity does not hold, arbitrage profits can be earned by </w:t>
      </w:r>
      <w:r w:rsidRPr="0024310C">
        <w:rPr>
          <w:b/>
        </w:rPr>
        <w:t>stripping</w:t>
      </w:r>
      <w:r>
        <w:t xml:space="preserve"> or </w:t>
      </w:r>
      <w:r w:rsidRPr="0024310C">
        <w:rPr>
          <w:b/>
        </w:rPr>
        <w:t>reconstitution</w:t>
      </w:r>
      <w:r>
        <w:t>.</w:t>
      </w:r>
    </w:p>
    <w:p w:rsidR="00631132" w:rsidRDefault="00631132" w:rsidP="002706A2"/>
    <w:p w:rsidR="00631132" w:rsidRDefault="00631132" w:rsidP="007C3137">
      <w:pPr>
        <w:pStyle w:val="Level3"/>
        <w:numPr>
          <w:ilvl w:val="2"/>
          <w:numId w:val="135"/>
        </w:numPr>
        <w:spacing w:after="156"/>
      </w:pPr>
      <w:r>
        <w:rPr>
          <w:rFonts w:hint="eastAsia"/>
        </w:rPr>
        <w:t>Describe the process of calibrating a binomial interest rate tree to match a specific term structure.</w:t>
      </w:r>
    </w:p>
    <w:p w:rsidR="00631132" w:rsidRPr="00631132" w:rsidRDefault="00631132" w:rsidP="007C3137">
      <w:pPr>
        <w:pStyle w:val="ListParagraph"/>
        <w:numPr>
          <w:ilvl w:val="0"/>
          <w:numId w:val="134"/>
        </w:numPr>
        <w:ind w:firstLineChars="0"/>
      </w:pPr>
      <w:r>
        <w:rPr>
          <w:rFonts w:hint="eastAsia"/>
        </w:rPr>
        <w:t>Adjacent forward rates for the same period are two standard deviations apart.</w:t>
      </w:r>
    </w:p>
    <w:p w:rsidR="00631132" w:rsidRPr="007A60D8" w:rsidRDefault="00631132" w:rsidP="007C3137">
      <w:pPr>
        <w:pStyle w:val="ListParagraph"/>
        <w:numPr>
          <w:ilvl w:val="0"/>
          <w:numId w:val="134"/>
        </w:numPr>
        <w:ind w:firstLineChars="0"/>
      </w:pPr>
      <w:r>
        <w:t>The middle forward rate in a period is approximately equal to the implied one-period forward rate for that period.</w:t>
      </w:r>
    </w:p>
    <w:p w:rsidR="007A60D8" w:rsidRDefault="007A60D8" w:rsidP="007A60D8"/>
    <w:p w:rsidR="007A60D8" w:rsidRDefault="007A60D8" w:rsidP="007C3137">
      <w:pPr>
        <w:pStyle w:val="Level3"/>
        <w:numPr>
          <w:ilvl w:val="2"/>
          <w:numId w:val="136"/>
        </w:numPr>
        <w:spacing w:after="156"/>
      </w:pPr>
      <w:r>
        <w:rPr>
          <w:rFonts w:hint="eastAsia"/>
        </w:rPr>
        <w:t xml:space="preserve">Describe a Monte Carlo forward-rate simulation and its </w:t>
      </w:r>
      <w:r w:rsidR="00B135A8">
        <w:t>application</w:t>
      </w:r>
      <w:r>
        <w:rPr>
          <w:rFonts w:hint="eastAsia"/>
        </w:rPr>
        <w:t>.</w:t>
      </w:r>
    </w:p>
    <w:p w:rsidR="007A60D8" w:rsidRDefault="00B135A8" w:rsidP="007A60D8">
      <w:r>
        <w:rPr>
          <w:rFonts w:hint="eastAsia"/>
        </w:rPr>
        <w:t xml:space="preserve">Because of path dependency of cash flows of MBS, the binomial tree backward induction process cannot be used to value such securities. </w:t>
      </w:r>
      <w:r>
        <w:t>We use the Monte Carlo simulation method to value MBS.</w:t>
      </w:r>
    </w:p>
    <w:p w:rsidR="00B65148" w:rsidRDefault="00B65148" w:rsidP="007A60D8"/>
    <w:p w:rsidR="00B65148" w:rsidRDefault="00B65148" w:rsidP="00B65148">
      <w:pPr>
        <w:pStyle w:val="Level2"/>
      </w:pPr>
      <w:r>
        <w:rPr>
          <w:rFonts w:hint="eastAsia"/>
        </w:rPr>
        <w:t>Valuation and Analysis: Bonds with Embedded Options</w:t>
      </w:r>
    </w:p>
    <w:p w:rsidR="00B65148" w:rsidRDefault="00B65148" w:rsidP="00B65148">
      <w:pPr>
        <w:pStyle w:val="Level3"/>
        <w:spacing w:after="156"/>
      </w:pPr>
      <w:r>
        <w:t>Describe fixed-income securities with embedded options.</w:t>
      </w:r>
    </w:p>
    <w:p w:rsidR="00A776DF" w:rsidRDefault="00A776DF" w:rsidP="00A776DF">
      <w:r>
        <w:rPr>
          <w:rFonts w:hint="eastAsia"/>
        </w:rPr>
        <w:t>An estate put which includes a p</w:t>
      </w:r>
      <w:r>
        <w:t>rovision that allows the heirs of an investor to put the bond back to the issuer upon the death of the investor.</w:t>
      </w:r>
    </w:p>
    <w:p w:rsidR="005B7BA7" w:rsidRDefault="005B7BA7" w:rsidP="00A776DF"/>
    <w:p w:rsidR="005B7BA7" w:rsidRDefault="005B7BA7" w:rsidP="007C3137">
      <w:pPr>
        <w:pStyle w:val="Level3"/>
        <w:numPr>
          <w:ilvl w:val="2"/>
          <w:numId w:val="137"/>
        </w:numPr>
        <w:spacing w:after="156"/>
      </w:pPr>
      <w:r>
        <w:rPr>
          <w:rFonts w:hint="eastAsia"/>
        </w:rPr>
        <w:t>Explain the calculation and use of OAS</w:t>
      </w:r>
    </w:p>
    <w:p w:rsidR="005B7BA7" w:rsidRDefault="005B7BA7" w:rsidP="005B7BA7">
      <w:r>
        <w:t>A constant spread must be added to all one-period rates in the tree such that the calculated value equals the market price of the risky bond. This spread is called the OAS.</w:t>
      </w:r>
    </w:p>
    <w:p w:rsidR="005C064F" w:rsidRDefault="005C064F" w:rsidP="005B7BA7"/>
    <w:p w:rsidR="005C064F" w:rsidRDefault="005C064F" w:rsidP="005C064F">
      <w:pPr>
        <w:pStyle w:val="Level3"/>
        <w:spacing w:after="156"/>
      </w:pPr>
      <w:r>
        <w:rPr>
          <w:rFonts w:hint="eastAsia"/>
        </w:rPr>
        <w:t>Explain how interest rate volatility affects OAS</w:t>
      </w:r>
    </w:p>
    <w:p w:rsidR="005C064F" w:rsidRPr="005C064F" w:rsidRDefault="005C064F" w:rsidP="005C064F">
      <w:r>
        <w:t>When interest rate volatility is high -&gt; value of call option is high -&gt; value of callable bonds is low -&gt; the spread needed to adjust the value is low.</w:t>
      </w:r>
    </w:p>
    <w:p w:rsidR="005C064F" w:rsidRDefault="005C064F" w:rsidP="005B7BA7"/>
    <w:p w:rsidR="005C064F" w:rsidRDefault="005C064F" w:rsidP="007C3137">
      <w:pPr>
        <w:pStyle w:val="Level3"/>
        <w:numPr>
          <w:ilvl w:val="2"/>
          <w:numId w:val="138"/>
        </w:numPr>
        <w:spacing w:after="156"/>
      </w:pPr>
      <w:r>
        <w:rPr>
          <w:rFonts w:hint="eastAsia"/>
        </w:rPr>
        <w:t>Describe the use of one-sided durations and key rate durations to evaluate the interest rate sensitivity of bonds with embedded options.</w:t>
      </w:r>
    </w:p>
    <w:p w:rsidR="00DD2056" w:rsidRDefault="00DD2056" w:rsidP="00DD2056">
      <w:r>
        <w:rPr>
          <w:rFonts w:hint="eastAsia"/>
        </w:rPr>
        <w:t>Key rate duration</w:t>
      </w:r>
    </w:p>
    <w:p w:rsidR="00DD2056" w:rsidRPr="00DD2056" w:rsidRDefault="00DD2056" w:rsidP="007C3137">
      <w:pPr>
        <w:pStyle w:val="ListParagraph"/>
        <w:numPr>
          <w:ilvl w:val="0"/>
          <w:numId w:val="139"/>
        </w:numPr>
        <w:ind w:firstLineChars="0"/>
      </w:pPr>
      <w:r>
        <w:rPr>
          <w:rFonts w:hint="eastAsia"/>
        </w:rPr>
        <w:t>For option-free bonds not trading at par, the maturity-matched rate is still the most important rate.</w:t>
      </w:r>
    </w:p>
    <w:p w:rsidR="00DD2056" w:rsidRPr="00DD2056" w:rsidRDefault="00DD2056" w:rsidP="007C3137">
      <w:pPr>
        <w:pStyle w:val="ListParagraph"/>
        <w:numPr>
          <w:ilvl w:val="0"/>
          <w:numId w:val="139"/>
        </w:numPr>
        <w:ind w:firstLineChars="0"/>
      </w:pPr>
      <w:r>
        <w:t>A bond with a low coupon rate may have negative key rate durations.</w:t>
      </w:r>
    </w:p>
    <w:p w:rsidR="00DD2056" w:rsidRPr="002E5FA5" w:rsidRDefault="00DD2056" w:rsidP="007C3137">
      <w:pPr>
        <w:pStyle w:val="ListParagraph"/>
        <w:numPr>
          <w:ilvl w:val="0"/>
          <w:numId w:val="139"/>
        </w:numPr>
        <w:ind w:firstLineChars="0"/>
      </w:pPr>
      <w:r>
        <w:t>Callable bonds with low coupon rates are unlikely to be called; their maturity-matched rate is their most critical rate.</w:t>
      </w:r>
    </w:p>
    <w:p w:rsidR="002E5FA5" w:rsidRPr="00AB256C" w:rsidRDefault="002E5FA5" w:rsidP="007C3137">
      <w:pPr>
        <w:pStyle w:val="ListParagraph"/>
        <w:numPr>
          <w:ilvl w:val="0"/>
          <w:numId w:val="139"/>
        </w:numPr>
        <w:ind w:firstLineChars="0"/>
      </w:pPr>
      <w:r>
        <w:t>Callable bonds with high coupon rate are likely to be called; their time-to-exercise rate will tend to dominate the time-to-maturity rate.</w:t>
      </w:r>
    </w:p>
    <w:p w:rsidR="00AB256C" w:rsidRDefault="00AB256C" w:rsidP="00AB256C"/>
    <w:p w:rsidR="0076163C" w:rsidRDefault="0076163C" w:rsidP="00AB256C"/>
    <w:p w:rsidR="00AB256C" w:rsidRDefault="00AB256C" w:rsidP="007C3137">
      <w:pPr>
        <w:pStyle w:val="Level3"/>
        <w:numPr>
          <w:ilvl w:val="2"/>
          <w:numId w:val="140"/>
        </w:numPr>
        <w:spacing w:after="156"/>
      </w:pPr>
      <w:r>
        <w:rPr>
          <w:rFonts w:hint="eastAsia"/>
        </w:rPr>
        <w:lastRenderedPageBreak/>
        <w:t>Calculate and interpret the components of a convertible bond</w:t>
      </w:r>
      <w:r>
        <w:t>’s value</w:t>
      </w:r>
    </w:p>
    <w:p w:rsidR="00AB256C" w:rsidRDefault="00AB256C" w:rsidP="00AB256C">
      <w:r>
        <w:t>E.g.: A convertible bonds is selling at 985 with a conversion ratio of 25 and a straight value of 950. The stock is currently selling at 35 per share.</w:t>
      </w:r>
    </w:p>
    <w:p w:rsidR="001E26E4" w:rsidRDefault="001E26E4" w:rsidP="00AB256C"/>
    <w:p w:rsidR="001E26E4" w:rsidRDefault="001E26E4" w:rsidP="00AB256C">
      <w:r>
        <w:t>*</w:t>
      </w:r>
      <w:r w:rsidRPr="001E26E4">
        <w:t xml:space="preserve"> </w:t>
      </w:r>
      <w:r w:rsidR="00E96FF3">
        <w:t>Straight</w:t>
      </w:r>
      <w:r>
        <w:t xml:space="preserve"> value is the value of an equivalent bond without conversion option.</w:t>
      </w:r>
    </w:p>
    <w:p w:rsidR="00AB256C" w:rsidRDefault="00AB256C" w:rsidP="00AB256C"/>
    <w:p w:rsidR="00AB256C" w:rsidRDefault="00AB256C" w:rsidP="00AB256C">
      <w:r>
        <w:rPr>
          <w:rFonts w:hint="eastAsia"/>
        </w:rPr>
        <w:t xml:space="preserve">Minimum value = </w:t>
      </w:r>
      <w:r>
        <w:t>max (</w:t>
      </w:r>
      <w:r>
        <w:rPr>
          <w:rFonts w:hint="eastAsia"/>
        </w:rPr>
        <w:t xml:space="preserve">straight value, conversion value) = </w:t>
      </w:r>
      <w:r>
        <w:t>max (</w:t>
      </w:r>
      <w:r>
        <w:rPr>
          <w:rFonts w:hint="eastAsia"/>
        </w:rPr>
        <w:t>950, 25*35)</w:t>
      </w:r>
    </w:p>
    <w:p w:rsidR="00AB256C" w:rsidRDefault="00AB256C" w:rsidP="00AB256C">
      <w:r>
        <w:t>M</w:t>
      </w:r>
      <w:r>
        <w:rPr>
          <w:rFonts w:hint="eastAsia"/>
        </w:rPr>
        <w:t xml:space="preserve">arket </w:t>
      </w:r>
      <w:r>
        <w:t>conversion price = 985 / 25 = 39.4</w:t>
      </w:r>
    </w:p>
    <w:p w:rsidR="00AB256C" w:rsidRDefault="00AB256C" w:rsidP="00AB256C">
      <w:r>
        <w:t>Market conversion premium per share = 39.4 – 35 = 4.4</w:t>
      </w:r>
    </w:p>
    <w:p w:rsidR="00AB256C" w:rsidRDefault="00AB256C" w:rsidP="00AB256C">
      <w:r>
        <w:t>Market conversion premium ratio = 4.4/35 = 12.57%</w:t>
      </w:r>
    </w:p>
    <w:p w:rsidR="00AB256C" w:rsidRDefault="00AB256C" w:rsidP="00AB256C">
      <w:r>
        <w:t>Premium over straight value = 985 / 950 – 1 = 3.68%. This measures the downside risk because the value cannot fall below straight value.</w:t>
      </w:r>
    </w:p>
    <w:p w:rsidR="00DC0C96" w:rsidRDefault="00DC0C96" w:rsidP="00AB256C"/>
    <w:p w:rsidR="00DC0C96" w:rsidRDefault="00DC0C96" w:rsidP="007C3137">
      <w:pPr>
        <w:pStyle w:val="Level3"/>
        <w:numPr>
          <w:ilvl w:val="2"/>
          <w:numId w:val="141"/>
        </w:numPr>
        <w:spacing w:after="156"/>
      </w:pPr>
      <w:r>
        <w:rPr>
          <w:rFonts w:hint="eastAsia"/>
        </w:rPr>
        <w:t>Compare the risk-return characteristics of a convertible bond with the risk-return characteristics of a straight bond and of the underlying common stock.</w:t>
      </w:r>
    </w:p>
    <w:p w:rsidR="00DC0C96" w:rsidRDefault="00DC0C96" w:rsidP="00DC0C96">
      <w:r>
        <w:t>When the price of the common stock is low, there is no effect on the convertible’s market price and it’s referred to as a fixed-income equivalent or a busted convertible.</w:t>
      </w:r>
    </w:p>
    <w:p w:rsidR="002D4253" w:rsidRDefault="002D4253" w:rsidP="00DC0C96"/>
    <w:p w:rsidR="002D4253" w:rsidRDefault="002D4253" w:rsidP="002D4253">
      <w:pPr>
        <w:pStyle w:val="Level2"/>
      </w:pPr>
      <w:r>
        <w:rPr>
          <w:rFonts w:hint="eastAsia"/>
        </w:rPr>
        <w:t>Credit Analysis Models</w:t>
      </w:r>
    </w:p>
    <w:p w:rsidR="002D4253" w:rsidRDefault="002D4253" w:rsidP="007C3137">
      <w:pPr>
        <w:pStyle w:val="Level3"/>
        <w:numPr>
          <w:ilvl w:val="2"/>
          <w:numId w:val="142"/>
        </w:numPr>
        <w:spacing w:after="156"/>
      </w:pPr>
      <w:r>
        <w:rPr>
          <w:rFonts w:hint="eastAsia"/>
        </w:rPr>
        <w:t xml:space="preserve">Explain structural models of corporate credit risk, including why equity can be viewed as a call option on the </w:t>
      </w:r>
      <w:r>
        <w:t>company’s</w:t>
      </w:r>
      <w:r>
        <w:rPr>
          <w:rFonts w:hint="eastAsia"/>
        </w:rPr>
        <w:t xml:space="preserve"> </w:t>
      </w:r>
      <w:r>
        <w:t>assets.</w:t>
      </w:r>
    </w:p>
    <w:p w:rsidR="00D33AA7" w:rsidRDefault="00D33AA7" w:rsidP="00D33AA7">
      <w:r>
        <w:t>V</w:t>
      </w:r>
      <w:r>
        <w:rPr>
          <w:rFonts w:hint="eastAsia"/>
        </w:rPr>
        <w:t xml:space="preserve">alue </w:t>
      </w:r>
      <w:r>
        <w:t xml:space="preserve">of corporate asset = long </w:t>
      </w:r>
      <w:r w:rsidR="009C39DF">
        <w:t>call (</w:t>
      </w:r>
      <w:r>
        <w:t>value of stock) + (risk-free bond – put</w:t>
      </w:r>
      <w:r w:rsidR="009C39DF">
        <w:t>) (</w:t>
      </w:r>
      <w:r>
        <w:t>value of debt)</w:t>
      </w:r>
    </w:p>
    <w:p w:rsidR="009C39DF" w:rsidRDefault="007102A2" w:rsidP="00D33AA7">
      <w:r>
        <w:rPr>
          <w:rFonts w:hint="eastAsia"/>
        </w:rPr>
        <w:t>Expected loss = long the put</w:t>
      </w:r>
    </w:p>
    <w:p w:rsidR="007102A2" w:rsidRDefault="007102A2" w:rsidP="00D33AA7">
      <w:r>
        <w:t xml:space="preserve">Probability of default = </w:t>
      </w:r>
      <w:r w:rsidR="00CE2A5B">
        <w:t>N (</w:t>
      </w:r>
      <w:r>
        <w:t>-d2)</w:t>
      </w:r>
    </w:p>
    <w:p w:rsidR="00CE2A5B" w:rsidRDefault="00CE2A5B" w:rsidP="00D33AA7"/>
    <w:p w:rsidR="00CE2A5B" w:rsidRDefault="00CE2A5B" w:rsidP="00CE2A5B">
      <w:pPr>
        <w:pStyle w:val="Level3"/>
        <w:spacing w:after="156"/>
      </w:pPr>
      <w:r>
        <w:rPr>
          <w:rFonts w:hint="eastAsia"/>
        </w:rPr>
        <w:t xml:space="preserve">Explain reduced form models of corporate credit risk, including why debt can </w:t>
      </w:r>
      <w:r w:rsidR="00F339F7">
        <w:t>be valued</w:t>
      </w:r>
      <w:r>
        <w:rPr>
          <w:rFonts w:hint="eastAsia"/>
        </w:rPr>
        <w:t xml:space="preserve"> as the sum of expected discounted cash flows after adjusting for risk.</w:t>
      </w:r>
    </w:p>
    <w:p w:rsidR="00CE2A5B" w:rsidRDefault="00F339F7" w:rsidP="00CE2A5B">
      <w:r>
        <w:rPr>
          <w:rFonts w:hint="eastAsia"/>
        </w:rPr>
        <w:t>The risk-free rate is no longer constant under the reduced form model.</w:t>
      </w:r>
    </w:p>
    <w:p w:rsidR="00F339F7" w:rsidRDefault="00F339F7" w:rsidP="00CE2A5B">
      <w:r>
        <w:t>The recovery rate is also stochastic and depends on the state of the economy (business cycle).</w:t>
      </w:r>
    </w:p>
    <w:p w:rsidR="00B250B2" w:rsidRDefault="00B250B2" w:rsidP="00CE2A5B"/>
    <w:p w:rsidR="00B250B2" w:rsidRDefault="00B250B2" w:rsidP="007C3137">
      <w:pPr>
        <w:pStyle w:val="Level3"/>
        <w:numPr>
          <w:ilvl w:val="2"/>
          <w:numId w:val="143"/>
        </w:numPr>
        <w:spacing w:after="156"/>
      </w:pPr>
      <w:r>
        <w:rPr>
          <w:rFonts w:hint="eastAsia"/>
        </w:rPr>
        <w:t>Explain the determinants of the term structure of credit spreads.</w:t>
      </w:r>
    </w:p>
    <w:p w:rsidR="00B250B2" w:rsidRDefault="00B250B2" w:rsidP="00B250B2">
      <w:r>
        <w:t>The credit spread is the difference in spot rates for credit-risky bonds and risk-free bonds. However, it includes a premium for liquidity risk in addition to credit risk.</w:t>
      </w:r>
    </w:p>
    <w:p w:rsidR="00D66872" w:rsidRDefault="00D66872" w:rsidP="00B250B2"/>
    <w:p w:rsidR="00D66872" w:rsidRDefault="00D66872" w:rsidP="007C3137">
      <w:pPr>
        <w:pStyle w:val="Level3"/>
        <w:numPr>
          <w:ilvl w:val="2"/>
          <w:numId w:val="144"/>
        </w:numPr>
        <w:spacing w:after="156"/>
      </w:pPr>
      <w:r>
        <w:rPr>
          <w:rFonts w:hint="eastAsia"/>
        </w:rPr>
        <w:t>Compare the credit analysis required for ABS to analysis of corporate debt.</w:t>
      </w:r>
    </w:p>
    <w:p w:rsidR="00D66872" w:rsidRDefault="00D66872" w:rsidP="00D66872">
      <w:r>
        <w:t>To value an ABS, either a reduced form or a structural model can be used. However, the valuation must incorporate the distribution waterfall of the ABS.</w:t>
      </w:r>
    </w:p>
    <w:p w:rsidR="00D66872" w:rsidRPr="00D66872" w:rsidRDefault="00D66872" w:rsidP="00D66872">
      <w:r>
        <w:rPr>
          <w:rFonts w:hint="eastAsia"/>
        </w:rPr>
        <w:t>The credit risk metric of probability of default doesn</w:t>
      </w:r>
      <w:r>
        <w:t>’t apply to an ABS; we instead use the probability of loss.</w:t>
      </w:r>
    </w:p>
    <w:p w:rsidR="002F23A1" w:rsidRDefault="002F23A1" w:rsidP="002F23A1">
      <w:pPr>
        <w:pStyle w:val="Level2"/>
        <w:rPr>
          <w:kern w:val="44"/>
          <w:szCs w:val="44"/>
        </w:rPr>
      </w:pPr>
      <w:r>
        <w:br w:type="page"/>
      </w:r>
    </w:p>
    <w:p w:rsidR="00E15F84" w:rsidRDefault="00E15F84" w:rsidP="002F23A1">
      <w:pPr>
        <w:pStyle w:val="Level1"/>
      </w:pPr>
      <w:r>
        <w:lastRenderedPageBreak/>
        <w:t>Derivatives</w:t>
      </w:r>
    </w:p>
    <w:p w:rsidR="00E15F84" w:rsidRDefault="002C7EC9" w:rsidP="007C3137">
      <w:pPr>
        <w:pStyle w:val="Level2"/>
        <w:numPr>
          <w:ilvl w:val="1"/>
          <w:numId w:val="145"/>
        </w:numPr>
      </w:pPr>
      <w:r>
        <w:rPr>
          <w:rFonts w:hint="eastAsia"/>
        </w:rPr>
        <w:t>Forward Markets and Contracts</w:t>
      </w:r>
    </w:p>
    <w:p w:rsidR="002C7EC9" w:rsidRDefault="002C7EC9" w:rsidP="002C7EC9">
      <w:r>
        <w:rPr>
          <w:rFonts w:hint="eastAsia"/>
        </w:rPr>
        <w:t xml:space="preserve">Day count and compounding </w:t>
      </w:r>
      <w:r>
        <w:t>conventions</w:t>
      </w:r>
      <w:r>
        <w:rPr>
          <w:rFonts w:hint="eastAsia"/>
        </w:rPr>
        <w:t>:</w:t>
      </w:r>
    </w:p>
    <w:p w:rsidR="002C7EC9" w:rsidRDefault="002C7EC9" w:rsidP="007C3137">
      <w:pPr>
        <w:pStyle w:val="ListParagraph"/>
        <w:numPr>
          <w:ilvl w:val="0"/>
          <w:numId w:val="146"/>
        </w:numPr>
        <w:ind w:firstLineChars="0"/>
      </w:pPr>
      <w:r>
        <w:rPr>
          <w:rFonts w:hint="eastAsia"/>
        </w:rPr>
        <w:t>360 days per year and simple interest for LIBOR based contracts such as FRAs, swaps, caps and floors.</w:t>
      </w:r>
    </w:p>
    <w:p w:rsidR="002C7EC9" w:rsidRDefault="002C7EC9" w:rsidP="007C3137">
      <w:pPr>
        <w:pStyle w:val="ListParagraph"/>
        <w:numPr>
          <w:ilvl w:val="0"/>
          <w:numId w:val="146"/>
        </w:numPr>
        <w:ind w:firstLineChars="0"/>
      </w:pPr>
      <w:r>
        <w:t xml:space="preserve">365 days per year and </w:t>
      </w:r>
      <w:r w:rsidR="00A76A6D">
        <w:t>compound</w:t>
      </w:r>
      <w:r>
        <w:t xml:space="preserve"> interest for equities, bonds, currencies and stock options.</w:t>
      </w:r>
    </w:p>
    <w:p w:rsidR="001C5B69" w:rsidRDefault="001C5B69" w:rsidP="001C5B69"/>
    <w:p w:rsidR="001C5B69" w:rsidRDefault="001C5B69" w:rsidP="001C5B69">
      <w:pPr>
        <w:pStyle w:val="Level2"/>
      </w:pPr>
      <w:r>
        <w:rPr>
          <w:rFonts w:hint="eastAsia"/>
        </w:rPr>
        <w:t>Futures Markets and Contracts</w:t>
      </w:r>
    </w:p>
    <w:p w:rsidR="001C5B69" w:rsidRDefault="001C5B69" w:rsidP="007C3137">
      <w:pPr>
        <w:pStyle w:val="Level3"/>
        <w:numPr>
          <w:ilvl w:val="2"/>
          <w:numId w:val="147"/>
        </w:numPr>
        <w:spacing w:after="156"/>
      </w:pPr>
      <w:r>
        <w:rPr>
          <w:rFonts w:hint="eastAsia"/>
        </w:rPr>
        <w:t>Explain why forward and futures prices differ.</w:t>
      </w:r>
    </w:p>
    <w:p w:rsidR="001C5B69" w:rsidRDefault="001C5B69" w:rsidP="001C5B69">
      <w:r>
        <w:t>Future arbitrage</w:t>
      </w:r>
    </w:p>
    <w:p w:rsidR="001C5B69" w:rsidRDefault="001C5B69" w:rsidP="001C5B69">
      <w:r>
        <w:t>If the futures contract is overpriced, a cash-and-carry arbitrage can generate a riskless profit, which consists of buying the assets and short the future contract.</w:t>
      </w:r>
    </w:p>
    <w:p w:rsidR="00E849DC" w:rsidRDefault="00E849DC" w:rsidP="001C5B69"/>
    <w:p w:rsidR="005441A0" w:rsidRDefault="005441A0" w:rsidP="007C3137">
      <w:pPr>
        <w:pStyle w:val="Level3"/>
        <w:numPr>
          <w:ilvl w:val="2"/>
          <w:numId w:val="148"/>
        </w:numPr>
        <w:spacing w:after="156"/>
      </w:pPr>
      <w:r>
        <w:rPr>
          <w:rFonts w:hint="eastAsia"/>
        </w:rPr>
        <w:t>Explain the relation between futures prices and expected spot prices.</w:t>
      </w:r>
    </w:p>
    <w:p w:rsidR="005441A0" w:rsidRDefault="005441A0" w:rsidP="005441A0">
      <w:r>
        <w:t>If future price is lower than expected future spot price, normal backwardation occurs.</w:t>
      </w:r>
    </w:p>
    <w:p w:rsidR="00E27E74" w:rsidRDefault="00E27E74" w:rsidP="005441A0"/>
    <w:p w:rsidR="00E27E74" w:rsidRDefault="00E27E74" w:rsidP="00E27E74">
      <w:pPr>
        <w:pStyle w:val="Level2"/>
      </w:pPr>
      <w:r>
        <w:rPr>
          <w:rFonts w:hint="eastAsia"/>
        </w:rPr>
        <w:t>Option Markets and Contracts</w:t>
      </w:r>
    </w:p>
    <w:p w:rsidR="00E27E74" w:rsidRDefault="00E27E74" w:rsidP="007C3137">
      <w:pPr>
        <w:pStyle w:val="Level3"/>
        <w:numPr>
          <w:ilvl w:val="2"/>
          <w:numId w:val="149"/>
        </w:numPr>
        <w:spacing w:after="156"/>
      </w:pPr>
      <w:r>
        <w:rPr>
          <w:rFonts w:hint="eastAsia"/>
        </w:rPr>
        <w:t>Calculate and interpret prices of interest rate options and options on assets using one- and two-period binomial models.</w:t>
      </w:r>
    </w:p>
    <w:p w:rsidR="00E27E74" w:rsidRDefault="00E27E74" w:rsidP="00E27E74">
      <w:r>
        <w:t>π</w:t>
      </w:r>
      <w:r w:rsidRPr="00E27E74">
        <w:rPr>
          <w:vertAlign w:val="subscript"/>
        </w:rPr>
        <w:t>u</w:t>
      </w:r>
      <w:r>
        <w:t xml:space="preserve"> = (1 + R</w:t>
      </w:r>
      <w:r w:rsidRPr="00E27E74">
        <w:rPr>
          <w:vertAlign w:val="subscript"/>
        </w:rPr>
        <w:t>f</w:t>
      </w:r>
      <w:r>
        <w:t xml:space="preserve"> – D) / (U – D)</w:t>
      </w:r>
    </w:p>
    <w:p w:rsidR="00E27E74" w:rsidRDefault="00E27E74" w:rsidP="00E27E74">
      <w:r>
        <w:t>c</w:t>
      </w:r>
      <w:r w:rsidRPr="00E27E74">
        <w:rPr>
          <w:vertAlign w:val="subscript"/>
        </w:rPr>
        <w:t>0</w:t>
      </w:r>
      <w:r>
        <w:t xml:space="preserve"> = (π</w:t>
      </w:r>
      <w:r w:rsidRPr="00E27E74">
        <w:rPr>
          <w:vertAlign w:val="subscript"/>
        </w:rPr>
        <w:t>u</w:t>
      </w:r>
      <w:r>
        <w:t>*c</w:t>
      </w:r>
      <w:r w:rsidRPr="00E27E74">
        <w:rPr>
          <w:vertAlign w:val="superscript"/>
        </w:rPr>
        <w:t>+</w:t>
      </w:r>
      <w:r>
        <w:t xml:space="preserve"> +π</w:t>
      </w:r>
      <w:r w:rsidRPr="00E27E74">
        <w:rPr>
          <w:vertAlign w:val="subscript"/>
        </w:rPr>
        <w:t>d</w:t>
      </w:r>
      <w:r>
        <w:t>*c</w:t>
      </w:r>
      <w:r w:rsidRPr="00E27E74">
        <w:rPr>
          <w:vertAlign w:val="superscript"/>
        </w:rPr>
        <w:t>-</w:t>
      </w:r>
      <w:r>
        <w:t>) / (1 + R</w:t>
      </w:r>
      <w:r w:rsidRPr="00E27E74">
        <w:rPr>
          <w:vertAlign w:val="subscript"/>
        </w:rPr>
        <w:t>f</w:t>
      </w:r>
      <w:r>
        <w:t>)</w:t>
      </w:r>
    </w:p>
    <w:p w:rsidR="008E06F4" w:rsidRDefault="008E06F4" w:rsidP="00E27E74"/>
    <w:p w:rsidR="008E06F4" w:rsidRDefault="008E06F4" w:rsidP="00E27E74">
      <w:r>
        <w:t>*Hedge Portfolio = nS – c.</w:t>
      </w:r>
    </w:p>
    <w:p w:rsidR="008E06F4" w:rsidRDefault="008E06F4" w:rsidP="00E27E74">
      <w:r>
        <w:t>n = Delta for call</w:t>
      </w:r>
    </w:p>
    <w:p w:rsidR="00E27E74" w:rsidRDefault="00E27E74" w:rsidP="00E27E74"/>
    <w:p w:rsidR="0070402B" w:rsidRDefault="0070402B" w:rsidP="0070402B">
      <w:pPr>
        <w:pStyle w:val="Level3"/>
        <w:spacing w:after="156"/>
      </w:pPr>
      <w:r>
        <w:rPr>
          <w:rFonts w:hint="eastAsia"/>
        </w:rPr>
        <w:t>Explain and evaluate the assumptions underlying the Black-Scholes-Merton model.</w:t>
      </w:r>
    </w:p>
    <w:tbl>
      <w:tblPr>
        <w:tblStyle w:val="TableGrid"/>
        <w:tblW w:w="0" w:type="auto"/>
        <w:tblLook w:val="04A0" w:firstRow="1" w:lastRow="0" w:firstColumn="1" w:lastColumn="0" w:noHBand="0" w:noVBand="1"/>
      </w:tblPr>
      <w:tblGrid>
        <w:gridCol w:w="4148"/>
        <w:gridCol w:w="4148"/>
      </w:tblGrid>
      <w:tr w:rsidR="00D67F2C" w:rsidTr="00D67F2C">
        <w:tc>
          <w:tcPr>
            <w:tcW w:w="4148" w:type="dxa"/>
          </w:tcPr>
          <w:p w:rsidR="00D67F2C" w:rsidRDefault="00D67F2C" w:rsidP="00D67F2C">
            <w:r>
              <w:rPr>
                <w:rFonts w:hint="eastAsia"/>
              </w:rPr>
              <w:t>Assumption</w:t>
            </w:r>
          </w:p>
        </w:tc>
        <w:tc>
          <w:tcPr>
            <w:tcW w:w="4148" w:type="dxa"/>
          </w:tcPr>
          <w:p w:rsidR="00D67F2C" w:rsidRDefault="00D67F2C" w:rsidP="00D67F2C">
            <w:r>
              <w:rPr>
                <w:rFonts w:hint="eastAsia"/>
              </w:rPr>
              <w:t>Limitation</w:t>
            </w:r>
          </w:p>
        </w:tc>
      </w:tr>
      <w:tr w:rsidR="00D67F2C" w:rsidTr="00D67F2C">
        <w:tc>
          <w:tcPr>
            <w:tcW w:w="4148" w:type="dxa"/>
          </w:tcPr>
          <w:p w:rsidR="00D67F2C" w:rsidRDefault="00D67F2C" w:rsidP="00D67F2C">
            <w:r>
              <w:rPr>
                <w:rFonts w:hint="eastAsia"/>
              </w:rPr>
              <w:t>Price of the underlying asset follows a lognormal distribution</w:t>
            </w:r>
          </w:p>
        </w:tc>
        <w:tc>
          <w:tcPr>
            <w:tcW w:w="4148" w:type="dxa"/>
          </w:tcPr>
          <w:p w:rsidR="00D67F2C" w:rsidRPr="00D67F2C" w:rsidRDefault="00D67F2C" w:rsidP="00D67F2C">
            <w:r>
              <w:t>N/A</w:t>
            </w:r>
          </w:p>
        </w:tc>
      </w:tr>
      <w:tr w:rsidR="00D67F2C" w:rsidTr="00D67F2C">
        <w:tc>
          <w:tcPr>
            <w:tcW w:w="4148" w:type="dxa"/>
          </w:tcPr>
          <w:p w:rsidR="00D67F2C" w:rsidRDefault="00D67F2C" w:rsidP="00D67F2C">
            <w:r>
              <w:rPr>
                <w:rFonts w:hint="eastAsia"/>
              </w:rPr>
              <w:t>Risk-free rate is constant and known</w:t>
            </w:r>
          </w:p>
        </w:tc>
        <w:tc>
          <w:tcPr>
            <w:tcW w:w="4148" w:type="dxa"/>
          </w:tcPr>
          <w:p w:rsidR="00D67F2C" w:rsidRPr="00D67F2C" w:rsidRDefault="00D67F2C" w:rsidP="00D67F2C">
            <w:r>
              <w:t>Not useful for pricing options on bond prices and interest rates</w:t>
            </w:r>
          </w:p>
        </w:tc>
      </w:tr>
      <w:tr w:rsidR="00D67F2C" w:rsidTr="00D67F2C">
        <w:tc>
          <w:tcPr>
            <w:tcW w:w="4148" w:type="dxa"/>
          </w:tcPr>
          <w:p w:rsidR="00D67F2C" w:rsidRPr="00D67F2C" w:rsidRDefault="00D67F2C" w:rsidP="00D67F2C">
            <w:r>
              <w:t>The volatility of the underlying asset is constant and known.</w:t>
            </w:r>
          </w:p>
        </w:tc>
        <w:tc>
          <w:tcPr>
            <w:tcW w:w="4148" w:type="dxa"/>
          </w:tcPr>
          <w:p w:rsidR="00D67F2C" w:rsidRDefault="00A01D9D" w:rsidP="00D67F2C">
            <w:r>
              <w:rPr>
                <w:rFonts w:hint="eastAsia"/>
              </w:rPr>
              <w:t xml:space="preserve">Volatility is not known and must be estimated. </w:t>
            </w:r>
            <w:r>
              <w:t>Volatility is often not constant over time.</w:t>
            </w:r>
          </w:p>
        </w:tc>
      </w:tr>
      <w:tr w:rsidR="00D67F2C" w:rsidTr="00D67F2C">
        <w:tc>
          <w:tcPr>
            <w:tcW w:w="4148" w:type="dxa"/>
          </w:tcPr>
          <w:p w:rsidR="00D67F2C" w:rsidRDefault="003B4AEA" w:rsidP="00D67F2C">
            <w:r>
              <w:rPr>
                <w:rFonts w:hint="eastAsia"/>
              </w:rPr>
              <w:t xml:space="preserve">Markets are </w:t>
            </w:r>
            <w:r>
              <w:t>‘frictionless’.</w:t>
            </w:r>
          </w:p>
        </w:tc>
        <w:tc>
          <w:tcPr>
            <w:tcW w:w="4148" w:type="dxa"/>
          </w:tcPr>
          <w:p w:rsidR="00D67F2C" w:rsidRDefault="00D67F2C" w:rsidP="00D67F2C"/>
        </w:tc>
      </w:tr>
      <w:tr w:rsidR="00D67F2C" w:rsidTr="00D67F2C">
        <w:tc>
          <w:tcPr>
            <w:tcW w:w="4148" w:type="dxa"/>
          </w:tcPr>
          <w:p w:rsidR="00D67F2C" w:rsidRDefault="003B4AEA" w:rsidP="00D67F2C">
            <w:r>
              <w:rPr>
                <w:rFonts w:hint="eastAsia"/>
              </w:rPr>
              <w:t>The underlying asset has no cash flow</w:t>
            </w:r>
          </w:p>
        </w:tc>
        <w:tc>
          <w:tcPr>
            <w:tcW w:w="4148" w:type="dxa"/>
          </w:tcPr>
          <w:p w:rsidR="00D67F2C" w:rsidRPr="003B4AEA" w:rsidRDefault="00D67F2C" w:rsidP="00D67F2C"/>
        </w:tc>
      </w:tr>
      <w:tr w:rsidR="00D67F2C" w:rsidTr="00D67F2C">
        <w:tc>
          <w:tcPr>
            <w:tcW w:w="4148" w:type="dxa"/>
          </w:tcPr>
          <w:p w:rsidR="00D67F2C" w:rsidRDefault="003B4AEA" w:rsidP="00D67F2C">
            <w:r>
              <w:rPr>
                <w:rFonts w:hint="eastAsia"/>
              </w:rPr>
              <w:t>The options valued are European options</w:t>
            </w:r>
          </w:p>
        </w:tc>
        <w:tc>
          <w:tcPr>
            <w:tcW w:w="4148" w:type="dxa"/>
          </w:tcPr>
          <w:p w:rsidR="00D67F2C" w:rsidRPr="003B4AEA" w:rsidRDefault="003B4AEA" w:rsidP="00D67F2C">
            <w:r>
              <w:t>Binomial option pricing models are more appropriate for American options.</w:t>
            </w:r>
          </w:p>
        </w:tc>
      </w:tr>
    </w:tbl>
    <w:p w:rsidR="00D67F2C" w:rsidRDefault="00D67F2C" w:rsidP="00D67F2C"/>
    <w:p w:rsidR="00D15BE5" w:rsidRDefault="00D15BE5" w:rsidP="00D67F2C"/>
    <w:p w:rsidR="00D15BE5" w:rsidRDefault="00D15BE5" w:rsidP="00D67F2C"/>
    <w:p w:rsidR="00D15BE5" w:rsidRDefault="00D15BE5" w:rsidP="00D67F2C"/>
    <w:p w:rsidR="00D15BE5" w:rsidRDefault="00D15BE5" w:rsidP="00D67F2C"/>
    <w:p w:rsidR="00AD682D" w:rsidRDefault="00AD682D" w:rsidP="00AD682D">
      <w:pPr>
        <w:pStyle w:val="Level3"/>
        <w:spacing w:after="156"/>
      </w:pPr>
      <w:r>
        <w:rPr>
          <w:rFonts w:hint="eastAsia"/>
        </w:rPr>
        <w:lastRenderedPageBreak/>
        <w:t>Explain how an option price, as represented by the BSM model, is affected by a change in the value of each of the inputs.</w:t>
      </w:r>
    </w:p>
    <w:tbl>
      <w:tblPr>
        <w:tblStyle w:val="TableGrid"/>
        <w:tblW w:w="0" w:type="auto"/>
        <w:tblLook w:val="04A0" w:firstRow="1" w:lastRow="0" w:firstColumn="1" w:lastColumn="0" w:noHBand="0" w:noVBand="1"/>
      </w:tblPr>
      <w:tblGrid>
        <w:gridCol w:w="2074"/>
        <w:gridCol w:w="2074"/>
        <w:gridCol w:w="2074"/>
        <w:gridCol w:w="2074"/>
      </w:tblGrid>
      <w:tr w:rsidR="00AD682D" w:rsidTr="00AD682D">
        <w:tc>
          <w:tcPr>
            <w:tcW w:w="2074" w:type="dxa"/>
          </w:tcPr>
          <w:p w:rsidR="00AD682D" w:rsidRDefault="00AD682D" w:rsidP="00AD682D">
            <w:r>
              <w:rPr>
                <w:rFonts w:hint="eastAsia"/>
              </w:rPr>
              <w:t>Greek</w:t>
            </w:r>
          </w:p>
        </w:tc>
        <w:tc>
          <w:tcPr>
            <w:tcW w:w="2074" w:type="dxa"/>
          </w:tcPr>
          <w:p w:rsidR="00AD682D" w:rsidRDefault="00AD682D" w:rsidP="00AD682D">
            <w:r>
              <w:rPr>
                <w:rFonts w:hint="eastAsia"/>
              </w:rPr>
              <w:t>Input</w:t>
            </w:r>
          </w:p>
        </w:tc>
        <w:tc>
          <w:tcPr>
            <w:tcW w:w="2074" w:type="dxa"/>
          </w:tcPr>
          <w:p w:rsidR="00AD682D" w:rsidRDefault="00AD682D" w:rsidP="00AD682D">
            <w:r>
              <w:rPr>
                <w:rFonts w:hint="eastAsia"/>
              </w:rPr>
              <w:t>Calls</w:t>
            </w:r>
          </w:p>
        </w:tc>
        <w:tc>
          <w:tcPr>
            <w:tcW w:w="2074" w:type="dxa"/>
          </w:tcPr>
          <w:p w:rsidR="00AD682D" w:rsidRDefault="00AD682D" w:rsidP="00AD682D">
            <w:r>
              <w:rPr>
                <w:rFonts w:hint="eastAsia"/>
              </w:rPr>
              <w:t>Puts</w:t>
            </w:r>
          </w:p>
        </w:tc>
      </w:tr>
      <w:tr w:rsidR="00AD682D" w:rsidTr="00AD682D">
        <w:tc>
          <w:tcPr>
            <w:tcW w:w="2074" w:type="dxa"/>
          </w:tcPr>
          <w:p w:rsidR="00AD682D" w:rsidRDefault="00AD682D" w:rsidP="00AD682D">
            <w:r>
              <w:rPr>
                <w:rFonts w:hint="eastAsia"/>
              </w:rPr>
              <w:t>Delta</w:t>
            </w:r>
          </w:p>
        </w:tc>
        <w:tc>
          <w:tcPr>
            <w:tcW w:w="2074" w:type="dxa"/>
          </w:tcPr>
          <w:p w:rsidR="00AD682D" w:rsidRDefault="00AD682D" w:rsidP="00AD682D">
            <w:r>
              <w:t>Underlying</w:t>
            </w:r>
            <w:r>
              <w:rPr>
                <w:rFonts w:hint="eastAsia"/>
              </w:rPr>
              <w:t xml:space="preserve"> asset</w:t>
            </w:r>
          </w:p>
        </w:tc>
        <w:tc>
          <w:tcPr>
            <w:tcW w:w="2074" w:type="dxa"/>
          </w:tcPr>
          <w:p w:rsidR="00AD682D" w:rsidRDefault="00AD682D" w:rsidP="00AD682D">
            <w:r>
              <w:rPr>
                <w:rFonts w:hint="eastAsia"/>
              </w:rPr>
              <w:t>&gt;0</w:t>
            </w:r>
          </w:p>
        </w:tc>
        <w:tc>
          <w:tcPr>
            <w:tcW w:w="2074" w:type="dxa"/>
          </w:tcPr>
          <w:p w:rsidR="00AD682D" w:rsidRDefault="00AD682D" w:rsidP="00AD682D">
            <w:r>
              <w:rPr>
                <w:rFonts w:hint="eastAsia"/>
              </w:rPr>
              <w:t>&lt;0</w:t>
            </w:r>
          </w:p>
        </w:tc>
      </w:tr>
      <w:tr w:rsidR="00AD682D" w:rsidTr="00AD682D">
        <w:tc>
          <w:tcPr>
            <w:tcW w:w="2074" w:type="dxa"/>
          </w:tcPr>
          <w:p w:rsidR="00AD682D" w:rsidRDefault="00AD682D" w:rsidP="00AD682D">
            <w:r>
              <w:rPr>
                <w:rFonts w:hint="eastAsia"/>
              </w:rPr>
              <w:t>Vega</w:t>
            </w:r>
          </w:p>
        </w:tc>
        <w:tc>
          <w:tcPr>
            <w:tcW w:w="2074" w:type="dxa"/>
          </w:tcPr>
          <w:p w:rsidR="00AD682D" w:rsidRDefault="00AD682D" w:rsidP="00AD682D">
            <w:r>
              <w:rPr>
                <w:rFonts w:hint="eastAsia"/>
              </w:rPr>
              <w:t>Volatility</w:t>
            </w:r>
          </w:p>
        </w:tc>
        <w:tc>
          <w:tcPr>
            <w:tcW w:w="2074" w:type="dxa"/>
          </w:tcPr>
          <w:p w:rsidR="00AD682D" w:rsidRDefault="00AD682D" w:rsidP="00AD682D">
            <w:r>
              <w:rPr>
                <w:rFonts w:hint="eastAsia"/>
              </w:rPr>
              <w:t>&gt;0</w:t>
            </w:r>
          </w:p>
        </w:tc>
        <w:tc>
          <w:tcPr>
            <w:tcW w:w="2074" w:type="dxa"/>
          </w:tcPr>
          <w:p w:rsidR="00AD682D" w:rsidRDefault="00AD682D" w:rsidP="00AD682D">
            <w:r>
              <w:rPr>
                <w:rFonts w:hint="eastAsia"/>
              </w:rPr>
              <w:t>&gt;0</w:t>
            </w:r>
          </w:p>
        </w:tc>
      </w:tr>
      <w:tr w:rsidR="00AD682D" w:rsidTr="00AD682D">
        <w:tc>
          <w:tcPr>
            <w:tcW w:w="2074" w:type="dxa"/>
          </w:tcPr>
          <w:p w:rsidR="00AD682D" w:rsidRDefault="00AD682D" w:rsidP="00AD682D">
            <w:r>
              <w:rPr>
                <w:rFonts w:hint="eastAsia"/>
              </w:rPr>
              <w:t>Rho</w:t>
            </w:r>
          </w:p>
        </w:tc>
        <w:tc>
          <w:tcPr>
            <w:tcW w:w="2074" w:type="dxa"/>
          </w:tcPr>
          <w:p w:rsidR="00AD682D" w:rsidRDefault="00AD682D" w:rsidP="00AD682D">
            <w:r>
              <w:rPr>
                <w:rFonts w:hint="eastAsia"/>
              </w:rPr>
              <w:t>Risk-free rate</w:t>
            </w:r>
          </w:p>
        </w:tc>
        <w:tc>
          <w:tcPr>
            <w:tcW w:w="2074" w:type="dxa"/>
          </w:tcPr>
          <w:p w:rsidR="00AD682D" w:rsidRDefault="00AD682D" w:rsidP="00AD682D">
            <w:r>
              <w:rPr>
                <w:rFonts w:hint="eastAsia"/>
              </w:rPr>
              <w:t>&gt;0</w:t>
            </w:r>
          </w:p>
        </w:tc>
        <w:tc>
          <w:tcPr>
            <w:tcW w:w="2074" w:type="dxa"/>
          </w:tcPr>
          <w:p w:rsidR="00AD682D" w:rsidRDefault="00AD682D" w:rsidP="00AD682D">
            <w:r>
              <w:rPr>
                <w:rFonts w:hint="eastAsia"/>
              </w:rPr>
              <w:t>&lt;0</w:t>
            </w:r>
          </w:p>
        </w:tc>
      </w:tr>
      <w:tr w:rsidR="00AD682D" w:rsidTr="00AD682D">
        <w:tc>
          <w:tcPr>
            <w:tcW w:w="2074" w:type="dxa"/>
          </w:tcPr>
          <w:p w:rsidR="00AD682D" w:rsidRDefault="00AD682D" w:rsidP="00AD682D">
            <w:r>
              <w:rPr>
                <w:rFonts w:hint="eastAsia"/>
              </w:rPr>
              <w:t>Theta</w:t>
            </w:r>
          </w:p>
        </w:tc>
        <w:tc>
          <w:tcPr>
            <w:tcW w:w="2074" w:type="dxa"/>
          </w:tcPr>
          <w:p w:rsidR="00AD682D" w:rsidRDefault="00AD682D" w:rsidP="00AD682D">
            <w:r>
              <w:rPr>
                <w:rFonts w:hint="eastAsia"/>
              </w:rPr>
              <w:t>Time passed</w:t>
            </w:r>
          </w:p>
        </w:tc>
        <w:tc>
          <w:tcPr>
            <w:tcW w:w="2074" w:type="dxa"/>
          </w:tcPr>
          <w:p w:rsidR="00AD682D" w:rsidRDefault="00AD682D" w:rsidP="00AD682D">
            <w:r>
              <w:rPr>
                <w:rFonts w:hint="eastAsia"/>
              </w:rPr>
              <w:t>&lt;0</w:t>
            </w:r>
          </w:p>
        </w:tc>
        <w:tc>
          <w:tcPr>
            <w:tcW w:w="2074" w:type="dxa"/>
          </w:tcPr>
          <w:p w:rsidR="00AD682D" w:rsidRDefault="00AD682D" w:rsidP="00AD682D">
            <w:r>
              <w:rPr>
                <w:rFonts w:hint="eastAsia"/>
              </w:rPr>
              <w:t>&lt;0</w:t>
            </w:r>
          </w:p>
        </w:tc>
      </w:tr>
    </w:tbl>
    <w:p w:rsidR="00AD682D" w:rsidRDefault="00AD682D" w:rsidP="00AD682D"/>
    <w:p w:rsidR="00AD682D" w:rsidRDefault="00AD682D" w:rsidP="00AD682D">
      <w:pPr>
        <w:pStyle w:val="Level3"/>
        <w:spacing w:after="156"/>
      </w:pPr>
      <w:r>
        <w:rPr>
          <w:rFonts w:hint="eastAsia"/>
        </w:rPr>
        <w:t>Explain the delta of an option and demonstrate how it</w:t>
      </w:r>
      <w:r>
        <w:t>’s used in dynamic hedging.</w:t>
      </w:r>
    </w:p>
    <w:p w:rsidR="00AD682D" w:rsidRDefault="00AD682D" w:rsidP="00AD682D">
      <w:r>
        <w:t>Delta</w:t>
      </w:r>
      <w:r w:rsidR="0077386F">
        <w:t xml:space="preserve"> for call</w:t>
      </w:r>
      <w:r>
        <w:t xml:space="preserve"> = ΔC/ΔS = N(d1)</w:t>
      </w:r>
    </w:p>
    <w:p w:rsidR="00BF2D32" w:rsidRDefault="0077386F" w:rsidP="00AD682D">
      <w:r>
        <w:t xml:space="preserve">Delta for put = N(d1) </w:t>
      </w:r>
      <w:r w:rsidR="00BF2D32">
        <w:t>–</w:t>
      </w:r>
      <w:r>
        <w:t xml:space="preserve"> 1</w:t>
      </w:r>
    </w:p>
    <w:p w:rsidR="00BF2D32" w:rsidRDefault="00BF2D32" w:rsidP="00AD682D"/>
    <w:p w:rsidR="00BF2D32" w:rsidRDefault="00BF2D32" w:rsidP="00AD682D">
      <w:r>
        <w:t>Diagram for call</w:t>
      </w:r>
    </w:p>
    <w:p w:rsidR="00BF2D32" w:rsidRDefault="00BF2D32" w:rsidP="00AD682D">
      <w:r>
        <w:rPr>
          <w:rFonts w:hint="eastAsia"/>
          <w:noProof/>
        </w:rPr>
        <w:drawing>
          <wp:inline distT="0" distB="0" distL="0" distR="0">
            <wp:extent cx="2952750" cy="2466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0" cy="2466975"/>
                    </a:xfrm>
                    <a:prstGeom prst="rect">
                      <a:avLst/>
                    </a:prstGeom>
                    <a:noFill/>
                    <a:ln>
                      <a:noFill/>
                    </a:ln>
                  </pic:spPr>
                </pic:pic>
              </a:graphicData>
            </a:graphic>
          </wp:inline>
        </w:drawing>
      </w:r>
    </w:p>
    <w:p w:rsidR="00BF2D32" w:rsidRDefault="00BF2D32" w:rsidP="00AD682D">
      <w:r>
        <w:rPr>
          <w:rFonts w:hint="eastAsia"/>
        </w:rPr>
        <w:t>Diagram for put</w:t>
      </w:r>
    </w:p>
    <w:p w:rsidR="00BF2D32" w:rsidRDefault="00BF2D32" w:rsidP="00AD682D">
      <w:r>
        <w:rPr>
          <w:rFonts w:hint="eastAsia"/>
          <w:noProof/>
        </w:rPr>
        <w:drawing>
          <wp:inline distT="0" distB="0" distL="0" distR="0">
            <wp:extent cx="2895600" cy="2305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0" cy="2305050"/>
                    </a:xfrm>
                    <a:prstGeom prst="rect">
                      <a:avLst/>
                    </a:prstGeom>
                    <a:noFill/>
                    <a:ln>
                      <a:noFill/>
                    </a:ln>
                  </pic:spPr>
                </pic:pic>
              </a:graphicData>
            </a:graphic>
          </wp:inline>
        </w:drawing>
      </w:r>
    </w:p>
    <w:p w:rsidR="009D142F" w:rsidRDefault="009D142F" w:rsidP="00AD682D"/>
    <w:p w:rsidR="009D142F" w:rsidRDefault="009D142F" w:rsidP="00AD682D">
      <w:r>
        <w:rPr>
          <w:rFonts w:hint="eastAsia"/>
        </w:rPr>
        <w:t>Dynamic Hedging</w:t>
      </w:r>
    </w:p>
    <w:p w:rsidR="009D142F" w:rsidRDefault="009D142F" w:rsidP="00AD682D">
      <w:r>
        <w:t>Number of call options needed to delta hedge = number of shares / delta of call</w:t>
      </w:r>
    </w:p>
    <w:p w:rsidR="00503ECC" w:rsidRDefault="00503ECC" w:rsidP="00AD682D"/>
    <w:p w:rsidR="00503ECC" w:rsidRDefault="00503ECC" w:rsidP="00503ECC">
      <w:pPr>
        <w:pStyle w:val="Level3"/>
        <w:spacing w:after="156"/>
      </w:pPr>
      <w:r>
        <w:rPr>
          <w:rFonts w:hint="eastAsia"/>
        </w:rPr>
        <w:lastRenderedPageBreak/>
        <w:t>Explain the gamma effect on an option</w:t>
      </w:r>
      <w:r>
        <w:t>’s delta and how gamma can affect a delta hedge.</w:t>
      </w:r>
    </w:p>
    <w:p w:rsidR="00503ECC" w:rsidRDefault="00503ECC" w:rsidP="00503ECC">
      <w:r>
        <w:t>Gamma measures the rate of change in delta as the underlying stock price changes.</w:t>
      </w:r>
    </w:p>
    <w:p w:rsidR="001E207A" w:rsidRDefault="001E207A" w:rsidP="00503ECC">
      <w:r>
        <w:t>Gamma is the largest when call/put is at the money. Hedges with at-the-money options will have higher gammas, and consequently frequent rebalancing.</w:t>
      </w:r>
    </w:p>
    <w:p w:rsidR="008A6DCB" w:rsidRDefault="008A6DCB" w:rsidP="00503ECC"/>
    <w:p w:rsidR="008A6DCB" w:rsidRDefault="008A6DCB" w:rsidP="007C3137">
      <w:pPr>
        <w:pStyle w:val="Level3"/>
        <w:numPr>
          <w:ilvl w:val="2"/>
          <w:numId w:val="150"/>
        </w:numPr>
        <w:spacing w:after="156"/>
      </w:pPr>
      <w:r>
        <w:rPr>
          <w:rFonts w:hint="eastAsia"/>
        </w:rPr>
        <w:t xml:space="preserve">Compare </w:t>
      </w:r>
      <w:r>
        <w:t>American</w:t>
      </w:r>
      <w:r>
        <w:rPr>
          <w:rFonts w:hint="eastAsia"/>
        </w:rPr>
        <w:t xml:space="preserve"> </w:t>
      </w:r>
      <w:r>
        <w:t>and European options on forwards and futures, and identify the appropriate pricing model for European options.</w:t>
      </w:r>
    </w:p>
    <w:p w:rsidR="008A6DCB" w:rsidRDefault="008A6DCB" w:rsidP="008A6DCB">
      <w:r>
        <w:t>American options on futures are more valuable than comparable European options.</w:t>
      </w:r>
    </w:p>
    <w:p w:rsidR="008A6DCB" w:rsidRDefault="008A6DCB" w:rsidP="008A6DCB">
      <w:r>
        <w:t>American options on forwards are the same as comparable European options.</w:t>
      </w:r>
    </w:p>
    <w:p w:rsidR="005F7BE1" w:rsidRDefault="005F7BE1" w:rsidP="008A6DCB"/>
    <w:p w:rsidR="005F7BE1" w:rsidRDefault="00623620" w:rsidP="00623620">
      <w:pPr>
        <w:pStyle w:val="Level2"/>
      </w:pPr>
      <w:r>
        <w:rPr>
          <w:rFonts w:hint="eastAsia"/>
        </w:rPr>
        <w:t>Swap Markets and Contracts</w:t>
      </w:r>
    </w:p>
    <w:p w:rsidR="00623620" w:rsidRDefault="00623620" w:rsidP="007C3137">
      <w:pPr>
        <w:pStyle w:val="Level3"/>
        <w:numPr>
          <w:ilvl w:val="2"/>
          <w:numId w:val="151"/>
        </w:numPr>
        <w:spacing w:after="156"/>
      </w:pPr>
      <w:r>
        <w:rPr>
          <w:rFonts w:hint="eastAsia"/>
        </w:rPr>
        <w:t>Calculate and interpret the fixed rate on a plain vanilla interest rate swap and the market value of the swap during its life.</w:t>
      </w:r>
    </w:p>
    <w:p w:rsidR="00623620" w:rsidRDefault="00623620" w:rsidP="00623620">
      <w:r>
        <w:t>C = (1 – Zn) / (Z1 + Z2 + … + Zn)</w:t>
      </w:r>
    </w:p>
    <w:p w:rsidR="00945D24" w:rsidRDefault="00945D24" w:rsidP="00623620"/>
    <w:p w:rsidR="00945D24" w:rsidRDefault="00945D24" w:rsidP="007C3137">
      <w:pPr>
        <w:pStyle w:val="Level3"/>
        <w:spacing w:after="156"/>
      </w:pPr>
      <w:r>
        <w:rPr>
          <w:rFonts w:hint="eastAsia"/>
        </w:rPr>
        <w:t>Explain and interpret the characteristics and uses of swaptions, including the difference between payer and receiver swaptions.</w:t>
      </w:r>
    </w:p>
    <w:p w:rsidR="006C4497" w:rsidRDefault="006C4497" w:rsidP="007C3137">
      <w:pPr>
        <w:pStyle w:val="Level3"/>
        <w:numPr>
          <w:ilvl w:val="2"/>
          <w:numId w:val="153"/>
        </w:numPr>
        <w:spacing w:after="156"/>
      </w:pPr>
      <w:r>
        <w:rPr>
          <w:rFonts w:hint="eastAsia"/>
        </w:rPr>
        <w:t xml:space="preserve">Calculate and interpret the value of an interest rate </w:t>
      </w:r>
      <w:r>
        <w:t>swaptions</w:t>
      </w:r>
      <w:r>
        <w:rPr>
          <w:rFonts w:hint="eastAsia"/>
        </w:rPr>
        <w:t xml:space="preserve"> </w:t>
      </w:r>
      <w:r>
        <w:t>at expiration.</w:t>
      </w:r>
    </w:p>
    <w:p w:rsidR="00484464" w:rsidRDefault="00484464" w:rsidP="00484464">
      <w:r>
        <w:rPr>
          <w:rFonts w:hint="eastAsia"/>
        </w:rPr>
        <w:t xml:space="preserve">A payer </w:t>
      </w:r>
      <w:r>
        <w:t>swaptions</w:t>
      </w:r>
      <w:r>
        <w:rPr>
          <w:rFonts w:hint="eastAsia"/>
        </w:rPr>
        <w:t xml:space="preserve"> </w:t>
      </w:r>
      <w:r>
        <w:t>is the right to enter into a specific swap in the future as the fixed-rate payer at a rate specified in the swaptions.</w:t>
      </w:r>
    </w:p>
    <w:p w:rsidR="006C4497" w:rsidRDefault="006C4497" w:rsidP="00484464">
      <w:r>
        <w:t>The value of an interest rate swaptions at expiration is the PV of the difference between the higher fixed payments received and the lower fixed payments made.</w:t>
      </w:r>
    </w:p>
    <w:p w:rsidR="006C4497" w:rsidRDefault="006C4497" w:rsidP="00484464"/>
    <w:p w:rsidR="006C4497" w:rsidRDefault="006C4497" w:rsidP="007C3137">
      <w:pPr>
        <w:pStyle w:val="Level2"/>
        <w:numPr>
          <w:ilvl w:val="1"/>
          <w:numId w:val="154"/>
        </w:numPr>
      </w:pPr>
      <w:r>
        <w:rPr>
          <w:rFonts w:hint="eastAsia"/>
        </w:rPr>
        <w:t>Credit Default Swaps</w:t>
      </w:r>
    </w:p>
    <w:p w:rsidR="006C4497" w:rsidRDefault="006C4497" w:rsidP="007C3137">
      <w:pPr>
        <w:pStyle w:val="Level3"/>
        <w:numPr>
          <w:ilvl w:val="2"/>
          <w:numId w:val="155"/>
        </w:numPr>
        <w:spacing w:after="156"/>
      </w:pPr>
      <w:r>
        <w:rPr>
          <w:rFonts w:hint="eastAsia"/>
        </w:rPr>
        <w:t>Describe</w:t>
      </w:r>
      <w:r w:rsidR="009D3411">
        <w:t xml:space="preserve"> CDS, single-name and index CDS, and the parameters that define a given CDS product.</w:t>
      </w:r>
    </w:p>
    <w:p w:rsidR="009D3411" w:rsidRDefault="00694192" w:rsidP="009D3411">
      <w:r>
        <w:t>The reference obligation is the fixed-income security on which the swap is written.</w:t>
      </w:r>
    </w:p>
    <w:p w:rsidR="00694192" w:rsidRDefault="00694192" w:rsidP="009D3411">
      <w:r>
        <w:t>The issuer of the reference obligation is called the reference entity.</w:t>
      </w:r>
    </w:p>
    <w:p w:rsidR="00694192" w:rsidRDefault="00694192" w:rsidP="009D3411">
      <w:r>
        <w:t>The CDS pays off not only when the reference entity defaults on the reference obligation but also when the reference entity defaults on any other issue that is ranked the same or higher.</w:t>
      </w:r>
    </w:p>
    <w:p w:rsidR="00694192" w:rsidRDefault="00694192" w:rsidP="009D3411">
      <w:r>
        <w:t>The CDS payoff is based on the market value of the cheapest-to-delver bond.</w:t>
      </w:r>
    </w:p>
    <w:p w:rsidR="00AA1592" w:rsidRDefault="00AA1592" w:rsidP="009D3411"/>
    <w:p w:rsidR="00AA1592" w:rsidRDefault="00AA1592" w:rsidP="00AA1592">
      <w:pPr>
        <w:pStyle w:val="Level3"/>
        <w:spacing w:after="156"/>
      </w:pPr>
      <w:r>
        <w:rPr>
          <w:rFonts w:hint="eastAsia"/>
        </w:rPr>
        <w:t>Describe credit events and settlement protocols with respect to CDS.</w:t>
      </w:r>
    </w:p>
    <w:p w:rsidR="00AA1592" w:rsidRDefault="00AA1592" w:rsidP="00AA1592">
      <w:r>
        <w:t>Common types of credit events specified include bankruptcy, failure to pay</w:t>
      </w:r>
      <w:r w:rsidR="00656507">
        <w:t xml:space="preserve"> (any debt)</w:t>
      </w:r>
      <w:r>
        <w:t xml:space="preserve"> and restructuring.</w:t>
      </w:r>
    </w:p>
    <w:p w:rsidR="00AA1592" w:rsidRDefault="00AA1592" w:rsidP="00AA1592">
      <w:r>
        <w:t>When there is a credit event, the swap will be settled in cash or by physical delivery.</w:t>
      </w:r>
    </w:p>
    <w:p w:rsidR="002771D3" w:rsidRDefault="002771D3" w:rsidP="00AA1592">
      <w:r>
        <w:t>One would</w:t>
      </w:r>
      <w:r w:rsidR="002F6EAB">
        <w:t xml:space="preserve"> prefer</w:t>
      </w:r>
      <w:r>
        <w:t xml:space="preserve"> cash settlement if he holds the bond which is not the cheapest-to-deliver bond.</w:t>
      </w:r>
    </w:p>
    <w:p w:rsidR="00560A48" w:rsidRDefault="00560A48" w:rsidP="00AA1592"/>
    <w:p w:rsidR="00560A48" w:rsidRDefault="00560A48" w:rsidP="00560A48">
      <w:pPr>
        <w:pStyle w:val="Level3"/>
        <w:spacing w:after="156"/>
      </w:pPr>
      <w:r>
        <w:rPr>
          <w:rFonts w:hint="eastAsia"/>
        </w:rPr>
        <w:t>Explain the principles underlying, and factors that influence, the market</w:t>
      </w:r>
      <w:r>
        <w:t>’s pricing of CDS.</w:t>
      </w:r>
    </w:p>
    <w:p w:rsidR="00560A48" w:rsidRDefault="00CC67FA" w:rsidP="00560A48">
      <w:r>
        <w:t>U</w:t>
      </w:r>
      <w:r>
        <w:rPr>
          <w:rFonts w:hint="eastAsia"/>
        </w:rPr>
        <w:t xml:space="preserve">pfront </w:t>
      </w:r>
      <w:r>
        <w:t>payment = (CDS spread – CDS coupon) * duration</w:t>
      </w:r>
    </w:p>
    <w:p w:rsidR="00BF0145" w:rsidRDefault="00BF0145" w:rsidP="00560A48">
      <w:r>
        <w:t>When CDS spread &gt; CDS coupon, the credit protection buyer pays the payment to the seller.</w:t>
      </w:r>
    </w:p>
    <w:p w:rsidR="00C826B4" w:rsidRDefault="00C826B4" w:rsidP="00C826B4">
      <w:pPr>
        <w:pStyle w:val="Level3"/>
        <w:spacing w:after="156"/>
      </w:pPr>
      <w:r>
        <w:rPr>
          <w:rFonts w:hint="eastAsia"/>
        </w:rPr>
        <w:lastRenderedPageBreak/>
        <w:t>Describe the use of CDS to manage credit exposures and to express views regarding changes in shape and/or level of the credit curve.</w:t>
      </w:r>
    </w:p>
    <w:p w:rsidR="00C826B4" w:rsidRDefault="00C826B4" w:rsidP="007C3137">
      <w:pPr>
        <w:pStyle w:val="ListParagraph"/>
        <w:numPr>
          <w:ilvl w:val="0"/>
          <w:numId w:val="156"/>
        </w:numPr>
        <w:ind w:firstLineChars="0"/>
      </w:pPr>
      <w:r>
        <w:rPr>
          <w:rFonts w:hint="eastAsia"/>
        </w:rPr>
        <w:t>In a naked CDS, an investor with no underlying exposure purchases protection in the CDS market.</w:t>
      </w:r>
    </w:p>
    <w:p w:rsidR="00C826B4" w:rsidRDefault="00C826B4" w:rsidP="007C3137">
      <w:pPr>
        <w:pStyle w:val="ListParagraph"/>
        <w:numPr>
          <w:ilvl w:val="0"/>
          <w:numId w:val="156"/>
        </w:numPr>
        <w:ind w:firstLineChars="0"/>
      </w:pPr>
      <w:r>
        <w:t>In a long/short trade, an investor purchases protection on one reference entity while selling protection on another. The investor is betting the difference in credit spreads will change to the investor’s advantage.</w:t>
      </w:r>
    </w:p>
    <w:p w:rsidR="00C826B4" w:rsidRDefault="00C826B4" w:rsidP="007C3137">
      <w:pPr>
        <w:pStyle w:val="ListParagraph"/>
        <w:numPr>
          <w:ilvl w:val="0"/>
          <w:numId w:val="156"/>
        </w:numPr>
        <w:ind w:firstLineChars="0"/>
      </w:pPr>
      <w:r>
        <w:t>A curve trade is a type of long/short trade where the investor is buying/selling protection on the same reference entity but with different maturity.</w:t>
      </w:r>
    </w:p>
    <w:p w:rsidR="00C826B4" w:rsidRDefault="00C010A6" w:rsidP="00C826B4">
      <w:pPr>
        <w:pStyle w:val="ListParagraph"/>
        <w:ind w:left="420" w:firstLineChars="0" w:firstLine="0"/>
      </w:pPr>
      <w:r>
        <w:t>An investor who believes the short-term outlook for the reference entity is better than the long-term outlook can use a curve-steepening trade.</w:t>
      </w:r>
    </w:p>
    <w:p w:rsidR="00F0797D" w:rsidRDefault="00F0797D" w:rsidP="00C826B4">
      <w:pPr>
        <w:pStyle w:val="ListParagraph"/>
        <w:ind w:left="420" w:firstLineChars="0" w:firstLine="0"/>
      </w:pPr>
    </w:p>
    <w:p w:rsidR="00F0797D" w:rsidRDefault="00F0797D" w:rsidP="00C826B4">
      <w:pPr>
        <w:pStyle w:val="ListParagraph"/>
        <w:ind w:left="420" w:firstLineChars="0" w:firstLine="0"/>
      </w:pPr>
      <w:r>
        <w:rPr>
          <w:rFonts w:hint="eastAsia"/>
          <w:noProof/>
        </w:rPr>
        <w:drawing>
          <wp:inline distT="0" distB="0" distL="0" distR="0">
            <wp:extent cx="3343275" cy="2905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3275" cy="2905125"/>
                    </a:xfrm>
                    <a:prstGeom prst="rect">
                      <a:avLst/>
                    </a:prstGeom>
                    <a:noFill/>
                    <a:ln>
                      <a:noFill/>
                    </a:ln>
                  </pic:spPr>
                </pic:pic>
              </a:graphicData>
            </a:graphic>
          </wp:inline>
        </w:drawing>
      </w:r>
    </w:p>
    <w:p w:rsidR="009F4153" w:rsidRPr="00C826B4" w:rsidRDefault="009F4153" w:rsidP="007C3137">
      <w:pPr>
        <w:pStyle w:val="ListParagraph"/>
        <w:numPr>
          <w:ilvl w:val="0"/>
          <w:numId w:val="156"/>
        </w:numPr>
        <w:ind w:firstLineChars="0"/>
      </w:pPr>
      <w:r>
        <w:rPr>
          <w:rFonts w:hint="eastAsia"/>
        </w:rPr>
        <w:t xml:space="preserve">A basis trade is an attempt to exploit the difference in credit </w:t>
      </w:r>
      <w:r w:rsidR="007C3137">
        <w:t>spreads between bond markets and CDS markets.</w:t>
      </w:r>
    </w:p>
    <w:p w:rsidR="00E15F84" w:rsidRDefault="00E15F84" w:rsidP="00E15F84">
      <w:pPr>
        <w:pStyle w:val="Level2"/>
        <w:rPr>
          <w:kern w:val="44"/>
          <w:szCs w:val="44"/>
        </w:rPr>
      </w:pPr>
      <w:r>
        <w:br w:type="page"/>
      </w:r>
    </w:p>
    <w:p w:rsidR="00CE599D" w:rsidRDefault="00CD5943" w:rsidP="002F23A1">
      <w:pPr>
        <w:pStyle w:val="Level1"/>
      </w:pPr>
      <w:r>
        <w:lastRenderedPageBreak/>
        <w:t>Portfolio Management</w:t>
      </w:r>
    </w:p>
    <w:p w:rsidR="00CD5943" w:rsidRDefault="00CD5943" w:rsidP="007C3137">
      <w:pPr>
        <w:pStyle w:val="Level2"/>
        <w:numPr>
          <w:ilvl w:val="1"/>
          <w:numId w:val="78"/>
        </w:numPr>
      </w:pPr>
      <w:r>
        <w:t>An Introduction to Multifactor Models</w:t>
      </w:r>
    </w:p>
    <w:p w:rsidR="00CD5943" w:rsidRDefault="00CD5943" w:rsidP="00CC1FC6">
      <w:pPr>
        <w:pStyle w:val="Level3"/>
        <w:numPr>
          <w:ilvl w:val="0"/>
          <w:numId w:val="55"/>
        </w:numPr>
        <w:spacing w:after="156"/>
      </w:pPr>
      <w:r>
        <w:t>Arbitrage Pricing Theory</w:t>
      </w:r>
    </w:p>
    <w:p w:rsidR="00CD5943" w:rsidRPr="00CD5943" w:rsidRDefault="008B6B90" w:rsidP="00CD5943">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m:oMathPara>
    </w:p>
    <w:p w:rsidR="00CD5943" w:rsidRDefault="008B6B90" w:rsidP="00CD5943">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CD5943">
        <w:rPr>
          <w:rFonts w:hint="eastAsia"/>
        </w:rPr>
        <w:t xml:space="preserve"> = </w:t>
      </w:r>
      <w:r w:rsidR="00CD5943">
        <w:t>the return to asset i</w:t>
      </w:r>
    </w:p>
    <w:p w:rsidR="00CD5943" w:rsidRDefault="008B6B90" w:rsidP="00CD5943">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D5943">
        <w:rPr>
          <w:rFonts w:hint="eastAsia"/>
        </w:rPr>
        <w:t xml:space="preserve"> = </w:t>
      </w:r>
      <w:r w:rsidR="00CD5943">
        <w:t>the expected return of asset i</w:t>
      </w:r>
    </w:p>
    <w:p w:rsidR="00CD5943" w:rsidRPr="00CD5943" w:rsidRDefault="008B6B90" w:rsidP="00CD5943">
      <w:pPr>
        <w:rPr>
          <w:lang w:val="en"/>
        </w:rPr>
      </w:pPr>
      <m:oMath>
        <m:sSub>
          <m:sSubPr>
            <m:ctrlPr>
              <w:rPr>
                <w:rFonts w:ascii="Cambria Math" w:hAnsi="Cambria Math"/>
                <w:i/>
              </w:rPr>
            </m:ctrlPr>
          </m:sSubPr>
          <m:e>
            <m:r>
              <w:rPr>
                <w:rFonts w:ascii="Cambria Math" w:hAnsi="Cambria Math"/>
              </w:rPr>
              <m:t>b</m:t>
            </m:r>
          </m:e>
          <m:sub>
            <m:r>
              <w:rPr>
                <w:rFonts w:ascii="Cambria Math" w:hAnsi="Cambria Math"/>
              </w:rPr>
              <m:t>ik</m:t>
            </m:r>
          </m:sub>
        </m:sSub>
      </m:oMath>
      <w:r w:rsidR="00CD5943" w:rsidRPr="00CD5943">
        <w:rPr>
          <w:lang w:val="en"/>
        </w:rPr>
        <w:t xml:space="preserve"> = the sensitivity of the return on asset i to the return to factor k, k = 1, 2, ..., K</w:t>
      </w:r>
    </w:p>
    <w:p w:rsidR="00CD5943" w:rsidRDefault="008B6B90" w:rsidP="00CD5943">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CD5943">
        <w:rPr>
          <w:rFonts w:hint="eastAsia"/>
        </w:rPr>
        <w:t xml:space="preserve"> = </w:t>
      </w:r>
      <w:r w:rsidR="00CD5943">
        <w:t>the return to factor k</w:t>
      </w:r>
    </w:p>
    <w:p w:rsidR="00CD5943" w:rsidRDefault="008B6B90" w:rsidP="00CD5943">
      <m:oMath>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r w:rsidR="00CD5943">
        <w:rPr>
          <w:rFonts w:hint="eastAsia"/>
        </w:rPr>
        <w:t xml:space="preserve"> = the error term</w:t>
      </w:r>
      <w:r w:rsidR="00CD5943">
        <w:t xml:space="preserve"> with zero mean</w:t>
      </w:r>
      <w:r w:rsidR="00CD5943">
        <w:rPr>
          <w:rFonts w:hint="eastAsia"/>
        </w:rPr>
        <w:t xml:space="preserve"> that cann</w:t>
      </w:r>
      <w:r w:rsidR="00CD5943">
        <w:t>ot be explained by the model</w:t>
      </w:r>
    </w:p>
    <w:p w:rsidR="00CD5943" w:rsidRDefault="00CD5943" w:rsidP="00CD5943"/>
    <w:p w:rsidR="00CD5943" w:rsidRDefault="00CD5943" w:rsidP="00CD5943">
      <w:r>
        <w:t>According to APT, if assumptions hold, the following equation holds:</w:t>
      </w:r>
    </w:p>
    <w:p w:rsidR="00CD5943" w:rsidRPr="00CD5943" w:rsidRDefault="008B6B90" w:rsidP="00CD5943">
      <m:oMathPara>
        <m:oMathParaPr>
          <m:jc m:val="left"/>
        </m:oMathParaPr>
        <m:oMath>
          <m:sSub>
            <m:sSubPr>
              <m:ctrlPr>
                <w:rPr>
                  <w:rFonts w:ascii="Cambria Math" w:hAnsi="Cambria Math"/>
                  <w:i/>
                </w:rPr>
              </m:ctrlPr>
            </m:sSubPr>
            <m:e>
              <m:r>
                <w:rPr>
                  <w:rFonts w:ascii="Cambria Math" w:hAnsi="Cambria Math"/>
                </w:rPr>
                <m:t>E(R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1</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p,1</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K</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p,K</m:t>
              </m:r>
            </m:sub>
          </m:sSub>
        </m:oMath>
      </m:oMathPara>
    </w:p>
    <w:p w:rsidR="00CD5943" w:rsidRDefault="00C22DC6" w:rsidP="00CD5943">
      <w:pPr>
        <w:rPr>
          <w:lang w:val="en"/>
        </w:rPr>
      </w:pPr>
      <w:r>
        <w:rPr>
          <w:rFonts w:hint="eastAsia"/>
          <w:lang w:val="en"/>
        </w:rPr>
        <w:t xml:space="preserve">A </w:t>
      </w:r>
      <w:r>
        <w:rPr>
          <w:lang w:val="en"/>
        </w:rPr>
        <w:t>portfolio</w:t>
      </w:r>
      <w:r>
        <w:rPr>
          <w:rFonts w:hint="eastAsia"/>
          <w:lang w:val="en"/>
        </w:rPr>
        <w:t xml:space="preserve"> </w:t>
      </w:r>
      <w:r>
        <w:rPr>
          <w:lang w:val="en"/>
        </w:rPr>
        <w:t xml:space="preserve">with sensitivity of 1 to factor j and 0 to all other factor is called a </w:t>
      </w:r>
      <w:r w:rsidRPr="00E76CB4">
        <w:rPr>
          <w:b/>
          <w:lang w:val="en"/>
        </w:rPr>
        <w:t xml:space="preserve">pure factor portfolio </w:t>
      </w:r>
      <w:r>
        <w:rPr>
          <w:lang w:val="en"/>
        </w:rPr>
        <w:t>for factor j.</w:t>
      </w:r>
    </w:p>
    <w:p w:rsidR="00FA2208" w:rsidRDefault="00FA2208" w:rsidP="00CD5943">
      <w:pPr>
        <w:rPr>
          <w:lang w:val="en"/>
        </w:rPr>
      </w:pPr>
    </w:p>
    <w:p w:rsidR="00FA2208" w:rsidRPr="00FA2208" w:rsidRDefault="00FA2208" w:rsidP="00CC1FC6">
      <w:pPr>
        <w:pStyle w:val="ListParagraph"/>
        <w:numPr>
          <w:ilvl w:val="0"/>
          <w:numId w:val="55"/>
        </w:numPr>
        <w:ind w:firstLineChars="0"/>
        <w:rPr>
          <w:lang w:val="en"/>
        </w:rPr>
      </w:pPr>
      <w:r>
        <w:rPr>
          <w:rFonts w:hint="eastAsia"/>
          <w:lang w:val="en"/>
        </w:rPr>
        <w:t>Mul</w:t>
      </w:r>
      <w:r>
        <w:rPr>
          <w:lang w:val="en"/>
        </w:rPr>
        <w:t>tifactor Models: Types</w:t>
      </w:r>
    </w:p>
    <w:p w:rsidR="00FA2208" w:rsidRPr="00FA2208" w:rsidRDefault="00FA2208" w:rsidP="00CC1FC6">
      <w:pPr>
        <w:pStyle w:val="ListParagraph"/>
        <w:numPr>
          <w:ilvl w:val="1"/>
          <w:numId w:val="55"/>
        </w:numPr>
        <w:ind w:firstLineChars="0"/>
        <w:rPr>
          <w:lang w:val="en"/>
        </w:rPr>
      </w:pPr>
      <w:r w:rsidRPr="00FA2208">
        <w:rPr>
          <w:lang w:val="en"/>
        </w:rPr>
        <w:t>The structure of Macroeconomic Factor Models</w:t>
      </w:r>
    </w:p>
    <w:p w:rsidR="00FA2208" w:rsidRPr="00FA2208" w:rsidRDefault="00FA2208" w:rsidP="00FA2208">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FA2208" w:rsidRDefault="00BD7BAA" w:rsidP="00FA2208">
      <w:r>
        <w:t>F = the surprise in the factor k. For example, a surprise in GDP growth</w:t>
      </w:r>
    </w:p>
    <w:p w:rsidR="00BD7BAA" w:rsidRDefault="00BD7BAA" w:rsidP="00FA2208"/>
    <w:p w:rsidR="00BD7BAA" w:rsidRDefault="00BD7BAA" w:rsidP="00FA2208">
      <w:r>
        <w:rPr>
          <w:rFonts w:hint="eastAsia"/>
        </w:rPr>
        <w:t xml:space="preserve">In </w:t>
      </w:r>
      <w:r>
        <w:t>macroeconomic factor models, the time series of factor surprises are constructed first; Regression analysis is then used to estimate asset’s sensitivities to the factors.</w:t>
      </w:r>
    </w:p>
    <w:p w:rsidR="00D75FD1" w:rsidRDefault="00D75FD1" w:rsidP="00FA2208"/>
    <w:p w:rsidR="00D75FD1" w:rsidRDefault="00D75FD1" w:rsidP="00CC1FC6">
      <w:pPr>
        <w:pStyle w:val="ListParagraph"/>
        <w:numPr>
          <w:ilvl w:val="1"/>
          <w:numId w:val="55"/>
        </w:numPr>
        <w:ind w:firstLineChars="0"/>
      </w:pPr>
      <w:r>
        <w:t>The structure of Fundamental Factor Models</w:t>
      </w:r>
    </w:p>
    <w:p w:rsidR="00D75FD1" w:rsidRPr="00D75FD1" w:rsidRDefault="00D75FD1" w:rsidP="00D75FD1">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D75FD1" w:rsidRDefault="008B6B90" w:rsidP="00D75FD1">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 xml:space="preserve">= </m:t>
        </m:r>
        <m:f>
          <m:fPr>
            <m:ctrlPr>
              <w:rPr>
                <w:rFonts w:ascii="Cambria Math" w:hAnsi="Cambria Math"/>
                <w:i/>
              </w:rPr>
            </m:ctrlPr>
          </m:fPr>
          <m:num>
            <m:r>
              <w:rPr>
                <w:rFonts w:ascii="Cambria Math" w:hAnsi="Cambria Math"/>
              </w:rPr>
              <m:t>Value of attribute k for asset i-Average value of attribute k</m:t>
            </m:r>
          </m:num>
          <m:den>
            <m:r>
              <w:rPr>
                <w:rFonts w:ascii="Cambria Math" w:hAnsi="Cambria Math" w:hint="eastAsia"/>
              </w:rPr>
              <m:t>σ</m:t>
            </m:r>
            <m:r>
              <w:rPr>
                <w:rFonts w:ascii="Cambria Math" w:hAnsi="Cambria Math"/>
              </w:rPr>
              <m:t>(Values of attribute k)</m:t>
            </m:r>
          </m:den>
        </m:f>
      </m:oMath>
      <w:r w:rsidR="007249A8">
        <w:rPr>
          <w:rFonts w:hint="eastAsia"/>
        </w:rPr>
        <w:t xml:space="preserve">, called </w:t>
      </w:r>
      <w:r w:rsidR="007249A8">
        <w:t>standardized beta</w:t>
      </w:r>
    </w:p>
    <w:p w:rsidR="007249A8" w:rsidRDefault="007249A8" w:rsidP="00D75FD1">
      <w:r>
        <w:t>In fundamental factor model, we specify the factor sensitivities (beta) first and then estimate the factor return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through regression.</w:t>
      </w:r>
    </w:p>
    <w:p w:rsidR="007249A8" w:rsidRDefault="007249A8" w:rsidP="00D75FD1"/>
    <w:p w:rsidR="007249A8" w:rsidRDefault="007249A8" w:rsidP="00D75FD1">
      <w:r>
        <w:t>We can place the factors of most fundamental factor models for equity into 3 groups:</w:t>
      </w:r>
    </w:p>
    <w:p w:rsidR="007249A8" w:rsidRPr="007249A8" w:rsidRDefault="007249A8" w:rsidP="007C3137">
      <w:pPr>
        <w:pStyle w:val="ListParagraph"/>
        <w:numPr>
          <w:ilvl w:val="0"/>
          <w:numId w:val="79"/>
        </w:numPr>
        <w:ind w:firstLineChars="0"/>
      </w:pPr>
      <w:r>
        <w:rPr>
          <w:rFonts w:hint="eastAsia"/>
        </w:rPr>
        <w:t xml:space="preserve">Company </w:t>
      </w:r>
      <w:r>
        <w:t>fundamental factors: There are factors relating to company’s performance, including earning growth, earning variability and leverage.</w:t>
      </w:r>
    </w:p>
    <w:p w:rsidR="007249A8" w:rsidRPr="007249A8" w:rsidRDefault="007249A8" w:rsidP="007C3137">
      <w:pPr>
        <w:pStyle w:val="ListParagraph"/>
        <w:numPr>
          <w:ilvl w:val="0"/>
          <w:numId w:val="79"/>
        </w:numPr>
        <w:ind w:firstLineChars="0"/>
      </w:pPr>
      <w:r>
        <w:t>Company share-related factors: These factors directly incorporate investors’ expectation, including earning/dividend yield, book-to-market.</w:t>
      </w:r>
    </w:p>
    <w:p w:rsidR="007249A8" w:rsidRPr="00220CB1" w:rsidRDefault="007249A8" w:rsidP="007C3137">
      <w:pPr>
        <w:pStyle w:val="ListParagraph"/>
        <w:numPr>
          <w:ilvl w:val="0"/>
          <w:numId w:val="79"/>
        </w:numPr>
        <w:ind w:firstLineChars="0"/>
      </w:pPr>
      <w:r>
        <w:t>Macroeconomic factors.</w:t>
      </w:r>
    </w:p>
    <w:p w:rsidR="00220CB1" w:rsidRDefault="00220CB1" w:rsidP="00220CB1"/>
    <w:p w:rsidR="00220CB1" w:rsidRPr="00220CB1" w:rsidRDefault="00220CB1" w:rsidP="00CC1FC6">
      <w:pPr>
        <w:pStyle w:val="ListParagraph"/>
        <w:numPr>
          <w:ilvl w:val="0"/>
          <w:numId w:val="55"/>
        </w:numPr>
        <w:ind w:firstLineChars="0"/>
      </w:pPr>
      <w:r>
        <w:rPr>
          <w:rFonts w:hint="eastAsia"/>
        </w:rPr>
        <w:t xml:space="preserve">Multifactor Models: </w:t>
      </w:r>
      <w:r>
        <w:t>Selected Application</w:t>
      </w:r>
    </w:p>
    <w:p w:rsidR="00220CB1" w:rsidRDefault="00220CB1" w:rsidP="00CC1FC6">
      <w:pPr>
        <w:pStyle w:val="ListParagraph"/>
        <w:numPr>
          <w:ilvl w:val="1"/>
          <w:numId w:val="49"/>
        </w:numPr>
        <w:ind w:firstLineChars="0"/>
      </w:pPr>
      <w:r>
        <w:t>Return attribution</w:t>
      </w:r>
    </w:p>
    <w:p w:rsidR="00220CB1" w:rsidRDefault="00220CB1" w:rsidP="00220CB1">
      <w:r>
        <w:rPr>
          <w:rFonts w:hint="eastAsia"/>
        </w:rPr>
        <w:t xml:space="preserve">Active return </w:t>
      </w:r>
      <w:r w:rsidR="00BB06C1">
        <w:t>=</w:t>
      </w:r>
      <m:oMath>
        <m:sSub>
          <m:sSubPr>
            <m:ctrlPr>
              <w:rPr>
                <w:rFonts w:ascii="Cambria Math" w:hAnsi="Cambria Math"/>
                <w:i/>
              </w:rPr>
            </m:ctrlPr>
          </m:sSubPr>
          <m:e>
            <m:r>
              <w:rPr>
                <w:rFonts w:ascii="Cambria Math" w:hAnsi="Cambria Math"/>
              </w:rPr>
              <m:t>R</m:t>
            </m:r>
          </m:e>
          <m:sub>
            <m:r>
              <w:rPr>
                <w:rFonts w:ascii="Cambria Math" w:hAnsi="Cambria Math"/>
              </w:rPr>
              <m:t>portfolio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benchmark</m:t>
            </m:r>
          </m:sub>
        </m:sSub>
      </m:oMath>
      <w:r w:rsidR="00BB06C1">
        <w:t>, which can be rewritten as</w:t>
      </w:r>
    </w:p>
    <w:p w:rsidR="00BB06C1" w:rsidRPr="000B7AEF" w:rsidRDefault="00133033" w:rsidP="00220CB1">
      <m:oMathPara>
        <m:oMathParaPr>
          <m:jc m:val="left"/>
        </m:oMathParaPr>
        <m:oMath>
          <m:r>
            <w:rPr>
              <w:rFonts w:ascii="Cambria Math" w:hAnsi="Cambria Math"/>
            </w:rPr>
            <w:lastRenderedPageBreak/>
            <m:t xml:space="preserve">Active return=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Portfolio sensitivity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benchmark sensitivity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factor return</m:t>
                  </m:r>
                </m:e>
                <m:sub>
                  <m:r>
                    <w:rPr>
                      <w:rFonts w:ascii="Cambria Math" w:hAnsi="Cambria Math"/>
                    </w:rPr>
                    <m:t>k</m:t>
                  </m:r>
                </m:sub>
              </m:sSub>
              <m:r>
                <w:rPr>
                  <w:rFonts w:ascii="Cambria Math" w:hAnsi="Cambria Math"/>
                </w:rPr>
                <m:t>+Security selection</m:t>
              </m:r>
            </m:e>
          </m:nary>
        </m:oMath>
      </m:oMathPara>
    </w:p>
    <w:p w:rsidR="000B7AEF" w:rsidRPr="000B7AEF" w:rsidRDefault="000B7AEF" w:rsidP="00220CB1"/>
    <w:p w:rsidR="000B7AEF" w:rsidRDefault="000B7AEF" w:rsidP="00CC1FC6">
      <w:pPr>
        <w:pStyle w:val="ListParagraph"/>
        <w:numPr>
          <w:ilvl w:val="1"/>
          <w:numId w:val="49"/>
        </w:numPr>
        <w:ind w:firstLineChars="0"/>
      </w:pPr>
      <w:r>
        <w:t>Risk attribution</w:t>
      </w:r>
    </w:p>
    <w:p w:rsidR="000B7AEF" w:rsidRDefault="000B7AEF" w:rsidP="000B7AEF">
      <w:r>
        <w:rPr>
          <w:rFonts w:hint="eastAsia"/>
        </w:rPr>
        <w:t xml:space="preserve">Active risk can be </w:t>
      </w:r>
      <w:r>
        <w:t>represented by standard deviation of active return, also called tracking error (TE), tracking risk.</w:t>
      </w:r>
    </w:p>
    <w:p w:rsidR="000B7AEF" w:rsidRDefault="000B7AEF" w:rsidP="000B7AEF">
      <w:r>
        <w:t>Information ratio is a tool for evaluating mean active return per unit of active risk.</w:t>
      </w:r>
    </w:p>
    <w:p w:rsidR="00884E4F" w:rsidRDefault="00884E4F" w:rsidP="000B7AEF"/>
    <w:p w:rsidR="00884E4F" w:rsidRDefault="00884E4F" w:rsidP="000B7AEF">
      <w:r>
        <w:t>In analyzing risk, it’s more convenient to use variances rather than standard deviation because variances of uncorrelated variables are additive.</w:t>
      </w:r>
    </w:p>
    <w:p w:rsidR="00884E4F" w:rsidRPr="00D052DF" w:rsidRDefault="00884E4F" w:rsidP="000B7AEF">
      <w:pPr>
        <w:rPr>
          <w:b/>
        </w:rPr>
      </w:pPr>
      <w:r w:rsidRPr="00D052DF">
        <w:rPr>
          <w:b/>
        </w:rPr>
        <w:t>Active risk squared = active factor risk squared + active specific risk squared</w:t>
      </w:r>
    </w:p>
    <w:p w:rsidR="00884E4F" w:rsidRDefault="00884E4F" w:rsidP="000B7AEF">
      <w:r>
        <w:t>Active factor risk results from different-from-benchmark exposure relative to factors in the model.</w:t>
      </w:r>
    </w:p>
    <w:p w:rsidR="00884E4F" w:rsidRDefault="00884E4F" w:rsidP="000B7AEF">
      <w:r>
        <w:t>Active specific risk or security selection risk measures the residual risk</w:t>
      </w:r>
    </w:p>
    <w:p w:rsidR="00884E4F" w:rsidRDefault="00884E4F" w:rsidP="000B7AEF">
      <w:r>
        <w:t xml:space="preserve">Active specific risk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a</m:t>
                    </m:r>
                  </m:sup>
                </m:sSubSup>
                <m:r>
                  <w:rPr>
                    <w:rFonts w:ascii="Cambria Math" w:hAnsi="Cambria Math"/>
                  </w:rPr>
                  <m:t>)</m:t>
                </m:r>
              </m:e>
              <m:sup>
                <m:r>
                  <w:rPr>
                    <w:rFonts w:ascii="Cambria Math" w:hAnsi="Cambria Math"/>
                  </w:rPr>
                  <m:t>2</m:t>
                </m:r>
              </m:sup>
            </m:sSup>
          </m:e>
        </m:nary>
        <m:sSubSup>
          <m:sSubSupPr>
            <m:ctrlPr>
              <w:rPr>
                <w:rFonts w:ascii="Cambria Math" w:hAnsi="Cambria Math"/>
                <w:i/>
              </w:rPr>
            </m:ctrlPr>
          </m:sSubSupPr>
          <m:e>
            <m:r>
              <m:rPr>
                <m:sty m:val="p"/>
              </m:rPr>
              <w:rPr>
                <w:rFonts w:ascii="Cambria Math" w:hAnsi="Cambria Math" w:hint="eastAsia"/>
              </w:rPr>
              <m:t>σ</m:t>
            </m:r>
          </m:e>
          <m:sub>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sub>
          <m:sup>
            <m:r>
              <w:rPr>
                <w:rFonts w:ascii="Cambria Math" w:hAnsi="Cambria Math"/>
              </w:rPr>
              <m:t>2</m:t>
            </m:r>
          </m:sup>
        </m:sSubSup>
      </m:oMath>
    </w:p>
    <w:p w:rsidR="00E76CB4" w:rsidRDefault="00E76CB4" w:rsidP="000B7AEF"/>
    <w:p w:rsidR="00287645" w:rsidRDefault="00287645" w:rsidP="002F23A1">
      <w:pPr>
        <w:pStyle w:val="Level2"/>
      </w:pPr>
      <w:r>
        <w:t>Analysis of Active Portfolio Management</w:t>
      </w:r>
    </w:p>
    <w:p w:rsidR="00287645" w:rsidRDefault="00287645" w:rsidP="007C3137">
      <w:pPr>
        <w:pStyle w:val="Level3"/>
        <w:numPr>
          <w:ilvl w:val="0"/>
          <w:numId w:val="80"/>
        </w:numPr>
        <w:spacing w:after="156"/>
      </w:pPr>
      <w:r>
        <w:rPr>
          <w:rFonts w:hint="eastAsia"/>
        </w:rPr>
        <w:t xml:space="preserve">Active </w:t>
      </w:r>
      <w:r>
        <w:t>Management and Value Added</w:t>
      </w:r>
    </w:p>
    <w:p w:rsidR="00287645" w:rsidRDefault="00287645" w:rsidP="007C3137">
      <w:pPr>
        <w:pStyle w:val="ListParagraph"/>
        <w:numPr>
          <w:ilvl w:val="1"/>
          <w:numId w:val="80"/>
        </w:numPr>
        <w:ind w:firstLineChars="0"/>
      </w:pPr>
      <w:r>
        <w:rPr>
          <w:rFonts w:hint="eastAsia"/>
        </w:rPr>
        <w:t xml:space="preserve">Measuring Value </w:t>
      </w:r>
      <w:r>
        <w:t>Added</w:t>
      </w:r>
    </w:p>
    <w:p w:rsidR="00287645" w:rsidRPr="00287645" w:rsidRDefault="008B6B90" w:rsidP="00287645">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Ai</m:t>
                </m:r>
              </m:sub>
            </m:sSub>
          </m:e>
        </m:nary>
      </m:oMath>
      <w:r w:rsidR="00DD2901">
        <w:rPr>
          <w:rFonts w:hint="eastAsia"/>
        </w:rPr>
        <w:t xml:space="preserve"> (</w:t>
      </w:r>
      <m:oMath>
        <m:r>
          <w:rPr>
            <w:rFonts w:ascii="Cambria Math" w:hAnsi="Cambria Math"/>
          </w:rPr>
          <m:t>note that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e>
        </m:nary>
        <m:r>
          <w:rPr>
            <w:rFonts w:ascii="Cambria Math" w:hAnsi="Cambria Math"/>
          </w:rPr>
          <m:t>=0</m:t>
        </m:r>
      </m:oMath>
      <w:r w:rsidR="00812756">
        <w:rPr>
          <w:rFonts w:hint="eastAsia"/>
        </w:rPr>
        <w:t>)</w:t>
      </w:r>
    </w:p>
    <w:p w:rsidR="00287645" w:rsidRPr="00E76CB4" w:rsidRDefault="008B6B90" w:rsidP="00287645">
      <w:pPr>
        <w:rPr>
          <w:b/>
        </w:rPr>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Ai</m:t>
            </m:r>
          </m:sub>
        </m:sSub>
      </m:oMath>
      <w:r w:rsidR="00287645" w:rsidRPr="00E76CB4">
        <w:rPr>
          <w:rFonts w:hint="eastAsia"/>
          <w:b/>
        </w:rPr>
        <w:t xml:space="preserve"> =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m:t>
            </m:r>
          </m:sub>
        </m:sSub>
      </m:oMath>
    </w:p>
    <w:p w:rsidR="00812756" w:rsidRDefault="00812756" w:rsidP="00287645"/>
    <w:p w:rsidR="00812756" w:rsidRDefault="00812756" w:rsidP="007C3137">
      <w:pPr>
        <w:pStyle w:val="ListParagraph"/>
        <w:numPr>
          <w:ilvl w:val="1"/>
          <w:numId w:val="80"/>
        </w:numPr>
        <w:ind w:firstLineChars="0"/>
      </w:pPr>
      <w:r>
        <w:t>Decomposition of Value Added</w:t>
      </w:r>
    </w:p>
    <w:p w:rsidR="00812756" w:rsidRDefault="00063085" w:rsidP="00812756">
      <w:r>
        <w:rPr>
          <w:rFonts w:hint="eastAsia"/>
        </w:rPr>
        <w:t>In contrast to previous</w:t>
      </w:r>
      <w:r>
        <w:t xml:space="preserve"> example, performance attribution systems often attempt to decompose the value added into multiple sources.</w:t>
      </w:r>
    </w:p>
    <w:p w:rsidR="00063085" w:rsidRPr="00A808C7" w:rsidRDefault="008B6B90" w:rsidP="00812756">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P,j</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B,j</m:t>
                  </m:r>
                </m:sub>
              </m:sSub>
              <m:sSub>
                <m:sSubPr>
                  <m:ctrlPr>
                    <w:rPr>
                      <w:rFonts w:ascii="Cambria Math" w:hAnsi="Cambria Math"/>
                      <w:i/>
                    </w:rPr>
                  </m:ctrlPr>
                </m:sSubPr>
                <m:e>
                  <m:r>
                    <w:rPr>
                      <w:rFonts w:ascii="Cambria Math" w:hAnsi="Cambria Math"/>
                    </w:rPr>
                    <m:t>R</m:t>
                  </m:r>
                </m:e>
                <m:sub>
                  <m:r>
                    <w:rPr>
                      <w:rFonts w:ascii="Cambria Math" w:hAnsi="Cambria Math"/>
                    </w:rPr>
                    <m:t>B,j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B,j</m:t>
                  </m:r>
                </m:sub>
              </m:sSub>
              <m:d>
                <m:dPr>
                  <m:ctrlPr>
                    <w:rPr>
                      <w:rFonts w:ascii="Cambria Math" w:hAnsi="Cambria Math"/>
                      <w:i/>
                    </w:rPr>
                  </m:ctrlPr>
                </m:dPr>
                <m:e>
                  <m:r>
                    <w:rPr>
                      <w:rFonts w:ascii="Cambria Math" w:hAnsi="Cambria Math"/>
                    </w:rPr>
                    <m:t>Asset allocation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A,j</m:t>
                      </m:r>
                    </m:sub>
                  </m:sSub>
                </m:e>
              </m:nary>
              <m:d>
                <m:dPr>
                  <m:ctrlPr>
                    <w:rPr>
                      <w:rFonts w:ascii="Cambria Math" w:hAnsi="Cambria Math"/>
                      <w:i/>
                    </w:rPr>
                  </m:ctrlPr>
                </m:dPr>
                <m:e>
                  <m:r>
                    <w:rPr>
                      <w:rFonts w:ascii="Cambria Math" w:hAnsi="Cambria Math"/>
                    </w:rPr>
                    <m:t>Security selection</m:t>
                  </m:r>
                </m:e>
              </m:d>
            </m:e>
          </m:nary>
        </m:oMath>
      </m:oMathPara>
    </w:p>
    <w:p w:rsidR="00A808C7" w:rsidRPr="00E76CB4" w:rsidRDefault="008B6B90" w:rsidP="00812756">
      <w:pPr>
        <w:rPr>
          <w:b/>
        </w:rPr>
      </w:pPr>
      <m:oMathPara>
        <m:oMathParaPr>
          <m:jc m:val="left"/>
        </m:oMathPara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A,j</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B,j</m:t>
              </m:r>
            </m:sub>
          </m:sSub>
        </m:oMath>
      </m:oMathPara>
    </w:p>
    <w:p w:rsidR="00E427A7" w:rsidRDefault="00E427A7" w:rsidP="00812756"/>
    <w:p w:rsidR="00FB50C9" w:rsidRPr="00FB50C9" w:rsidRDefault="00FB50C9" w:rsidP="007C3137">
      <w:pPr>
        <w:pStyle w:val="ListParagraph"/>
        <w:numPr>
          <w:ilvl w:val="0"/>
          <w:numId w:val="80"/>
        </w:numPr>
        <w:ind w:firstLineChars="0"/>
      </w:pPr>
      <w:r>
        <w:rPr>
          <w:rFonts w:hint="eastAsia"/>
        </w:rPr>
        <w:t>Comparing Risk</w:t>
      </w:r>
      <w:r>
        <w:t xml:space="preserve"> and Return</w:t>
      </w:r>
    </w:p>
    <w:p w:rsidR="00FB50C9" w:rsidRDefault="00FB50C9" w:rsidP="00FB50C9">
      <w:pPr>
        <w:pStyle w:val="ListParagraph"/>
        <w:numPr>
          <w:ilvl w:val="1"/>
          <w:numId w:val="52"/>
        </w:numPr>
        <w:ind w:firstLineChars="0"/>
      </w:pPr>
      <w:r>
        <w:rPr>
          <w:rFonts w:hint="eastAsia"/>
        </w:rPr>
        <w:t>The Sharpe Ratio</w:t>
      </w:r>
    </w:p>
    <w:p w:rsidR="00FB50C9" w:rsidRPr="00FB50C9" w:rsidRDefault="00FB50C9" w:rsidP="00FB50C9">
      <w:pPr>
        <w:pStyle w:val="ListParagraph"/>
        <w:numPr>
          <w:ilvl w:val="1"/>
          <w:numId w:val="52"/>
        </w:numPr>
        <w:ind w:firstLineChars="0"/>
      </w:pPr>
      <w:r>
        <w:rPr>
          <w:rFonts w:hint="eastAsia"/>
        </w:rPr>
        <w:t>The Information Ratio</w:t>
      </w:r>
    </w:p>
    <w:p w:rsidR="00FB50C9" w:rsidRDefault="00FB50C9" w:rsidP="00FB50C9">
      <w:r>
        <w:rPr>
          <w:rFonts w:hint="eastAsia"/>
        </w:rPr>
        <w:t>Using cash or leverage doesn</w:t>
      </w:r>
      <w:r>
        <w:t>’t not affect Sharpe ratio but will affect information ratio.</w:t>
      </w:r>
    </w:p>
    <w:p w:rsidR="00FB50C9" w:rsidRDefault="00FB50C9" w:rsidP="00FB50C9">
      <w:r>
        <w:t>Aggressiveness of active weights doesn’t not affect information ratio but will affect sharp ratio.</w:t>
      </w:r>
    </w:p>
    <w:p w:rsidR="007A14C1" w:rsidRDefault="007A14C1" w:rsidP="00FB50C9"/>
    <w:p w:rsidR="007A14C1" w:rsidRDefault="007A14C1" w:rsidP="007A14C1">
      <w:pPr>
        <w:pStyle w:val="ListParagraph"/>
        <w:numPr>
          <w:ilvl w:val="1"/>
          <w:numId w:val="52"/>
        </w:numPr>
        <w:ind w:firstLineChars="0"/>
      </w:pPr>
      <w:r>
        <w:t>Constructing Optimal Portfolios</w:t>
      </w:r>
    </w:p>
    <w:p w:rsidR="007A14C1" w:rsidRDefault="007A14C1" w:rsidP="007A14C1">
      <w:r>
        <w:rPr>
          <w:rFonts w:hint="eastAsia"/>
        </w:rPr>
        <w:t xml:space="preserve">Given an actively management portfolio with information ratio IR and active risk of </w:t>
      </w:r>
      <w:r>
        <w:t>STD(R</w:t>
      </w:r>
      <w:r w:rsidRPr="007A14C1">
        <w:rPr>
          <w:vertAlign w:val="subscript"/>
        </w:rPr>
        <w:t>Aorignal</w:t>
      </w:r>
      <w:r>
        <w:t>),</w:t>
      </w:r>
      <w:r w:rsidR="009F3D8C">
        <w:t xml:space="preserve"> </w:t>
      </w:r>
      <w:r>
        <w:rPr>
          <w:rFonts w:hint="eastAsia"/>
        </w:rPr>
        <w:lastRenderedPageBreak/>
        <w:t>the maximum sharp ratio</w:t>
      </w:r>
      <w:r>
        <w:t xml:space="preserve"> of the portfolio should be:</w:t>
      </w:r>
    </w:p>
    <w:p w:rsidR="007A14C1" w:rsidRPr="007A14C1" w:rsidRDefault="008B6B90" w:rsidP="007A14C1">
      <m:oMathPara>
        <m:oMathParaPr>
          <m:jc m:val="left"/>
        </m:oMathParaPr>
        <m:oMath>
          <m:sSubSup>
            <m:sSubSupPr>
              <m:ctrlPr>
                <w:rPr>
                  <w:rFonts w:ascii="Cambria Math" w:hAnsi="Cambria Math"/>
                  <w:i/>
                </w:rPr>
              </m:ctrlPr>
            </m:sSubSupPr>
            <m:e>
              <m:r>
                <w:rPr>
                  <w:rFonts w:ascii="Cambria Math" w:hAnsi="Cambria Math"/>
                </w:rPr>
                <m:t>SR</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SR</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IR</m:t>
              </m:r>
            </m:e>
            <m:sup>
              <m:r>
                <w:rPr>
                  <w:rFonts w:ascii="Cambria Math" w:hAnsi="Cambria Math"/>
                </w:rPr>
                <m:t>2</m:t>
              </m:r>
            </m:sup>
          </m:sSup>
        </m:oMath>
      </m:oMathPara>
    </w:p>
    <w:p w:rsidR="007A14C1" w:rsidRDefault="007A14C1" w:rsidP="007A14C1">
      <w:r>
        <w:rPr>
          <w:rFonts w:hint="eastAsia"/>
        </w:rPr>
        <w:t xml:space="preserve">For </w:t>
      </w:r>
      <w:r>
        <w:t>unconstrained portfolios, the level of active risk that leads to optimal result is</w:t>
      </w:r>
    </w:p>
    <w:p w:rsidR="007A14C1" w:rsidRPr="00B004B4" w:rsidRDefault="007A14C1" w:rsidP="007A14C1">
      <w:pPr>
        <w:rPr>
          <w:b/>
        </w:rPr>
      </w:pPr>
      <w:r w:rsidRPr="00B004B4">
        <w:rPr>
          <w:b/>
        </w:rPr>
        <w:t>STD(R</w:t>
      </w:r>
      <w:r w:rsidRPr="00B004B4">
        <w:rPr>
          <w:b/>
          <w:vertAlign w:val="subscript"/>
        </w:rPr>
        <w:t>Aoptimal</w:t>
      </w:r>
      <w:r w:rsidRPr="00B004B4">
        <w:rPr>
          <w:b/>
        </w:rPr>
        <w:t>) = IR * STD(R</w:t>
      </w:r>
      <w:r w:rsidRPr="00B004B4">
        <w:rPr>
          <w:b/>
          <w:vertAlign w:val="subscript"/>
        </w:rPr>
        <w:t>B</w:t>
      </w:r>
      <w:r w:rsidRPr="00B004B4">
        <w:rPr>
          <w:b/>
        </w:rPr>
        <w:t>) / SR</w:t>
      </w:r>
      <w:r w:rsidRPr="00B004B4">
        <w:rPr>
          <w:b/>
          <w:vertAlign w:val="subscript"/>
        </w:rPr>
        <w:t>B</w:t>
      </w:r>
    </w:p>
    <w:p w:rsidR="007A14C1" w:rsidRDefault="00115DC3" w:rsidP="007A14C1">
      <w:r>
        <w:rPr>
          <w:rFonts w:hint="eastAsia"/>
        </w:rPr>
        <w:t>And the risk of the new portfolio is:</w:t>
      </w:r>
    </w:p>
    <w:p w:rsidR="00115DC3" w:rsidRPr="004D2FFF" w:rsidRDefault="008B6B90" w:rsidP="007A14C1">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D2FFF" w:rsidRDefault="004D2FFF" w:rsidP="007A14C1"/>
    <w:p w:rsidR="007936C4" w:rsidRPr="007936C4" w:rsidRDefault="007936C4" w:rsidP="007936C4">
      <w:pPr>
        <w:pStyle w:val="ListParagraph"/>
        <w:numPr>
          <w:ilvl w:val="0"/>
          <w:numId w:val="52"/>
        </w:numPr>
        <w:ind w:firstLineChars="0"/>
      </w:pPr>
      <w:r>
        <w:rPr>
          <w:rFonts w:hint="eastAsia"/>
        </w:rPr>
        <w:t xml:space="preserve">The </w:t>
      </w:r>
      <w:r>
        <w:t>Fundamental Law of Active Management</w:t>
      </w:r>
    </w:p>
    <w:p w:rsidR="007936C4" w:rsidRDefault="007936C4" w:rsidP="007936C4">
      <w:pPr>
        <w:pStyle w:val="ListParagraph"/>
        <w:numPr>
          <w:ilvl w:val="1"/>
          <w:numId w:val="52"/>
        </w:numPr>
        <w:ind w:firstLineChars="0"/>
      </w:pPr>
      <w:r>
        <w:t>Active Security Returns</w:t>
      </w:r>
    </w:p>
    <w:p w:rsidR="002C230A" w:rsidRDefault="002C230A" w:rsidP="007936C4">
      <w:pPr>
        <w:pStyle w:val="ListParagraph"/>
        <w:numPr>
          <w:ilvl w:val="1"/>
          <w:numId w:val="52"/>
        </w:numPr>
        <w:ind w:firstLineChars="0"/>
      </w:pPr>
      <w:r>
        <w:t>The Basic Fundamental Law</w:t>
      </w:r>
    </w:p>
    <w:p w:rsidR="002C230A" w:rsidRDefault="002C230A" w:rsidP="007936C4">
      <w:pPr>
        <w:pStyle w:val="ListParagraph"/>
        <w:numPr>
          <w:ilvl w:val="1"/>
          <w:numId w:val="52"/>
        </w:numPr>
        <w:ind w:firstLineChars="0"/>
      </w:pPr>
      <w:r>
        <w:t>The Full Fundamental Law</w:t>
      </w:r>
    </w:p>
    <w:p w:rsidR="002C230A" w:rsidRDefault="002C230A" w:rsidP="002C230A">
      <w:pPr>
        <w:pStyle w:val="ListParagraph"/>
        <w:ind w:left="360" w:firstLineChars="0" w:firstLine="0"/>
      </w:pPr>
    </w:p>
    <w:p w:rsidR="00D16157" w:rsidRDefault="008B6B90" w:rsidP="00D16157">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(Active Return)</m:t>
        </m:r>
      </m:oMath>
      <w:r w:rsidR="00D16157">
        <w:rPr>
          <w:rFonts w:hint="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p>
    <w:p w:rsidR="007936C4" w:rsidRDefault="008B6B90" w:rsidP="007936C4">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D16157">
        <w:rPr>
          <w:rFonts w:hint="eastAsia"/>
        </w:rPr>
        <w:t xml:space="preserve"> can be </w:t>
      </w:r>
      <w:r w:rsidR="00D16157">
        <w:t xml:space="preserve">thought of as the security’s expected active return, </w:t>
      </w:r>
      <m:oMath>
        <m:sSub>
          <m:sSubPr>
            <m:ctrlPr>
              <w:rPr>
                <w:rFonts w:ascii="Cambria Math" w:hAnsi="Cambria Math"/>
                <w:i/>
              </w:rPr>
            </m:ctrlPr>
          </m:sSubPr>
          <m:e>
            <m:r>
              <w:rPr>
                <w:rFonts w:ascii="Cambria Math" w:hAnsi="Cambria Math"/>
              </w:rPr>
              <m:t>E(R</m:t>
            </m:r>
          </m:e>
          <m:sub>
            <m:r>
              <w:rPr>
                <w:rFonts w:ascii="Cambria Math" w:hAnsi="Cambria Math"/>
              </w:rPr>
              <m:t>Ai</m:t>
            </m:r>
          </m:sub>
        </m:sSub>
        <m:r>
          <w:rPr>
            <w:rFonts w:ascii="Cambria Math" w:hAnsi="Cambria Math"/>
          </w:rPr>
          <m:t>)</m:t>
        </m:r>
      </m:oMath>
    </w:p>
    <w:p w:rsidR="00D16157" w:rsidRDefault="00D16157" w:rsidP="007936C4">
      <w:r>
        <w:rPr>
          <w:rFonts w:hint="eastAsia"/>
        </w:rPr>
        <w:t xml:space="preserve">This is simple </w:t>
      </w:r>
      <w:r>
        <w:t>definition of active return and there’re several possible choices depends on the risk model. The individual security active return can also be defined as residual return in a multifactor model:</w:t>
      </w:r>
    </w:p>
    <w:p w:rsidR="00D16157" w:rsidRPr="00C37B67" w:rsidRDefault="008B6B90" w:rsidP="007936C4">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(Alpha return)=</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j,i</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oMath>
      </m:oMathPara>
    </w:p>
    <w:p w:rsidR="00C37B67" w:rsidRDefault="004C20EA" w:rsidP="007936C4">
      <w:r>
        <w:rPr>
          <w:rFonts w:hint="eastAsia"/>
        </w:rPr>
        <w:t xml:space="preserve">The </w:t>
      </w:r>
      <w:r>
        <w:t xml:space="preserve">following </w:t>
      </w:r>
      <w:r>
        <w:rPr>
          <w:rFonts w:hint="eastAsia"/>
        </w:rPr>
        <w:t>diagram</w:t>
      </w:r>
      <w:r>
        <w:t xml:space="preserve"> provides a conceptual diagram in which to think about the various parameters in the fundamental law of active management.</w:t>
      </w:r>
    </w:p>
    <w:p w:rsidR="004C20EA" w:rsidRDefault="004C20EA" w:rsidP="007936C4">
      <w:r>
        <w:rPr>
          <w:noProof/>
        </w:rPr>
        <w:drawing>
          <wp:inline distT="0" distB="0" distL="0" distR="0" wp14:anchorId="6977D1E0" wp14:editId="08EC7347">
            <wp:extent cx="5274310" cy="3265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265805"/>
                    </a:xfrm>
                    <a:prstGeom prst="rect">
                      <a:avLst/>
                    </a:prstGeom>
                  </pic:spPr>
                </pic:pic>
              </a:graphicData>
            </a:graphic>
          </wp:inline>
        </w:drawing>
      </w:r>
    </w:p>
    <w:p w:rsidR="004C20EA" w:rsidRPr="004C20EA" w:rsidRDefault="004C20EA" w:rsidP="007C3137">
      <w:pPr>
        <w:pStyle w:val="ListParagraph"/>
        <w:numPr>
          <w:ilvl w:val="0"/>
          <w:numId w:val="81"/>
        </w:numPr>
        <w:ind w:firstLineChars="0"/>
      </w:pPr>
      <w:r>
        <w:rPr>
          <w:rFonts w:hint="eastAsia"/>
        </w:rPr>
        <w:t xml:space="preserve">IC, information coefficient, reflects </w:t>
      </w:r>
      <w:r>
        <w:t>the ability to forecast returns.</w:t>
      </w:r>
    </w:p>
    <w:p w:rsidR="004C20EA" w:rsidRDefault="004C20EA" w:rsidP="004C20EA">
      <w:pPr>
        <w:pStyle w:val="ListParagraph"/>
        <w:ind w:left="420" w:firstLineChars="0" w:firstLine="0"/>
      </w:pPr>
      <w:r>
        <w:t xml:space="preserve">IC = </w:t>
      </w:r>
      <m:oMath>
        <m:r>
          <w:rPr>
            <w:rFonts w:ascii="Cambria Math" w:hAnsi="Cambria Math"/>
          </w:rPr>
          <m:t>COR(</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oMath>
    </w:p>
    <w:p w:rsidR="00E85B5B" w:rsidRDefault="00E85B5B" w:rsidP="004C20EA">
      <w:pPr>
        <w:pStyle w:val="ListParagraph"/>
        <w:ind w:left="420" w:firstLineChars="0" w:firstLine="0"/>
      </w:pPr>
      <w:r>
        <w:t>The ex-ante IC should be greater than 0; otherwise, investor would just invest in the passive benchmark. However, the ex post or realized IC ranges from -1 to 1.</w:t>
      </w:r>
    </w:p>
    <w:p w:rsidR="00E85B5B" w:rsidRPr="00E85B5B" w:rsidRDefault="00BE7D70" w:rsidP="007C3137">
      <w:pPr>
        <w:pStyle w:val="ListParagraph"/>
        <w:numPr>
          <w:ilvl w:val="0"/>
          <w:numId w:val="81"/>
        </w:numPr>
        <w:ind w:firstLineChars="0"/>
      </w:pPr>
      <w:r>
        <w:rPr>
          <w:rFonts w:hint="eastAsia"/>
        </w:rPr>
        <w:lastRenderedPageBreak/>
        <w:t xml:space="preserve">According to </w:t>
      </w:r>
      <w:r>
        <w:t xml:space="preserve">Grinold rule, </w:t>
      </w:r>
    </w:p>
    <w:p w:rsidR="002C230A" w:rsidRPr="00BE7D70" w:rsidRDefault="008B6B90" w:rsidP="00E85B5B">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BE7D70">
        <w:rPr>
          <w:rFonts w:hint="eastAsia"/>
        </w:rPr>
        <w:t xml:space="preserve"> can be scaled to</w:t>
      </w:r>
      <w:r w:rsidR="00BE7D70">
        <w:t>:</w:t>
      </w:r>
    </w:p>
    <w:p w:rsidR="00BE7D70" w:rsidRDefault="008B6B90" w:rsidP="00BE7D70">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=IC</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w:r w:rsidR="009F0530">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oMath>
    </w:p>
    <w:p w:rsidR="00E85B5B" w:rsidRDefault="00E85B5B" w:rsidP="00BE7D70">
      <w:pPr>
        <w:pStyle w:val="ListParagraph"/>
        <w:ind w:left="420" w:firstLineChars="0" w:firstLine="0"/>
      </w:pPr>
      <w:r>
        <w:t>O</w:t>
      </w:r>
      <w:r>
        <w:rPr>
          <w:rFonts w:hint="eastAsia"/>
        </w:rPr>
        <w:t xml:space="preserve">ptimal </w:t>
      </w:r>
      <w:r>
        <w:t>active weights are:</w:t>
      </w:r>
    </w:p>
    <w:p w:rsidR="00E85B5B" w:rsidRPr="00CE0484" w:rsidRDefault="008B6B90" w:rsidP="00BE7D70">
      <w:pPr>
        <w:pStyle w:val="ListParagraph"/>
        <w:ind w:left="420" w:firstLineChars="0" w:firstLine="0"/>
      </w:pPr>
      <m:oMathPara>
        <m:oMathParaPr>
          <m:jc m:val="left"/>
        </m:oMathParaPr>
        <m:oMath>
          <m:sSubSup>
            <m:sSubSupPr>
              <m:ctrlPr>
                <w:rPr>
                  <w:rFonts w:ascii="Cambria Math" w:hAnsi="Cambria Math"/>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hint="eastAsia"/>
                    </w:rPr>
                    <m:t>μ</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r>
                <w:rPr>
                  <w:rFonts w:ascii="Cambria Math" w:hAnsi="Cambria Math"/>
                </w:rPr>
                <m:t>IC</m:t>
              </m:r>
              <m:rad>
                <m:radPr>
                  <m:degHide m:val="1"/>
                  <m:ctrlPr>
                    <w:rPr>
                      <w:rFonts w:ascii="Cambria Math" w:hAnsi="Cambria Math"/>
                      <w:i/>
                    </w:rPr>
                  </m:ctrlPr>
                </m:radPr>
                <m:deg/>
                <m:e>
                  <m:r>
                    <w:rPr>
                      <w:rFonts w:ascii="Cambria Math" w:hAnsi="Cambria Math"/>
                    </w:rPr>
                    <m:t>BR</m:t>
                  </m:r>
                </m:e>
              </m:rad>
            </m:den>
          </m:f>
        </m:oMath>
      </m:oMathPara>
    </w:p>
    <w:p w:rsidR="00CE0484" w:rsidRPr="004C20EA" w:rsidRDefault="00CE0484" w:rsidP="00CE0484">
      <w:pPr>
        <w:pStyle w:val="ListParagraph"/>
        <w:ind w:left="420" w:firstLineChars="0" w:firstLine="0"/>
      </w:pPr>
      <w:r>
        <w:rPr>
          <w:rFonts w:hint="eastAsia"/>
        </w:rPr>
        <w:t xml:space="preserve">* </w:t>
      </w:r>
      <w:r>
        <w:t>means we are constructing optimal portfolio</w:t>
      </w:r>
      <w:r w:rsidR="00DD763D">
        <w:t xml:space="preserve"> </w:t>
      </w:r>
      <w:r w:rsidR="00DD763D" w:rsidRPr="000C5EE0">
        <w:rPr>
          <w:b/>
        </w:rPr>
        <w:t>without constraints</w:t>
      </w:r>
      <w:r>
        <w:t>.</w:t>
      </w:r>
    </w:p>
    <w:p w:rsidR="00A32184" w:rsidRPr="00A32184" w:rsidRDefault="00A32184" w:rsidP="007C3137">
      <w:pPr>
        <w:pStyle w:val="ListParagraph"/>
        <w:numPr>
          <w:ilvl w:val="0"/>
          <w:numId w:val="81"/>
        </w:numPr>
        <w:ind w:firstLineChars="0"/>
      </w:pPr>
      <w:r>
        <w:rPr>
          <w:rFonts w:hint="eastAsia"/>
        </w:rPr>
        <w:t xml:space="preserve">BR is the number of </w:t>
      </w:r>
      <w:r>
        <w:t>independent decisions made by investors per year to construct the portfolio. The simplest cast for calculating BR is the number of securities.</w:t>
      </w:r>
    </w:p>
    <w:p w:rsidR="00A32184" w:rsidRPr="00E85B5B" w:rsidRDefault="00A32184" w:rsidP="00A32184">
      <w:pPr>
        <w:pStyle w:val="ListParagraph"/>
        <w:ind w:left="420" w:firstLineChars="0" w:firstLine="0"/>
      </w:pPr>
      <w:r>
        <w:t>If you make more decisions in one year, BR is larger;</w:t>
      </w:r>
      <w:r w:rsidR="00BD3304">
        <w:t xml:space="preserve"> if you make less decisions, for example, the industries are correlated, BR is smaller.</w:t>
      </w:r>
    </w:p>
    <w:p w:rsidR="00E85B5B" w:rsidRPr="00E85B5B" w:rsidRDefault="00E85B5B" w:rsidP="007C3137">
      <w:pPr>
        <w:pStyle w:val="ListParagraph"/>
        <w:numPr>
          <w:ilvl w:val="0"/>
          <w:numId w:val="81"/>
        </w:numPr>
        <w:ind w:firstLineChars="0"/>
      </w:pPr>
      <w:r>
        <w:rPr>
          <w:rFonts w:hint="eastAsia"/>
        </w:rPr>
        <w:t xml:space="preserve">The Basic </w:t>
      </w:r>
      <w:r w:rsidR="000C5EE0">
        <w:t>F</w:t>
      </w:r>
      <w:r>
        <w:rPr>
          <w:rFonts w:hint="eastAsia"/>
        </w:rPr>
        <w:t>undamental Law:</w:t>
      </w:r>
    </w:p>
    <w:p w:rsidR="00E85B5B" w:rsidRPr="001E280F" w:rsidRDefault="008B6B90"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e>
            <m:sup>
              <m:r>
                <w:rPr>
                  <w:rFonts w:ascii="Cambria Math" w:hAnsi="Cambria Math"/>
                </w:rPr>
                <m:t>*</m:t>
              </m:r>
            </m:sup>
          </m:sSup>
          <m:r>
            <w:rPr>
              <w:rFonts w:ascii="Cambria Math" w:hAnsi="Cambria Math"/>
            </w:rPr>
            <m:t>=IC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1E280F" w:rsidRPr="0039620B" w:rsidRDefault="008B6B90"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IR</m:t>
              </m:r>
            </m:e>
            <m:sup>
              <m:r>
                <w:rPr>
                  <w:rFonts w:ascii="Cambria Math" w:hAnsi="Cambria Math"/>
                </w:rPr>
                <m:t>*</m:t>
              </m:r>
            </m:sup>
          </m:sSup>
          <m:r>
            <w:rPr>
              <w:rFonts w:ascii="Cambria Math" w:hAnsi="Cambria Math"/>
            </w:rPr>
            <m:t>= IC</m:t>
          </m:r>
          <m:rad>
            <m:radPr>
              <m:degHide m:val="1"/>
              <m:ctrlPr>
                <w:rPr>
                  <w:rFonts w:ascii="Cambria Math" w:hAnsi="Cambria Math"/>
                  <w:i/>
                </w:rPr>
              </m:ctrlPr>
            </m:radPr>
            <m:deg/>
            <m:e>
              <m:r>
                <w:rPr>
                  <w:rFonts w:ascii="Cambria Math" w:hAnsi="Cambria Math"/>
                </w:rPr>
                <m:t>BR</m:t>
              </m:r>
            </m:e>
          </m:rad>
        </m:oMath>
      </m:oMathPara>
    </w:p>
    <w:p w:rsidR="0039620B" w:rsidRDefault="0039620B" w:rsidP="00E85B5B">
      <w:pPr>
        <w:pStyle w:val="ListParagraph"/>
        <w:ind w:left="420" w:firstLineChars="0" w:firstLine="0"/>
      </w:pPr>
      <w:r>
        <w:rPr>
          <w:rFonts w:hint="eastAsia"/>
        </w:rPr>
        <w:t xml:space="preserve">* </w:t>
      </w:r>
      <w:r>
        <w:t>means we are constructing optimal portfolio</w:t>
      </w:r>
      <w:r w:rsidR="000C5EE0">
        <w:t xml:space="preserve"> </w:t>
      </w:r>
      <w:r w:rsidR="000C5EE0" w:rsidRPr="000C5EE0">
        <w:rPr>
          <w:b/>
        </w:rPr>
        <w:t>without constraints</w:t>
      </w:r>
      <w:r>
        <w:t>.</w:t>
      </w:r>
    </w:p>
    <w:p w:rsidR="000C5EE0" w:rsidRPr="000C5EE0" w:rsidRDefault="000C5EE0" w:rsidP="007C3137">
      <w:pPr>
        <w:pStyle w:val="ListParagraph"/>
        <w:numPr>
          <w:ilvl w:val="0"/>
          <w:numId w:val="81"/>
        </w:numPr>
        <w:ind w:firstLineChars="0"/>
      </w:pPr>
      <w:r>
        <w:rPr>
          <w:rFonts w:hint="eastAsia"/>
        </w:rPr>
        <w:t xml:space="preserve">The Full </w:t>
      </w:r>
      <w:r>
        <w:t>fundamental</w:t>
      </w:r>
      <w:r>
        <w:rPr>
          <w:rFonts w:hint="eastAsia"/>
        </w:rPr>
        <w:t xml:space="preserve"> </w:t>
      </w:r>
      <w:r>
        <w:t>Law:</w:t>
      </w:r>
    </w:p>
    <w:p w:rsidR="00FB5509" w:rsidRDefault="00FB5509" w:rsidP="00FB5509">
      <w:pPr>
        <w:pStyle w:val="ListParagraph"/>
        <w:ind w:left="420" w:firstLineChars="0" w:firstLine="0"/>
      </w:pPr>
      <w:r>
        <w:rPr>
          <w:rFonts w:hint="eastAsia"/>
        </w:rPr>
        <w:t xml:space="preserve">A number of </w:t>
      </w:r>
      <w:r>
        <w:t>practical or strategic constraints are often imposed in practice.</w:t>
      </w:r>
    </w:p>
    <w:p w:rsidR="00FB5509" w:rsidRDefault="00FB5509" w:rsidP="00FB5509">
      <w:pPr>
        <w:pStyle w:val="ListParagraph"/>
        <w:ind w:left="420" w:firstLineChars="0" w:firstLine="0"/>
      </w:pPr>
      <w:r>
        <w:t xml:space="preserve">Let </w:t>
      </w:r>
      <w:r>
        <w:rPr>
          <w:rFonts w:hint="eastAsia"/>
        </w:rPr>
        <w:t>Δ</w:t>
      </w:r>
      <w:r>
        <w:t>w</w:t>
      </w:r>
      <w:r w:rsidRPr="00FB5509">
        <w:rPr>
          <w:vertAlign w:val="subscript"/>
        </w:rPr>
        <w:t>i</w:t>
      </w:r>
      <w:r>
        <w:t xml:space="preserve"> (without *) represent the actual active weights for a constrained portfolio.</w:t>
      </w:r>
    </w:p>
    <w:p w:rsidR="00FB5509" w:rsidRDefault="00FB5509" w:rsidP="00FB5509">
      <w:pPr>
        <w:pStyle w:val="ListParagraph"/>
        <w:ind w:left="420" w:firstLineChars="0" w:firstLine="0"/>
      </w:pPr>
      <w:r>
        <w:t>Transfer coefficient measures the degree to which the investor’s forecasts are translated</w:t>
      </w:r>
      <w:r w:rsidR="00BC6785">
        <w:t xml:space="preserve"> into active weights.</w:t>
      </w:r>
    </w:p>
    <w:p w:rsidR="00BC6785" w:rsidRPr="008860FC" w:rsidRDefault="00BC6785" w:rsidP="00FB5509">
      <w:pPr>
        <w:pStyle w:val="ListParagraph"/>
        <w:ind w:left="420" w:firstLineChars="0" w:firstLine="0"/>
      </w:pPr>
      <m:oMathPara>
        <m:oMathParaPr>
          <m:jc m:val="left"/>
        </m:oMathParaPr>
        <m:oMath>
          <m:r>
            <w:rPr>
              <w:rFonts w:ascii="Cambria Math" w:hAnsi="Cambria Math"/>
            </w:rPr>
            <m:t>TC=COR(</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)=COR(</m:t>
          </m:r>
          <m:sSubSup>
            <m:sSubSupPr>
              <m:ctrlPr>
                <w:rPr>
                  <w:rFonts w:ascii="Cambria Math" w:hAnsi="Cambria Math"/>
                  <w:i/>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rsidR="008860FC" w:rsidRPr="001E280F" w:rsidRDefault="008860FC" w:rsidP="008860FC">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=(TC)(IC)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8860FC" w:rsidRPr="0039620B" w:rsidRDefault="00DF2A38" w:rsidP="008860FC">
      <w:pPr>
        <w:pStyle w:val="ListParagraph"/>
        <w:ind w:left="420" w:firstLineChars="0" w:firstLine="0"/>
      </w:pPr>
      <m:oMathPara>
        <m:oMathParaPr>
          <m:jc m:val="left"/>
        </m:oMathParaPr>
        <m:oMath>
          <m:r>
            <w:rPr>
              <w:rFonts w:ascii="Cambria Math" w:hAnsi="Cambria Math"/>
            </w:rPr>
            <m:t>IR=(TC)(IC)</m:t>
          </m:r>
          <m:rad>
            <m:radPr>
              <m:degHide m:val="1"/>
              <m:ctrlPr>
                <w:rPr>
                  <w:rFonts w:ascii="Cambria Math" w:hAnsi="Cambria Math"/>
                  <w:i/>
                </w:rPr>
              </m:ctrlPr>
            </m:radPr>
            <m:deg/>
            <m:e>
              <m:r>
                <w:rPr>
                  <w:rFonts w:ascii="Cambria Math" w:hAnsi="Cambria Math"/>
                </w:rPr>
                <m:t>BR</m:t>
              </m:r>
            </m:e>
          </m:rad>
        </m:oMath>
      </m:oMathPara>
    </w:p>
    <w:p w:rsidR="008860FC" w:rsidRDefault="008860FC" w:rsidP="00CC1682"/>
    <w:p w:rsidR="00CC1682" w:rsidRDefault="00CC1682" w:rsidP="00CC1682">
      <w:r>
        <w:rPr>
          <w:rFonts w:hint="eastAsia"/>
        </w:rPr>
        <w:t xml:space="preserve">TC </w:t>
      </w:r>
      <w:r>
        <w:t>also comes into play in calculating the optimal amount of active risk for an actively managed portfolio with constraints.</w:t>
      </w:r>
    </w:p>
    <w:p w:rsidR="00CC1682" w:rsidRPr="00B004B4" w:rsidRDefault="00CC1682" w:rsidP="00CC1682">
      <w:pPr>
        <w:rPr>
          <w:b/>
        </w:rPr>
      </w:pPr>
      <w:r w:rsidRPr="00B004B4">
        <w:rPr>
          <w:b/>
        </w:rPr>
        <w:t>STD(R</w:t>
      </w:r>
      <w:r w:rsidRPr="00B004B4">
        <w:rPr>
          <w:b/>
          <w:vertAlign w:val="subscript"/>
        </w:rPr>
        <w:t>Aoptimal</w:t>
      </w:r>
      <w:r w:rsidRPr="00B004B4">
        <w:rPr>
          <w:b/>
        </w:rPr>
        <w:t xml:space="preserve">) = </w:t>
      </w:r>
      <w:r>
        <w:rPr>
          <w:b/>
        </w:rPr>
        <w:t xml:space="preserve">TC * </w:t>
      </w:r>
      <w:r w:rsidRPr="00B004B4">
        <w:rPr>
          <w:b/>
        </w:rPr>
        <w:t>IR * STD(R</w:t>
      </w:r>
      <w:r w:rsidRPr="00B004B4">
        <w:rPr>
          <w:b/>
          <w:vertAlign w:val="subscript"/>
        </w:rPr>
        <w:t>B</w:t>
      </w:r>
      <w:r w:rsidRPr="00B004B4">
        <w:rPr>
          <w:b/>
        </w:rPr>
        <w:t>) / SR</w:t>
      </w:r>
      <w:r w:rsidRPr="00B004B4">
        <w:rPr>
          <w:b/>
          <w:vertAlign w:val="subscript"/>
        </w:rPr>
        <w:t>B</w:t>
      </w:r>
    </w:p>
    <w:p w:rsidR="00CC1682" w:rsidRDefault="00CC1682" w:rsidP="00CC1682">
      <w:r>
        <w:rPr>
          <w:rFonts w:hint="eastAsia"/>
        </w:rPr>
        <w:t>And the risk of the new portfolio is:</w:t>
      </w:r>
    </w:p>
    <w:p w:rsidR="00CC1682" w:rsidRPr="004117C8" w:rsidRDefault="008B6B90" w:rsidP="00CC1682">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TC</m:t>
                  </m:r>
                </m:e>
                <m:sup>
                  <m:r>
                    <w:rPr>
                      <w:rFonts w:ascii="Cambria Math" w:hAnsi="Cambria Math"/>
                    </w:rPr>
                    <m:t>2</m:t>
                  </m:r>
                </m:sup>
              </m:sSup>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117C8" w:rsidRDefault="004117C8" w:rsidP="00CC1682"/>
    <w:p w:rsidR="004117C8" w:rsidRDefault="004117C8" w:rsidP="004117C8">
      <w:pPr>
        <w:pStyle w:val="ListParagraph"/>
        <w:numPr>
          <w:ilvl w:val="1"/>
          <w:numId w:val="52"/>
        </w:numPr>
        <w:ind w:firstLineChars="0"/>
      </w:pPr>
      <w:r>
        <w:t>Ex post Performance Measurement</w:t>
      </w:r>
    </w:p>
    <w:p w:rsidR="004117C8" w:rsidRDefault="004117C8" w:rsidP="004117C8">
      <w:r>
        <w:rPr>
          <w:rFonts w:hint="eastAsia"/>
        </w:rPr>
        <w:t xml:space="preserve">Expected </w:t>
      </w:r>
      <w:r>
        <w:t>value added conditional on the realized IC is:</w:t>
      </w:r>
    </w:p>
    <w:p w:rsidR="004117C8" w:rsidRPr="001E280F" w:rsidRDefault="004117C8" w:rsidP="004117C8">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=(TC)(</m:t>
          </m:r>
          <m:sSub>
            <m:sSubPr>
              <m:ctrlPr>
                <w:rPr>
                  <w:rFonts w:ascii="Cambria Math" w:hAnsi="Cambria Math"/>
                  <w:i/>
                </w:rPr>
              </m:ctrlPr>
            </m:sSubPr>
            <m:e>
              <m:r>
                <w:rPr>
                  <w:rFonts w:ascii="Cambria Math" w:hAnsi="Cambria Math"/>
                </w:rPr>
                <m:t>IC</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4117C8" w:rsidRDefault="00E85325" w:rsidP="004117C8">
      <w:r>
        <w:rPr>
          <w:rFonts w:hint="eastAsia"/>
        </w:rPr>
        <w:t>The actual active return is the sum of expected value added plus</w:t>
      </w:r>
      <w:r w:rsidR="006425E2">
        <w:t xml:space="preserve"> a</w:t>
      </w:r>
      <w:r>
        <w:rPr>
          <w:rFonts w:hint="eastAsia"/>
        </w:rPr>
        <w:t xml:space="preserve"> noise</w:t>
      </w:r>
      <w:r w:rsidR="006425E2">
        <w:t xml:space="preserve"> term</w:t>
      </w:r>
      <w:r>
        <w:rPr>
          <w:rFonts w:hint="eastAsia"/>
        </w:rPr>
        <w:t>.</w:t>
      </w:r>
    </w:p>
    <w:p w:rsidR="00E85325" w:rsidRPr="001E280F" w:rsidRDefault="008B6B90" w:rsidP="00E85325">
      <w:pPr>
        <w:pStyle w:val="ListParagraph"/>
        <w:ind w:left="420" w:firstLineChars="0" w:firstLine="0"/>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+Noise</m:t>
          </m:r>
        </m:oMath>
      </m:oMathPara>
    </w:p>
    <w:p w:rsidR="00E85325" w:rsidRDefault="006425E2" w:rsidP="004117C8">
      <w:r>
        <w:rPr>
          <w:rFonts w:hint="eastAsia"/>
        </w:rPr>
        <w:t xml:space="preserve">The first part </w:t>
      </w:r>
      <w:r>
        <w:t>comes from the expected value added given the realized skill of the investor.</w:t>
      </w:r>
    </w:p>
    <w:p w:rsidR="006425E2" w:rsidRDefault="006425E2" w:rsidP="004117C8">
      <w:r>
        <w:t>The second part comes from the constraints that impinge on the optimal portfolio structure.</w:t>
      </w:r>
    </w:p>
    <w:p w:rsidR="006425E2" w:rsidRDefault="006425E2" w:rsidP="004117C8"/>
    <w:p w:rsidR="006425E2" w:rsidRDefault="006425E2" w:rsidP="004117C8">
      <w:r>
        <w:t>The two parts of the realized variance are TC^2 and 1 – TC^2.</w:t>
      </w:r>
    </w:p>
    <w:p w:rsidR="00170F8C" w:rsidRDefault="00170F8C" w:rsidP="004117C8"/>
    <w:p w:rsidR="00170F8C" w:rsidRPr="00170F8C" w:rsidRDefault="00170F8C" w:rsidP="007C3137">
      <w:pPr>
        <w:pStyle w:val="ListParagraph"/>
        <w:numPr>
          <w:ilvl w:val="0"/>
          <w:numId w:val="82"/>
        </w:numPr>
        <w:ind w:firstLineChars="0"/>
      </w:pPr>
      <w:r>
        <w:rPr>
          <w:rFonts w:hint="eastAsia"/>
        </w:rPr>
        <w:t>Practical Limitations</w:t>
      </w:r>
    </w:p>
    <w:p w:rsidR="00170F8C" w:rsidRDefault="00170F8C" w:rsidP="007C3137">
      <w:pPr>
        <w:pStyle w:val="ListParagraph"/>
        <w:numPr>
          <w:ilvl w:val="1"/>
          <w:numId w:val="82"/>
        </w:numPr>
        <w:ind w:firstLineChars="0"/>
      </w:pPr>
      <w:r>
        <w:t>Ex-ante Measurement of Skills</w:t>
      </w:r>
    </w:p>
    <w:p w:rsidR="00170F8C" w:rsidRDefault="00170F8C" w:rsidP="00170F8C">
      <w:r>
        <w:rPr>
          <w:rFonts w:hint="eastAsia"/>
        </w:rPr>
        <w:t xml:space="preserve">Investors tend to </w:t>
      </w:r>
      <w:r>
        <w:t>overestimate</w:t>
      </w:r>
      <w:r>
        <w:rPr>
          <w:rFonts w:hint="eastAsia"/>
        </w:rPr>
        <w:t xml:space="preserve"> </w:t>
      </w:r>
      <w:r>
        <w:t xml:space="preserve">their skills as embedded in the assumed IC. Furthermore, </w:t>
      </w:r>
      <w:r>
        <w:lastRenderedPageBreak/>
        <w:t>forecasting ability probably differs among different asset segments and varies over time.</w:t>
      </w:r>
    </w:p>
    <w:p w:rsidR="00170F8C" w:rsidRDefault="00170F8C" w:rsidP="00170F8C"/>
    <w:p w:rsidR="00170F8C" w:rsidRDefault="00170F8C" w:rsidP="007C3137">
      <w:pPr>
        <w:pStyle w:val="ListParagraph"/>
        <w:numPr>
          <w:ilvl w:val="1"/>
          <w:numId w:val="82"/>
        </w:numPr>
        <w:ind w:firstLineChars="0"/>
      </w:pPr>
      <w:r>
        <w:t>Independence of Investment Decisions</w:t>
      </w:r>
    </w:p>
    <w:p w:rsidR="00170F8C" w:rsidRDefault="00170F8C" w:rsidP="00170F8C">
      <w:pPr>
        <w:rPr>
          <w:lang w:val="en"/>
        </w:rPr>
      </w:pPr>
      <w:r>
        <w:rPr>
          <w:rFonts w:hint="eastAsia"/>
          <w:lang w:val="en"/>
        </w:rPr>
        <w:t>A practical measure of breath is:</w:t>
      </w:r>
    </w:p>
    <w:p w:rsidR="00170F8C" w:rsidRDefault="00170F8C" w:rsidP="00170F8C">
      <w:pPr>
        <w:rPr>
          <w:lang w:val="en"/>
        </w:rPr>
      </w:pPr>
      <w:r>
        <w:rPr>
          <w:lang w:val="en"/>
        </w:rPr>
        <w:t>BR = N / (1 + (N-1)</w:t>
      </w:r>
      <w:r>
        <w:rPr>
          <w:rFonts w:hint="eastAsia"/>
        </w:rPr>
        <w:t>ρ</w:t>
      </w:r>
      <w:r>
        <w:rPr>
          <w:lang w:val="en"/>
        </w:rPr>
        <w:t>)</w:t>
      </w:r>
    </w:p>
    <w:p w:rsidR="00FF7F6C" w:rsidRDefault="00FF7F6C" w:rsidP="00170F8C">
      <w:r>
        <w:rPr>
          <w:rFonts w:hint="eastAsia"/>
        </w:rPr>
        <w:t>ρ</w:t>
      </w:r>
      <w:r>
        <w:rPr>
          <w:rFonts w:hint="eastAsia"/>
        </w:rPr>
        <w:t xml:space="preserve">is </w:t>
      </w:r>
      <w:r>
        <w:t>the correlation coefficient in all the off-diagonal elements of the risk model.</w:t>
      </w:r>
    </w:p>
    <w:p w:rsidR="00386348" w:rsidRDefault="00386348" w:rsidP="00170F8C"/>
    <w:p w:rsidR="00386348" w:rsidRDefault="00386348" w:rsidP="002F23A1">
      <w:pPr>
        <w:pStyle w:val="Level2"/>
      </w:pPr>
      <w:r>
        <w:rPr>
          <w:rFonts w:hint="eastAsia"/>
        </w:rPr>
        <w:t xml:space="preserve">Economics and </w:t>
      </w:r>
      <w:r>
        <w:t>Investment Markets</w:t>
      </w:r>
    </w:p>
    <w:p w:rsidR="00386348" w:rsidRDefault="00386348" w:rsidP="00386348"/>
    <w:p w:rsidR="00E912C0" w:rsidRDefault="00E912C0" w:rsidP="007C3137">
      <w:pPr>
        <w:pStyle w:val="ListParagraph"/>
        <w:numPr>
          <w:ilvl w:val="0"/>
          <w:numId w:val="81"/>
        </w:numPr>
        <w:ind w:firstLineChars="0"/>
      </w:pPr>
      <w:r>
        <w:rPr>
          <w:rFonts w:hint="eastAsia"/>
        </w:rPr>
        <w:t>Determine real risk-free rate</w:t>
      </w:r>
    </w:p>
    <w:p w:rsidR="00386348" w:rsidRDefault="00386348" w:rsidP="00E912C0">
      <w:pPr>
        <w:pStyle w:val="ListParagraph"/>
        <w:ind w:left="420" w:firstLineChars="0" w:firstLine="0"/>
      </w:pPr>
      <w:r>
        <w:t>I</w:t>
      </w:r>
      <w:r>
        <w:rPr>
          <w:rFonts w:hint="eastAsia"/>
        </w:rPr>
        <w:t>nter</w:t>
      </w:r>
      <w:r>
        <w:t>-temporal rate of substitution = marginal utility of consumption in the future / marginal utility of consumption today</w:t>
      </w:r>
    </w:p>
    <w:p w:rsidR="00386348" w:rsidRDefault="00386348" w:rsidP="00386348">
      <w:pPr>
        <w:ind w:firstLine="420"/>
      </w:pPr>
      <w:r>
        <w:t>Price of an investment = E</w:t>
      </w:r>
      <w:r w:rsidRPr="00386348">
        <w:rPr>
          <w:vertAlign w:val="subscript"/>
        </w:rPr>
        <w:t>t</w:t>
      </w:r>
      <w:r>
        <w:t>[m˜</w:t>
      </w:r>
      <w:r w:rsidRPr="00386348">
        <w:rPr>
          <w:vertAlign w:val="subscript"/>
        </w:rPr>
        <w:t>t,s</w:t>
      </w:r>
      <w:r>
        <w:t>]</w:t>
      </w:r>
    </w:p>
    <w:p w:rsidR="00386348" w:rsidRDefault="00386348" w:rsidP="00386348">
      <w:pPr>
        <w:rPr>
          <w:lang w:val="en"/>
        </w:rPr>
      </w:pPr>
      <w:r>
        <w:rPr>
          <w:lang w:val="en"/>
        </w:rPr>
        <w:tab/>
        <w:t>In good economics, as investors’ wealth increases, the marginal utility of consumption in the future decreases, investors’ inter-temporal rate of substitution decreases.</w:t>
      </w:r>
    </w:p>
    <w:p w:rsidR="00B92D2B" w:rsidRDefault="00B92D2B" w:rsidP="00386348">
      <w:pPr>
        <w:rPr>
          <w:lang w:val="en"/>
        </w:rPr>
      </w:pPr>
    </w:p>
    <w:p w:rsidR="00386348" w:rsidRDefault="00E912C0" w:rsidP="007C3137">
      <w:pPr>
        <w:pStyle w:val="ListParagraph"/>
        <w:numPr>
          <w:ilvl w:val="0"/>
          <w:numId w:val="81"/>
        </w:numPr>
        <w:ind w:firstLineChars="0"/>
        <w:rPr>
          <w:lang w:val="en"/>
        </w:rPr>
      </w:pPr>
      <w:r>
        <w:rPr>
          <w:rFonts w:hint="eastAsia"/>
          <w:lang w:val="en"/>
        </w:rPr>
        <w:t xml:space="preserve">Risk Premiums </w:t>
      </w:r>
      <w:r>
        <w:rPr>
          <w:lang w:val="en"/>
        </w:rPr>
        <w:t>on Risky Assets</w:t>
      </w:r>
    </w:p>
    <w:p w:rsidR="00E912C0" w:rsidRDefault="00E912C0" w:rsidP="00E912C0">
      <w:pPr>
        <w:pStyle w:val="ListParagraph"/>
        <w:widowControl/>
        <w:ind w:left="420" w:firstLineChars="0" w:firstLine="0"/>
        <w:jc w:val="left"/>
        <w:rPr>
          <w:lang w:val="en"/>
        </w:rPr>
      </w:pPr>
      <w:r w:rsidRPr="00E912C0">
        <w:rPr>
          <w:rFonts w:ascii="STIXGeneral" w:eastAsia="STIXGeneral" w:hAnsi="STIXGeneral" w:cs="STIXGeneral" w:hint="eastAsia"/>
          <w:i/>
          <w:iCs/>
          <w:color w:val="000000"/>
          <w:kern w:val="0"/>
          <w:sz w:val="25"/>
          <w:szCs w:val="25"/>
          <w:lang w:val="en"/>
        </w:rPr>
        <w:t>P</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E</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1+</w:t>
      </w:r>
      <w:r w:rsidRPr="00E912C0">
        <w:rPr>
          <w:rFonts w:ascii="STIXGeneral" w:eastAsia="STIXGeneral" w:hAnsi="STIXGeneral" w:cs="STIXGeneral" w:hint="eastAsia"/>
          <w:i/>
          <w:iCs/>
          <w:color w:val="000000"/>
          <w:kern w:val="0"/>
          <w:sz w:val="25"/>
          <w:szCs w:val="25"/>
          <w:lang w:val="en"/>
        </w:rPr>
        <w:t>l</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Pr>
          <w:rFonts w:ascii="STIXSizeTwoSym" w:eastAsia="STIXSizeTwoSym" w:hAnsi="STIXSizeTwoSym" w:cs="SimSun"/>
          <w:color w:val="000000"/>
          <w:kern w:val="0"/>
          <w:sz w:val="25"/>
          <w:szCs w:val="25"/>
          <w:lang w:val="en"/>
        </w:rPr>
        <w:t>)</w:t>
      </w:r>
      <w:r w:rsidRPr="00E912C0">
        <w:rPr>
          <w:rFonts w:ascii="STIXGeneral" w:eastAsia="STIXGeneral" w:hAnsi="STIXGeneral" w:cs="STIXGeneral" w:hint="eastAsia"/>
          <w:color w:val="000000"/>
          <w:kern w:val="0"/>
          <w:sz w:val="25"/>
          <w:szCs w:val="25"/>
          <w:lang w:val="en"/>
        </w:rPr>
        <w:t>+cov</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m</w:t>
      </w:r>
      <w:r w:rsidRPr="00E912C0">
        <w:rPr>
          <w:rFonts w:ascii="STIXSizeTwoSym" w:eastAsia="STIXSizeTwoSym" w:hAnsi="STIXSizeTwoSym" w:cs="SimSun"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SimSun" w:hint="eastAsia"/>
          <w:color w:val="000000"/>
          <w:kern w:val="0"/>
          <w:sz w:val="25"/>
          <w:szCs w:val="25"/>
          <w:lang w:val="en"/>
        </w:rPr>
        <w:t>]</w:t>
      </w:r>
      <w:r w:rsidRPr="00E912C0">
        <w:rPr>
          <w:rFonts w:hint="eastAsia"/>
          <w:lang w:val="en"/>
        </w:rPr>
        <w:t xml:space="preserve"> </w:t>
      </w:r>
    </w:p>
    <w:p w:rsidR="00E912C0" w:rsidRDefault="00E912C0" w:rsidP="00E912C0">
      <w:pPr>
        <w:ind w:firstLine="420"/>
      </w:pPr>
      <w:r>
        <w:rPr>
          <w:rFonts w:hint="eastAsia"/>
        </w:rPr>
        <w:t xml:space="preserve">The latter is the covariance between the future price </w:t>
      </w:r>
      <w:r>
        <w:t>of the investment and the investor’s internal rate of substitution.</w:t>
      </w:r>
    </w:p>
    <w:p w:rsidR="00E912C0" w:rsidRDefault="00E912C0" w:rsidP="00E912C0">
      <w:pPr>
        <w:ind w:firstLine="420"/>
      </w:pPr>
      <w:r>
        <w:t>During bad times, the inter-temporal rate of substitution increases as investors expect future income is less and consumption is less. However, during bad times, the price of risky assets’ future cash flow is declining and future price is less. So the covariance between the future price of the investment and the investor’s internal rate of substitution is highly negative.</w:t>
      </w:r>
    </w:p>
    <w:p w:rsidR="00B92D2B" w:rsidRDefault="00B92D2B" w:rsidP="00E912C0">
      <w:pPr>
        <w:ind w:firstLine="420"/>
      </w:pPr>
    </w:p>
    <w:p w:rsidR="00B92D2B" w:rsidRDefault="00B92D2B" w:rsidP="007C3137">
      <w:pPr>
        <w:pStyle w:val="ListParagraph"/>
        <w:numPr>
          <w:ilvl w:val="0"/>
          <w:numId w:val="81"/>
        </w:numPr>
        <w:ind w:firstLineChars="0"/>
      </w:pPr>
      <w:r>
        <w:rPr>
          <w:rFonts w:hint="eastAsia"/>
        </w:rPr>
        <w:t>Inflation discount includes exp</w:t>
      </w:r>
      <w:r>
        <w:t xml:space="preserve">ected inflation and </w:t>
      </w:r>
      <w:r w:rsidR="0079479F">
        <w:t>uncertainty for future inflation.</w:t>
      </w:r>
    </w:p>
    <w:p w:rsidR="00411D36" w:rsidRDefault="00411D36" w:rsidP="00411D36">
      <w:pPr>
        <w:pStyle w:val="ListParagraph"/>
        <w:ind w:left="420" w:firstLineChars="0" w:firstLine="0"/>
      </w:pPr>
      <w:r>
        <w:t>Break-even inflation rates (BEI rates) is the difference between the rate of default-free zero-coupon nominal bond and the rate of default-free zero-coupon real bond.</w:t>
      </w:r>
    </w:p>
    <w:p w:rsidR="00411D36" w:rsidRDefault="00411D36" w:rsidP="00411D36">
      <w:r>
        <w:tab/>
      </w:r>
    </w:p>
    <w:p w:rsidR="00411D36" w:rsidRDefault="00411D36" w:rsidP="00411D36">
      <w:r>
        <w:tab/>
        <w:t>When the economy grows faster than sustainable real growth, the central bank will increase short-term interest rates, which causes the yield curve to be inverted.</w:t>
      </w:r>
    </w:p>
    <w:p w:rsidR="00411D36" w:rsidRDefault="00411D36" w:rsidP="00411D36">
      <w:r>
        <w:tab/>
        <w:t>When the economy grows slower than sustainable real growth, the central bank will decrease short-term interest rates, which causes the yield curve to be steeper.</w:t>
      </w:r>
    </w:p>
    <w:p w:rsidR="001C3E62" w:rsidRDefault="001C3E62" w:rsidP="00411D36"/>
    <w:p w:rsidR="001C3E62" w:rsidRDefault="001C3E62" w:rsidP="00411D36">
      <w:r>
        <w:tab/>
        <w:t xml:space="preserve">When the yield curve goes upward, it might results from 2 reasons: </w:t>
      </w:r>
    </w:p>
    <w:p w:rsidR="001C3E62" w:rsidRDefault="001C3E62" w:rsidP="007C3137">
      <w:pPr>
        <w:pStyle w:val="ListParagraph"/>
        <w:numPr>
          <w:ilvl w:val="0"/>
          <w:numId w:val="83"/>
        </w:numPr>
        <w:ind w:firstLineChars="0"/>
      </w:pPr>
      <w:r>
        <w:rPr>
          <w:rFonts w:hint="eastAsia"/>
        </w:rPr>
        <w:t>The market expects the future rate will increase.</w:t>
      </w:r>
    </w:p>
    <w:p w:rsidR="001C3E62" w:rsidRPr="00E912C0" w:rsidRDefault="001C3E62" w:rsidP="007C3137">
      <w:pPr>
        <w:pStyle w:val="ListParagraph"/>
        <w:numPr>
          <w:ilvl w:val="0"/>
          <w:numId w:val="83"/>
        </w:numPr>
        <w:ind w:firstLineChars="0"/>
      </w:pPr>
      <w:r>
        <w:t>The market demands liquidity premium.</w:t>
      </w:r>
    </w:p>
    <w:sectPr w:rsidR="001C3E62" w:rsidRPr="00E912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B90" w:rsidRDefault="008B6B90" w:rsidP="00B10F78">
      <w:r>
        <w:separator/>
      </w:r>
    </w:p>
  </w:endnote>
  <w:endnote w:type="continuationSeparator" w:id="0">
    <w:p w:rsidR="008B6B90" w:rsidRDefault="008B6B90" w:rsidP="00B10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86"/>
    <w:family w:val="modern"/>
    <w:notTrueType/>
    <w:pitch w:val="variable"/>
    <w:sig w:usb0="A1002AFF" w:usb1="5B0FFDFF" w:usb2="02000030" w:usb3="00000000" w:csb0="803F01FF" w:csb1="00000000"/>
  </w:font>
  <w:font w:name="STIXSizeTwoSym">
    <w:panose1 w:val="00000000000000000000"/>
    <w:charset w:val="86"/>
    <w:family w:val="modern"/>
    <w:notTrueType/>
    <w:pitch w:val="variable"/>
    <w:sig w:usb0="00000003" w:usb1="190F00C0" w:usb2="00000010" w:usb3="00000000" w:csb0="803E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B90" w:rsidRDefault="008B6B90" w:rsidP="00B10F78">
      <w:r>
        <w:separator/>
      </w:r>
    </w:p>
  </w:footnote>
  <w:footnote w:type="continuationSeparator" w:id="0">
    <w:p w:rsidR="008B6B90" w:rsidRDefault="008B6B90" w:rsidP="00B10F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77305DF"/>
    <w:multiLevelType w:val="hybridMultilevel"/>
    <w:tmpl w:val="EBE8BC9A"/>
    <w:lvl w:ilvl="0" w:tplc="F6FCC6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784807"/>
    <w:multiLevelType w:val="multilevel"/>
    <w:tmpl w:val="08E0B444"/>
    <w:lvl w:ilvl="0">
      <w:start w:val="1"/>
      <w:numFmt w:val="upperRoman"/>
      <w:pStyle w:val="Level1"/>
      <w:lvlText w:val="%1."/>
      <w:lvlJc w:val="left"/>
      <w:pPr>
        <w:ind w:left="425" w:hanging="425"/>
      </w:pPr>
      <w:rPr>
        <w:rFonts w:hint="eastAsia"/>
      </w:rPr>
    </w:lvl>
    <w:lvl w:ilvl="1">
      <w:start w:val="49"/>
      <w:numFmt w:val="decimal"/>
      <w:pStyle w:val="Level2"/>
      <w:lvlText w:val="%2."/>
      <w:lvlJc w:val="left"/>
      <w:pPr>
        <w:ind w:left="0" w:firstLine="0"/>
      </w:pPr>
      <w:rPr>
        <w:rFonts w:hint="eastAsia"/>
      </w:rPr>
    </w:lvl>
    <w:lvl w:ilvl="2">
      <w:start w:val="6"/>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0ECD6F75"/>
    <w:multiLevelType w:val="hybridMultilevel"/>
    <w:tmpl w:val="3B0C9D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32C2762"/>
    <w:multiLevelType w:val="hybridMultilevel"/>
    <w:tmpl w:val="2766EF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184A0EA5"/>
    <w:multiLevelType w:val="hybridMultilevel"/>
    <w:tmpl w:val="2B5A84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8907DD4"/>
    <w:multiLevelType w:val="hybridMultilevel"/>
    <w:tmpl w:val="F59CF1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1D3833D9"/>
    <w:multiLevelType w:val="hybridMultilevel"/>
    <w:tmpl w:val="7EA292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1ECF26E7"/>
    <w:multiLevelType w:val="hybridMultilevel"/>
    <w:tmpl w:val="3CA62C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1AD2ECF"/>
    <w:multiLevelType w:val="hybridMultilevel"/>
    <w:tmpl w:val="13A274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26F6741B"/>
    <w:multiLevelType w:val="hybridMultilevel"/>
    <w:tmpl w:val="A002F166"/>
    <w:lvl w:ilvl="0" w:tplc="D2F49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2DF70F6B"/>
    <w:multiLevelType w:val="multilevel"/>
    <w:tmpl w:val="2AA0C5B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2" w15:restartNumberingAfterBreak="0">
    <w:nsid w:val="2FD66ACE"/>
    <w:multiLevelType w:val="hybridMultilevel"/>
    <w:tmpl w:val="81D09A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9885048"/>
    <w:multiLevelType w:val="hybridMultilevel"/>
    <w:tmpl w:val="5C9AE5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3ABB5776"/>
    <w:multiLevelType w:val="hybridMultilevel"/>
    <w:tmpl w:val="CEF2CE30"/>
    <w:lvl w:ilvl="0" w:tplc="9AD8B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C304890"/>
    <w:multiLevelType w:val="hybridMultilevel"/>
    <w:tmpl w:val="E528C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3D0E70F3"/>
    <w:multiLevelType w:val="hybridMultilevel"/>
    <w:tmpl w:val="CB2E52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3FBF35B4"/>
    <w:multiLevelType w:val="hybridMultilevel"/>
    <w:tmpl w:val="18ACBC96"/>
    <w:lvl w:ilvl="0" w:tplc="2FF4F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0152834"/>
    <w:multiLevelType w:val="hybridMultilevel"/>
    <w:tmpl w:val="16148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43CD415C"/>
    <w:multiLevelType w:val="multilevel"/>
    <w:tmpl w:val="1F30FE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8"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4B203D6B"/>
    <w:multiLevelType w:val="hybridMultilevel"/>
    <w:tmpl w:val="BB8EE4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524315B2"/>
    <w:multiLevelType w:val="hybridMultilevel"/>
    <w:tmpl w:val="CF64E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15:restartNumberingAfterBreak="0">
    <w:nsid w:val="62EA6F22"/>
    <w:multiLevelType w:val="hybridMultilevel"/>
    <w:tmpl w:val="2E1063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64B95F49"/>
    <w:multiLevelType w:val="hybridMultilevel"/>
    <w:tmpl w:val="8EFE0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4" w15:restartNumberingAfterBreak="0">
    <w:nsid w:val="66773463"/>
    <w:multiLevelType w:val="hybridMultilevel"/>
    <w:tmpl w:val="B112864C"/>
    <w:lvl w:ilvl="0" w:tplc="7B90B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7" w15:restartNumberingAfterBreak="0">
    <w:nsid w:val="6988637B"/>
    <w:multiLevelType w:val="multilevel"/>
    <w:tmpl w:val="E3EA323A"/>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8" w15:restartNumberingAfterBreak="0">
    <w:nsid w:val="6B877893"/>
    <w:multiLevelType w:val="hybridMultilevel"/>
    <w:tmpl w:val="D1D6AD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0"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20E4A16"/>
    <w:multiLevelType w:val="hybridMultilevel"/>
    <w:tmpl w:val="FBA0C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15:restartNumberingAfterBreak="0">
    <w:nsid w:val="757979EB"/>
    <w:multiLevelType w:val="hybridMultilevel"/>
    <w:tmpl w:val="F3BC1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15:restartNumberingAfterBreak="0">
    <w:nsid w:val="76A44B36"/>
    <w:multiLevelType w:val="hybridMultilevel"/>
    <w:tmpl w:val="295C22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15:restartNumberingAfterBreak="0">
    <w:nsid w:val="772C22FD"/>
    <w:multiLevelType w:val="multilevel"/>
    <w:tmpl w:val="A5089A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6" w15:restartNumberingAfterBreak="0">
    <w:nsid w:val="78465750"/>
    <w:multiLevelType w:val="hybridMultilevel"/>
    <w:tmpl w:val="C10C7B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 w15:restartNumberingAfterBreak="0">
    <w:nsid w:val="7BA65898"/>
    <w:multiLevelType w:val="multilevel"/>
    <w:tmpl w:val="584E02C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8" w15:restartNumberingAfterBreak="0">
    <w:nsid w:val="7F2046A0"/>
    <w:multiLevelType w:val="hybridMultilevel"/>
    <w:tmpl w:val="4A1C7A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9"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9"/>
  </w:num>
  <w:num w:numId="2">
    <w:abstractNumId w:val="6"/>
  </w:num>
  <w:num w:numId="3">
    <w:abstractNumId w:val="10"/>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0"/>
  </w:num>
  <w:num w:numId="5">
    <w:abstractNumId w:val="57"/>
  </w:num>
  <w:num w:numId="6">
    <w:abstractNumId w:val="69"/>
  </w:num>
  <w:num w:numId="7">
    <w:abstractNumId w:val="30"/>
  </w:num>
  <w:num w:numId="8">
    <w:abstractNumId w:val="73"/>
  </w:num>
  <w:num w:numId="9">
    <w:abstractNumId w:val="19"/>
  </w:num>
  <w:num w:numId="10">
    <w:abstractNumId w:val="9"/>
  </w:num>
  <w:num w:numId="11">
    <w:abstractNumId w:val="18"/>
  </w:num>
  <w:num w:numId="12">
    <w:abstractNumId w:val="55"/>
  </w:num>
  <w:num w:numId="13">
    <w:abstractNumId w:val="10"/>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63"/>
  </w:num>
  <w:num w:numId="16">
    <w:abstractNumId w:val="79"/>
  </w:num>
  <w:num w:numId="17">
    <w:abstractNumId w:val="22"/>
  </w:num>
  <w:num w:numId="18">
    <w:abstractNumId w:val="14"/>
  </w:num>
  <w:num w:numId="19">
    <w:abstractNumId w:val="17"/>
  </w:num>
  <w:num w:numId="20">
    <w:abstractNumId w:val="8"/>
  </w:num>
  <w:num w:numId="21">
    <w:abstractNumId w:val="34"/>
  </w:num>
  <w:num w:numId="22">
    <w:abstractNumId w:val="10"/>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8"/>
  </w:num>
  <w:num w:numId="24">
    <w:abstractNumId w:val="1"/>
  </w:num>
  <w:num w:numId="25">
    <w:abstractNumId w:val="10"/>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5"/>
  </w:num>
  <w:num w:numId="27">
    <w:abstractNumId w:val="56"/>
  </w:num>
  <w:num w:numId="28">
    <w:abstractNumId w:val="66"/>
  </w:num>
  <w:num w:numId="29">
    <w:abstractNumId w:val="12"/>
  </w:num>
  <w:num w:numId="30">
    <w:abstractNumId w:val="62"/>
  </w:num>
  <w:num w:numId="31">
    <w:abstractNumId w:val="4"/>
  </w:num>
  <w:num w:numId="32">
    <w:abstractNumId w:val="43"/>
  </w:num>
  <w:num w:numId="33">
    <w:abstractNumId w:val="3"/>
  </w:num>
  <w:num w:numId="34">
    <w:abstractNumId w:val="51"/>
  </w:num>
  <w:num w:numId="35">
    <w:abstractNumId w:val="25"/>
  </w:num>
  <w:num w:numId="36">
    <w:abstractNumId w:val="28"/>
  </w:num>
  <w:num w:numId="37">
    <w:abstractNumId w:val="54"/>
  </w:num>
  <w:num w:numId="38">
    <w:abstractNumId w:val="33"/>
  </w:num>
  <w:num w:numId="39">
    <w:abstractNumId w:val="65"/>
  </w:num>
  <w:num w:numId="40">
    <w:abstractNumId w:val="52"/>
  </w:num>
  <w:num w:numId="41">
    <w:abstractNumId w:val="44"/>
  </w:num>
  <w:num w:numId="42">
    <w:abstractNumId w:val="10"/>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36"/>
  </w:num>
  <w:num w:numId="47">
    <w:abstractNumId w:val="10"/>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4"/>
  </w:num>
  <w:num w:numId="49">
    <w:abstractNumId w:val="75"/>
  </w:num>
  <w:num w:numId="50">
    <w:abstractNumId w:val="42"/>
  </w:num>
  <w:num w:numId="51">
    <w:abstractNumId w:val="48"/>
  </w:num>
  <w:num w:numId="52">
    <w:abstractNumId w:val="47"/>
  </w:num>
  <w:num w:numId="53">
    <w:abstractNumId w:val="70"/>
  </w:num>
  <w:num w:numId="54">
    <w:abstractNumId w:val="10"/>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1"/>
  </w:num>
  <w:num w:numId="56">
    <w:abstractNumId w:val="10"/>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3"/>
  </w:num>
  <w:num w:numId="59">
    <w:abstractNumId w:val="60"/>
  </w:num>
  <w:num w:numId="60">
    <w:abstractNumId w:val="29"/>
  </w:num>
  <w:num w:numId="61">
    <w:abstractNumId w:val="49"/>
  </w:num>
  <w:num w:numId="62">
    <w:abstractNumId w:val="0"/>
  </w:num>
  <w:num w:numId="63">
    <w:abstractNumId w:val="10"/>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9"/>
    </w:lvlOverride>
    <w:lvlOverride w:ilvl="1">
      <w:startOverride w:val="3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lvlOverride w:ilvl="0">
      <w:startOverride w:val="9"/>
    </w:lvlOverride>
    <w:lvlOverride w:ilvl="1">
      <w:startOverride w:val="39"/>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0"/>
    <w:lvlOverride w:ilvl="0">
      <w:startOverride w:val="9"/>
    </w:lvlOverride>
    <w:lvlOverride w:ilvl="1">
      <w:startOverride w:val="39"/>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0"/>
    <w:lvlOverride w:ilvl="0">
      <w:startOverride w:val="9"/>
    </w:lvlOverride>
    <w:lvlOverride w:ilvl="1">
      <w:startOverride w:val="39"/>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
    <w:lvlOverride w:ilvl="0">
      <w:startOverride w:val="9"/>
    </w:lvlOverride>
    <w:lvlOverride w:ilvl="1">
      <w:startOverride w:val="39"/>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lvlOverride w:ilvl="0">
      <w:startOverride w:val="9"/>
    </w:lvlOverride>
    <w:lvlOverride w:ilvl="1">
      <w:startOverride w:val="39"/>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0"/>
    <w:lvlOverride w:ilvl="0">
      <w:startOverride w:val="9"/>
    </w:lvlOverride>
    <w:lvlOverride w:ilvl="1">
      <w:startOverride w:val="4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78"/>
  </w:num>
  <w:num w:numId="72">
    <w:abstractNumId w:val="10"/>
    <w:lvlOverride w:ilvl="0">
      <w:startOverride w:val="9"/>
    </w:lvlOverride>
    <w:lvlOverride w:ilvl="1">
      <w:startOverride w:val="4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
    <w:lvlOverride w:ilvl="0">
      <w:startOverride w:val="9"/>
    </w:lvlOverride>
    <w:lvlOverride w:ilvl="1">
      <w:startOverride w:val="40"/>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
    <w:lvlOverride w:ilvl="0">
      <w:startOverride w:val="9"/>
    </w:lvlOverride>
    <w:lvlOverride w:ilvl="1">
      <w:startOverride w:val="4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
    <w:lvlOverride w:ilvl="0">
      <w:startOverride w:val="9"/>
    </w:lvlOverride>
    <w:lvlOverride w:ilvl="1">
      <w:startOverride w:val="4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0"/>
    <w:lvlOverride w:ilvl="0">
      <w:startOverride w:val="9"/>
    </w:lvlOverride>
    <w:lvlOverride w:ilvl="1">
      <w:startOverride w:val="4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64"/>
  </w:num>
  <w:num w:numId="78">
    <w:abstractNumId w:val="10"/>
    <w:lvlOverride w:ilvl="0">
      <w:startOverride w:val="10"/>
    </w:lvlOverride>
    <w:lvlOverride w:ilvl="1">
      <w:startOverride w:val="5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9"/>
  </w:num>
  <w:num w:numId="80">
    <w:abstractNumId w:val="67"/>
  </w:num>
  <w:num w:numId="81">
    <w:abstractNumId w:val="71"/>
  </w:num>
  <w:num w:numId="82">
    <w:abstractNumId w:val="77"/>
  </w:num>
  <w:num w:numId="83">
    <w:abstractNumId w:val="5"/>
  </w:num>
  <w:num w:numId="84">
    <w:abstractNumId w:val="10"/>
    <w:lvlOverride w:ilvl="0">
      <w:startOverride w:val="7"/>
    </w:lvlOverride>
    <w:lvlOverride w:ilvl="1">
      <w:startOverride w:val="2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45"/>
  </w:num>
  <w:num w:numId="86">
    <w:abstractNumId w:val="10"/>
    <w:lvlOverride w:ilvl="0">
      <w:startOverride w:val="7"/>
    </w:lvlOverride>
    <w:lvlOverride w:ilvl="1">
      <w:startOverride w:val="29"/>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
    <w:lvlOverride w:ilvl="0">
      <w:startOverride w:val="7"/>
    </w:lvlOverride>
    <w:lvlOverride w:ilvl="1">
      <w:startOverride w:val="2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0"/>
    <w:lvlOverride w:ilvl="0">
      <w:startOverride w:val="7"/>
    </w:lvlOverride>
    <w:lvlOverride w:ilvl="1">
      <w:startOverride w:val="29"/>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0"/>
    <w:lvlOverride w:ilvl="0">
      <w:startOverride w:val="7"/>
    </w:lvlOverride>
    <w:lvlOverride w:ilvl="1">
      <w:startOverride w:val="3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
    <w:lvlOverride w:ilvl="0">
      <w:startOverride w:val="7"/>
    </w:lvlOverride>
    <w:lvlOverride w:ilvl="1">
      <w:startOverride w:val="3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0"/>
    <w:lvlOverride w:ilvl="0">
      <w:startOverride w:val="7"/>
    </w:lvlOverride>
    <w:lvlOverride w:ilvl="1">
      <w:startOverride w:val="3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
    <w:lvlOverride w:ilvl="0">
      <w:startOverride w:val="7"/>
    </w:lvlOverride>
    <w:lvlOverride w:ilvl="1">
      <w:startOverride w:val="34"/>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0"/>
    <w:lvlOverride w:ilvl="0">
      <w:startOverride w:val="7"/>
    </w:lvlOverride>
    <w:lvlOverride w:ilvl="1">
      <w:startOverride w:val="34"/>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6"/>
  </w:num>
  <w:num w:numId="96">
    <w:abstractNumId w:val="10"/>
    <w:lvlOverride w:ilvl="0">
      <w:startOverride w:val="7"/>
    </w:lvlOverride>
    <w:lvlOverride w:ilvl="1">
      <w:startOverride w:val="35"/>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0"/>
    <w:lvlOverride w:ilvl="0">
      <w:startOverride w:val="2"/>
    </w:lvlOverride>
    <w:lvlOverride w:ilvl="1">
      <w:startOverride w:val="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num>
  <w:num w:numId="99">
    <w:abstractNumId w:val="10"/>
    <w:lvlOverride w:ilvl="0">
      <w:startOverride w:val="7"/>
    </w:lvlOverride>
    <w:lvlOverride w:ilvl="1">
      <w:startOverride w:val="36"/>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7"/>
  </w:num>
  <w:num w:numId="101">
    <w:abstractNumId w:val="10"/>
    <w:lvlOverride w:ilvl="0">
      <w:startOverride w:val="7"/>
    </w:lvlOverride>
    <w:lvlOverride w:ilvl="1">
      <w:startOverride w:val="36"/>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
    <w:lvlOverride w:ilvl="0">
      <w:startOverride w:val="7"/>
    </w:lvlOverride>
    <w:lvlOverride w:ilvl="1">
      <w:startOverride w:val="36"/>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0"/>
    <w:lvlOverride w:ilvl="0">
      <w:startOverride w:val="7"/>
    </w:lvlOverride>
    <w:lvlOverride w:ilvl="1">
      <w:startOverride w:val="36"/>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0"/>
    <w:lvlOverride w:ilvl="0">
      <w:startOverride w:val="7"/>
    </w:lvlOverride>
    <w:lvlOverride w:ilvl="1">
      <w:startOverride w:val="37"/>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0"/>
    <w:lvlOverride w:ilvl="0">
      <w:startOverride w:val="7"/>
    </w:lvlOverride>
    <w:lvlOverride w:ilvl="1">
      <w:startOverride w:val="3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0"/>
    <w:lvlOverride w:ilvl="0">
      <w:startOverride w:val="7"/>
    </w:lvlOverride>
    <w:lvlOverride w:ilvl="1">
      <w:startOverride w:val="38"/>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0"/>
    <w:lvlOverride w:ilvl="0">
      <w:startOverride w:val="5"/>
    </w:lvlOverride>
    <w:lvlOverride w:ilvl="1">
      <w:startOverride w:val="2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8"/>
  </w:num>
  <w:num w:numId="109">
    <w:abstractNumId w:val="10"/>
    <w:lvlOverride w:ilvl="0">
      <w:startOverride w:val="5"/>
    </w:lvlOverride>
    <w:lvlOverride w:ilvl="1">
      <w:startOverride w:val="2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0"/>
    <w:lvlOverride w:ilvl="0">
      <w:startOverride w:val="5"/>
    </w:lvlOverride>
    <w:lvlOverride w:ilvl="1">
      <w:startOverride w:val="25"/>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0"/>
    <w:lvlOverride w:ilvl="0">
      <w:startOverride w:val="5"/>
    </w:lvlOverride>
    <w:lvlOverride w:ilvl="1">
      <w:startOverride w:val="25"/>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0"/>
    <w:lvlOverride w:ilvl="0">
      <w:startOverride w:val="5"/>
    </w:lvlOverride>
    <w:lvlOverride w:ilvl="1">
      <w:startOverride w:val="26"/>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72"/>
  </w:num>
  <w:num w:numId="114">
    <w:abstractNumId w:val="76"/>
  </w:num>
  <w:num w:numId="115">
    <w:abstractNumId w:val="10"/>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0"/>
    <w:lvlOverride w:ilvl="0">
      <w:startOverride w:val="5"/>
    </w:lvlOverride>
    <w:lvlOverride w:ilvl="1">
      <w:startOverride w:val="2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5"/>
  </w:num>
  <w:num w:numId="118">
    <w:abstractNumId w:val="32"/>
  </w:num>
  <w:num w:numId="119">
    <w:abstractNumId w:val="53"/>
  </w:num>
  <w:num w:numId="120">
    <w:abstractNumId w:val="10"/>
    <w:lvlOverride w:ilvl="0">
      <w:startOverride w:val="5"/>
    </w:lvlOverride>
    <w:lvlOverride w:ilvl="1">
      <w:startOverride w:val="28"/>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1"/>
  </w:num>
  <w:num w:numId="122">
    <w:abstractNumId w:val="10"/>
    <w:lvlOverride w:ilvl="0">
      <w:startOverride w:val="6"/>
    </w:lvlOverride>
    <w:lvlOverride w:ilvl="1">
      <w:startOverride w:val="3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74"/>
  </w:num>
  <w:num w:numId="124">
    <w:abstractNumId w:val="10"/>
    <w:lvlOverride w:ilvl="0">
      <w:startOverride w:val="5"/>
    </w:lvlOverride>
    <w:lvlOverride w:ilvl="1">
      <w:startOverride w:val="23"/>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7"/>
  </w:num>
  <w:num w:numId="126">
    <w:abstractNumId w:val="16"/>
  </w:num>
  <w:num w:numId="127">
    <w:abstractNumId w:val="13"/>
  </w:num>
  <w:num w:numId="128">
    <w:abstractNumId w:val="1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1"/>
  </w:num>
  <w:num w:numId="130">
    <w:abstractNumId w:val="10"/>
    <w:lvlOverride w:ilvl="0">
      <w:startOverride w:val="8"/>
    </w:lvlOverride>
    <w:lvlOverride w:ilvl="1">
      <w:startOverride w:val="4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0"/>
    <w:lvlOverride w:ilvl="0">
      <w:startOverride w:val="8"/>
    </w:lvlOverride>
    <w:lvlOverride w:ilvl="1">
      <w:startOverride w:val="43"/>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68"/>
  </w:num>
  <w:num w:numId="133">
    <w:abstractNumId w:val="10"/>
    <w:lvlOverride w:ilvl="0">
      <w:startOverride w:val="8"/>
    </w:lvlOverride>
    <w:lvlOverride w:ilvl="1">
      <w:startOverride w:val="43"/>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61"/>
  </w:num>
  <w:num w:numId="135">
    <w:abstractNumId w:val="10"/>
    <w:lvlOverride w:ilvl="0">
      <w:startOverride w:val="8"/>
    </w:lvlOverride>
    <w:lvlOverride w:ilvl="1">
      <w:startOverride w:val="4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0"/>
    <w:lvlOverride w:ilvl="0">
      <w:startOverride w:val="8"/>
    </w:lvlOverride>
    <w:lvlOverride w:ilvl="1">
      <w:startOverride w:val="44"/>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0"/>
    <w:lvlOverride w:ilvl="0">
      <w:startOverride w:val="8"/>
    </w:lvlOverride>
    <w:lvlOverride w:ilvl="1">
      <w:startOverride w:val="45"/>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0"/>
    <w:lvlOverride w:ilvl="0">
      <w:startOverride w:val="8"/>
    </w:lvlOverride>
    <w:lvlOverride w:ilvl="1">
      <w:startOverride w:val="45"/>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41"/>
  </w:num>
  <w:num w:numId="140">
    <w:abstractNumId w:val="10"/>
    <w:lvlOverride w:ilvl="0">
      <w:startOverride w:val="8"/>
    </w:lvlOverride>
    <w:lvlOverride w:ilvl="1">
      <w:startOverride w:val="45"/>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0"/>
    <w:lvlOverride w:ilvl="0">
      <w:startOverride w:val="8"/>
    </w:lvlOverride>
    <w:lvlOverride w:ilvl="1">
      <w:startOverride w:val="45"/>
    </w:lvlOverride>
    <w:lvlOverride w:ilvl="2">
      <w:startOverride w:val="1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0"/>
    <w:lvlOverride w:ilvl="0">
      <w:startOverride w:val="8"/>
    </w:lvlOverride>
    <w:lvlOverride w:ilvl="1">
      <w:startOverride w:val="46"/>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0"/>
    <w:lvlOverride w:ilvl="0">
      <w:startOverride w:val="8"/>
    </w:lvlOverride>
    <w:lvlOverride w:ilvl="1">
      <w:startOverride w:val="46"/>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0"/>
    <w:lvlOverride w:ilvl="0">
      <w:startOverride w:val="8"/>
    </w:lvlOverride>
    <w:lvlOverride w:ilvl="1">
      <w:startOverride w:val="46"/>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0"/>
    <w:lvlOverride w:ilvl="0">
      <w:startOverride w:val="9"/>
    </w:lvlOverride>
    <w:lvlOverride w:ilvl="1">
      <w:startOverride w:val="4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26"/>
  </w:num>
  <w:num w:numId="147">
    <w:abstractNumId w:val="10"/>
    <w:lvlOverride w:ilvl="0">
      <w:startOverride w:val="9"/>
    </w:lvlOverride>
    <w:lvlOverride w:ilvl="1">
      <w:startOverride w:val="48"/>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0"/>
    <w:lvlOverride w:ilvl="0">
      <w:startOverride w:val="9"/>
    </w:lvlOverride>
    <w:lvlOverride w:ilvl="1">
      <w:startOverride w:val="48"/>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0"/>
    <w:lvlOverride w:ilvl="0">
      <w:startOverride w:val="9"/>
    </w:lvlOverride>
    <w:lvlOverride w:ilvl="1">
      <w:startOverride w:val="4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0"/>
    <w:lvlOverride w:ilvl="0">
      <w:startOverride w:val="9"/>
    </w:lvlOverride>
    <w:lvlOverride w:ilvl="1">
      <w:startOverride w:val="49"/>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10"/>
    <w:lvlOverride w:ilvl="0">
      <w:startOverride w:val="9"/>
    </w:lvlOverride>
    <w:lvlOverride w:ilvl="1">
      <w:startOverride w:val="5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0"/>
  </w:num>
  <w:num w:numId="153">
    <w:abstractNumId w:val="10"/>
    <w:lvlOverride w:ilvl="0">
      <w:startOverride w:val="9"/>
    </w:lvlOverride>
    <w:lvlOverride w:ilvl="1">
      <w:startOverride w:val="50"/>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10"/>
    <w:lvlOverride w:ilvl="0">
      <w:startOverride w:val="9"/>
    </w:lvlOverride>
    <w:lvlOverride w:ilvl="1">
      <w:startOverride w:val="52"/>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10"/>
    <w:lvlOverride w:ilvl="0">
      <w:startOverride w:val="9"/>
    </w:lvlOverride>
    <w:lvlOverride w:ilvl="1">
      <w:startOverride w:val="5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50"/>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17820"/>
    <w:rsid w:val="00023ADB"/>
    <w:rsid w:val="000240B9"/>
    <w:rsid w:val="0002581E"/>
    <w:rsid w:val="00033CF9"/>
    <w:rsid w:val="0003615D"/>
    <w:rsid w:val="0004506D"/>
    <w:rsid w:val="00047CF8"/>
    <w:rsid w:val="000501D7"/>
    <w:rsid w:val="00051936"/>
    <w:rsid w:val="0005263B"/>
    <w:rsid w:val="00052B85"/>
    <w:rsid w:val="00054E46"/>
    <w:rsid w:val="000570B4"/>
    <w:rsid w:val="000616D7"/>
    <w:rsid w:val="00063085"/>
    <w:rsid w:val="000701FA"/>
    <w:rsid w:val="00070C73"/>
    <w:rsid w:val="00077C4E"/>
    <w:rsid w:val="0009208E"/>
    <w:rsid w:val="00093DAC"/>
    <w:rsid w:val="000A3E90"/>
    <w:rsid w:val="000A713B"/>
    <w:rsid w:val="000B1E39"/>
    <w:rsid w:val="000B243D"/>
    <w:rsid w:val="000B350A"/>
    <w:rsid w:val="000B3627"/>
    <w:rsid w:val="000B7AEF"/>
    <w:rsid w:val="000C5EE0"/>
    <w:rsid w:val="000C6885"/>
    <w:rsid w:val="000E068F"/>
    <w:rsid w:val="000E126E"/>
    <w:rsid w:val="000E2096"/>
    <w:rsid w:val="000E44C4"/>
    <w:rsid w:val="000F4B12"/>
    <w:rsid w:val="000F5BF8"/>
    <w:rsid w:val="00101A99"/>
    <w:rsid w:val="00115DC3"/>
    <w:rsid w:val="001202CD"/>
    <w:rsid w:val="001240D4"/>
    <w:rsid w:val="001255A3"/>
    <w:rsid w:val="0012721B"/>
    <w:rsid w:val="00132B88"/>
    <w:rsid w:val="00133033"/>
    <w:rsid w:val="00134635"/>
    <w:rsid w:val="001364B3"/>
    <w:rsid w:val="001461A9"/>
    <w:rsid w:val="001466D3"/>
    <w:rsid w:val="00154F68"/>
    <w:rsid w:val="00156DCF"/>
    <w:rsid w:val="00170F8C"/>
    <w:rsid w:val="0017102C"/>
    <w:rsid w:val="0017194D"/>
    <w:rsid w:val="0017338F"/>
    <w:rsid w:val="001766AE"/>
    <w:rsid w:val="001824C7"/>
    <w:rsid w:val="00184E34"/>
    <w:rsid w:val="001861C5"/>
    <w:rsid w:val="001A3CC1"/>
    <w:rsid w:val="001A6FCE"/>
    <w:rsid w:val="001B396D"/>
    <w:rsid w:val="001B5487"/>
    <w:rsid w:val="001B7134"/>
    <w:rsid w:val="001C1432"/>
    <w:rsid w:val="001C3E62"/>
    <w:rsid w:val="001C4317"/>
    <w:rsid w:val="001C5B69"/>
    <w:rsid w:val="001C614B"/>
    <w:rsid w:val="001C7264"/>
    <w:rsid w:val="001D021E"/>
    <w:rsid w:val="001D0B87"/>
    <w:rsid w:val="001E1AB4"/>
    <w:rsid w:val="001E207A"/>
    <w:rsid w:val="001E26E4"/>
    <w:rsid w:val="001E280F"/>
    <w:rsid w:val="001E6961"/>
    <w:rsid w:val="001F2E01"/>
    <w:rsid w:val="001F4145"/>
    <w:rsid w:val="00203003"/>
    <w:rsid w:val="00204AE0"/>
    <w:rsid w:val="0020594C"/>
    <w:rsid w:val="00211145"/>
    <w:rsid w:val="00215022"/>
    <w:rsid w:val="00220CB1"/>
    <w:rsid w:val="00221DB9"/>
    <w:rsid w:val="00222734"/>
    <w:rsid w:val="00226A5C"/>
    <w:rsid w:val="00234572"/>
    <w:rsid w:val="00234A7A"/>
    <w:rsid w:val="0024310C"/>
    <w:rsid w:val="00246770"/>
    <w:rsid w:val="00253C7B"/>
    <w:rsid w:val="00257B6C"/>
    <w:rsid w:val="00266229"/>
    <w:rsid w:val="002706A2"/>
    <w:rsid w:val="00273A6A"/>
    <w:rsid w:val="002771D3"/>
    <w:rsid w:val="00280739"/>
    <w:rsid w:val="00287645"/>
    <w:rsid w:val="00290D82"/>
    <w:rsid w:val="002913E7"/>
    <w:rsid w:val="00294B50"/>
    <w:rsid w:val="002960F8"/>
    <w:rsid w:val="002A2A9B"/>
    <w:rsid w:val="002A6141"/>
    <w:rsid w:val="002A6A88"/>
    <w:rsid w:val="002C230A"/>
    <w:rsid w:val="002C7EC9"/>
    <w:rsid w:val="002D4253"/>
    <w:rsid w:val="002D587E"/>
    <w:rsid w:val="002E02EC"/>
    <w:rsid w:val="002E23FB"/>
    <w:rsid w:val="002E4345"/>
    <w:rsid w:val="002E5FA5"/>
    <w:rsid w:val="002E6255"/>
    <w:rsid w:val="002F1C07"/>
    <w:rsid w:val="002F23A1"/>
    <w:rsid w:val="002F6763"/>
    <w:rsid w:val="002F6EAB"/>
    <w:rsid w:val="002F7EB9"/>
    <w:rsid w:val="00304853"/>
    <w:rsid w:val="00305900"/>
    <w:rsid w:val="00306DA1"/>
    <w:rsid w:val="0031243D"/>
    <w:rsid w:val="0031575C"/>
    <w:rsid w:val="00317F5D"/>
    <w:rsid w:val="00320EB6"/>
    <w:rsid w:val="00320ED6"/>
    <w:rsid w:val="00321E8A"/>
    <w:rsid w:val="00325FF5"/>
    <w:rsid w:val="003267A7"/>
    <w:rsid w:val="00345794"/>
    <w:rsid w:val="00347A75"/>
    <w:rsid w:val="00350161"/>
    <w:rsid w:val="00350DE8"/>
    <w:rsid w:val="0035663F"/>
    <w:rsid w:val="0036091B"/>
    <w:rsid w:val="00360F07"/>
    <w:rsid w:val="00363E72"/>
    <w:rsid w:val="00371F50"/>
    <w:rsid w:val="00374FBB"/>
    <w:rsid w:val="00384558"/>
    <w:rsid w:val="0038628A"/>
    <w:rsid w:val="00386348"/>
    <w:rsid w:val="0039620B"/>
    <w:rsid w:val="003A0254"/>
    <w:rsid w:val="003B4AEA"/>
    <w:rsid w:val="003B5CCE"/>
    <w:rsid w:val="003B6CFB"/>
    <w:rsid w:val="003B6E62"/>
    <w:rsid w:val="003D3103"/>
    <w:rsid w:val="003D56C0"/>
    <w:rsid w:val="003E2C07"/>
    <w:rsid w:val="003E459D"/>
    <w:rsid w:val="003F64BE"/>
    <w:rsid w:val="00402384"/>
    <w:rsid w:val="00406A6B"/>
    <w:rsid w:val="00410DF3"/>
    <w:rsid w:val="004117C8"/>
    <w:rsid w:val="00411D36"/>
    <w:rsid w:val="004413B8"/>
    <w:rsid w:val="00442B75"/>
    <w:rsid w:val="00444503"/>
    <w:rsid w:val="00452C60"/>
    <w:rsid w:val="00456255"/>
    <w:rsid w:val="00456CA8"/>
    <w:rsid w:val="00457A59"/>
    <w:rsid w:val="00457AD1"/>
    <w:rsid w:val="00460FFE"/>
    <w:rsid w:val="00463778"/>
    <w:rsid w:val="00463C33"/>
    <w:rsid w:val="004739C7"/>
    <w:rsid w:val="00475C31"/>
    <w:rsid w:val="0048016C"/>
    <w:rsid w:val="00484464"/>
    <w:rsid w:val="0048527A"/>
    <w:rsid w:val="00487367"/>
    <w:rsid w:val="00491669"/>
    <w:rsid w:val="00495CD4"/>
    <w:rsid w:val="004A23CD"/>
    <w:rsid w:val="004A4BFD"/>
    <w:rsid w:val="004A6794"/>
    <w:rsid w:val="004B0B7C"/>
    <w:rsid w:val="004B3263"/>
    <w:rsid w:val="004B388B"/>
    <w:rsid w:val="004C11F1"/>
    <w:rsid w:val="004C20EA"/>
    <w:rsid w:val="004C2EC2"/>
    <w:rsid w:val="004C301A"/>
    <w:rsid w:val="004D2FFF"/>
    <w:rsid w:val="004D72DD"/>
    <w:rsid w:val="004E1C97"/>
    <w:rsid w:val="004E271F"/>
    <w:rsid w:val="004E3F72"/>
    <w:rsid w:val="004E4174"/>
    <w:rsid w:val="004F12B0"/>
    <w:rsid w:val="004F1DA7"/>
    <w:rsid w:val="004F574D"/>
    <w:rsid w:val="00500E1D"/>
    <w:rsid w:val="0050322A"/>
    <w:rsid w:val="00503409"/>
    <w:rsid w:val="00503ECC"/>
    <w:rsid w:val="0050639C"/>
    <w:rsid w:val="00513616"/>
    <w:rsid w:val="00515653"/>
    <w:rsid w:val="00516592"/>
    <w:rsid w:val="00516D4C"/>
    <w:rsid w:val="005179C9"/>
    <w:rsid w:val="00523ABC"/>
    <w:rsid w:val="00540A2A"/>
    <w:rsid w:val="005434EB"/>
    <w:rsid w:val="005441A0"/>
    <w:rsid w:val="00544AC6"/>
    <w:rsid w:val="005467FD"/>
    <w:rsid w:val="00560A48"/>
    <w:rsid w:val="00562FCF"/>
    <w:rsid w:val="00565E18"/>
    <w:rsid w:val="005673BB"/>
    <w:rsid w:val="005767CB"/>
    <w:rsid w:val="00580BA6"/>
    <w:rsid w:val="0058329C"/>
    <w:rsid w:val="005846B5"/>
    <w:rsid w:val="005853A2"/>
    <w:rsid w:val="00586F43"/>
    <w:rsid w:val="00591F8C"/>
    <w:rsid w:val="00593E45"/>
    <w:rsid w:val="0059407F"/>
    <w:rsid w:val="00596200"/>
    <w:rsid w:val="005A2628"/>
    <w:rsid w:val="005A5265"/>
    <w:rsid w:val="005B0103"/>
    <w:rsid w:val="005B2223"/>
    <w:rsid w:val="005B7BA7"/>
    <w:rsid w:val="005B7E5E"/>
    <w:rsid w:val="005C064F"/>
    <w:rsid w:val="005C78A1"/>
    <w:rsid w:val="005C7C79"/>
    <w:rsid w:val="005D1753"/>
    <w:rsid w:val="005D7202"/>
    <w:rsid w:val="005E635F"/>
    <w:rsid w:val="005F5459"/>
    <w:rsid w:val="005F7BE1"/>
    <w:rsid w:val="00600887"/>
    <w:rsid w:val="00600C54"/>
    <w:rsid w:val="00617880"/>
    <w:rsid w:val="006202E6"/>
    <w:rsid w:val="00623620"/>
    <w:rsid w:val="0062408B"/>
    <w:rsid w:val="00631132"/>
    <w:rsid w:val="00640D54"/>
    <w:rsid w:val="006425E2"/>
    <w:rsid w:val="006563A7"/>
    <w:rsid w:val="00656507"/>
    <w:rsid w:val="00660167"/>
    <w:rsid w:val="0066072A"/>
    <w:rsid w:val="006622B6"/>
    <w:rsid w:val="00662CA5"/>
    <w:rsid w:val="006647B8"/>
    <w:rsid w:val="006736A9"/>
    <w:rsid w:val="00675641"/>
    <w:rsid w:val="006757CF"/>
    <w:rsid w:val="00694192"/>
    <w:rsid w:val="00695AFC"/>
    <w:rsid w:val="006A1718"/>
    <w:rsid w:val="006A34CE"/>
    <w:rsid w:val="006A787C"/>
    <w:rsid w:val="006C135E"/>
    <w:rsid w:val="006C1BB2"/>
    <w:rsid w:val="006C4497"/>
    <w:rsid w:val="006C54F2"/>
    <w:rsid w:val="006D151C"/>
    <w:rsid w:val="006D3233"/>
    <w:rsid w:val="006E2987"/>
    <w:rsid w:val="006E4FC9"/>
    <w:rsid w:val="006E52F1"/>
    <w:rsid w:val="006E6824"/>
    <w:rsid w:val="006F3026"/>
    <w:rsid w:val="006F35DD"/>
    <w:rsid w:val="006F5583"/>
    <w:rsid w:val="006F59E0"/>
    <w:rsid w:val="00701021"/>
    <w:rsid w:val="00701DF4"/>
    <w:rsid w:val="007022A7"/>
    <w:rsid w:val="0070402B"/>
    <w:rsid w:val="00710222"/>
    <w:rsid w:val="007102A2"/>
    <w:rsid w:val="00712C3E"/>
    <w:rsid w:val="00715010"/>
    <w:rsid w:val="00715754"/>
    <w:rsid w:val="0071713E"/>
    <w:rsid w:val="00722094"/>
    <w:rsid w:val="00724723"/>
    <w:rsid w:val="007249A8"/>
    <w:rsid w:val="00730184"/>
    <w:rsid w:val="00731669"/>
    <w:rsid w:val="00732468"/>
    <w:rsid w:val="007334D9"/>
    <w:rsid w:val="00734705"/>
    <w:rsid w:val="007370D4"/>
    <w:rsid w:val="00747A63"/>
    <w:rsid w:val="00750BB0"/>
    <w:rsid w:val="00757707"/>
    <w:rsid w:val="00757B19"/>
    <w:rsid w:val="007614DB"/>
    <w:rsid w:val="0076163C"/>
    <w:rsid w:val="00761F9A"/>
    <w:rsid w:val="00764BE7"/>
    <w:rsid w:val="0077386F"/>
    <w:rsid w:val="007760F0"/>
    <w:rsid w:val="00780C4F"/>
    <w:rsid w:val="00780DD1"/>
    <w:rsid w:val="007818E6"/>
    <w:rsid w:val="00790AC7"/>
    <w:rsid w:val="007924CA"/>
    <w:rsid w:val="007927D1"/>
    <w:rsid w:val="007936C4"/>
    <w:rsid w:val="0079479F"/>
    <w:rsid w:val="007A0DAE"/>
    <w:rsid w:val="007A14C1"/>
    <w:rsid w:val="007A35D8"/>
    <w:rsid w:val="007A43A8"/>
    <w:rsid w:val="007A45F2"/>
    <w:rsid w:val="007A60D8"/>
    <w:rsid w:val="007B00B1"/>
    <w:rsid w:val="007B0489"/>
    <w:rsid w:val="007B69A9"/>
    <w:rsid w:val="007C3137"/>
    <w:rsid w:val="007D7051"/>
    <w:rsid w:val="007D76EC"/>
    <w:rsid w:val="007E5BB2"/>
    <w:rsid w:val="007E73E0"/>
    <w:rsid w:val="007F345E"/>
    <w:rsid w:val="0080259D"/>
    <w:rsid w:val="008032AB"/>
    <w:rsid w:val="008064B3"/>
    <w:rsid w:val="00807A90"/>
    <w:rsid w:val="00811F4A"/>
    <w:rsid w:val="00812756"/>
    <w:rsid w:val="00813F79"/>
    <w:rsid w:val="0081498A"/>
    <w:rsid w:val="0082145D"/>
    <w:rsid w:val="0082560F"/>
    <w:rsid w:val="00830517"/>
    <w:rsid w:val="00830DA7"/>
    <w:rsid w:val="00831664"/>
    <w:rsid w:val="0084114C"/>
    <w:rsid w:val="008432D3"/>
    <w:rsid w:val="008461AA"/>
    <w:rsid w:val="008601BF"/>
    <w:rsid w:val="008618B5"/>
    <w:rsid w:val="00864259"/>
    <w:rsid w:val="00865CB2"/>
    <w:rsid w:val="0087671A"/>
    <w:rsid w:val="00877725"/>
    <w:rsid w:val="00877FEF"/>
    <w:rsid w:val="008830A1"/>
    <w:rsid w:val="00883DFE"/>
    <w:rsid w:val="00884E4F"/>
    <w:rsid w:val="008860FC"/>
    <w:rsid w:val="00891E23"/>
    <w:rsid w:val="00892EA8"/>
    <w:rsid w:val="008A169B"/>
    <w:rsid w:val="008A3382"/>
    <w:rsid w:val="008A59EE"/>
    <w:rsid w:val="008A6DCB"/>
    <w:rsid w:val="008A7BA8"/>
    <w:rsid w:val="008B210A"/>
    <w:rsid w:val="008B31CD"/>
    <w:rsid w:val="008B5167"/>
    <w:rsid w:val="008B6B90"/>
    <w:rsid w:val="008B73AD"/>
    <w:rsid w:val="008C5483"/>
    <w:rsid w:val="008C7B8E"/>
    <w:rsid w:val="008D74D9"/>
    <w:rsid w:val="008E06F4"/>
    <w:rsid w:val="008F6F09"/>
    <w:rsid w:val="00900FBA"/>
    <w:rsid w:val="0090284A"/>
    <w:rsid w:val="00902BE5"/>
    <w:rsid w:val="009050FA"/>
    <w:rsid w:val="00906123"/>
    <w:rsid w:val="00906CE5"/>
    <w:rsid w:val="00907043"/>
    <w:rsid w:val="00915406"/>
    <w:rsid w:val="00922D7A"/>
    <w:rsid w:val="00923866"/>
    <w:rsid w:val="00924531"/>
    <w:rsid w:val="0092521A"/>
    <w:rsid w:val="00934597"/>
    <w:rsid w:val="00940860"/>
    <w:rsid w:val="00945101"/>
    <w:rsid w:val="00945D24"/>
    <w:rsid w:val="00954BBA"/>
    <w:rsid w:val="00956EB5"/>
    <w:rsid w:val="00972837"/>
    <w:rsid w:val="009767DB"/>
    <w:rsid w:val="0098519B"/>
    <w:rsid w:val="009854F5"/>
    <w:rsid w:val="0098747C"/>
    <w:rsid w:val="00993802"/>
    <w:rsid w:val="00994E5F"/>
    <w:rsid w:val="009A1436"/>
    <w:rsid w:val="009A4155"/>
    <w:rsid w:val="009B0460"/>
    <w:rsid w:val="009B7C5F"/>
    <w:rsid w:val="009C39DF"/>
    <w:rsid w:val="009D03C4"/>
    <w:rsid w:val="009D142F"/>
    <w:rsid w:val="009D2E11"/>
    <w:rsid w:val="009D3411"/>
    <w:rsid w:val="009D5F6B"/>
    <w:rsid w:val="009E159E"/>
    <w:rsid w:val="009F0530"/>
    <w:rsid w:val="009F07A0"/>
    <w:rsid w:val="009F3D8C"/>
    <w:rsid w:val="009F4153"/>
    <w:rsid w:val="009F6DC7"/>
    <w:rsid w:val="009F7214"/>
    <w:rsid w:val="009F7819"/>
    <w:rsid w:val="00A010BD"/>
    <w:rsid w:val="00A0190D"/>
    <w:rsid w:val="00A01D9D"/>
    <w:rsid w:val="00A04034"/>
    <w:rsid w:val="00A15137"/>
    <w:rsid w:val="00A16BF1"/>
    <w:rsid w:val="00A21EAC"/>
    <w:rsid w:val="00A32184"/>
    <w:rsid w:val="00A34699"/>
    <w:rsid w:val="00A41EBF"/>
    <w:rsid w:val="00A43F2A"/>
    <w:rsid w:val="00A440A2"/>
    <w:rsid w:val="00A466F5"/>
    <w:rsid w:val="00A54760"/>
    <w:rsid w:val="00A56D5C"/>
    <w:rsid w:val="00A5711E"/>
    <w:rsid w:val="00A66E43"/>
    <w:rsid w:val="00A72B40"/>
    <w:rsid w:val="00A74ABD"/>
    <w:rsid w:val="00A75CA9"/>
    <w:rsid w:val="00A761D9"/>
    <w:rsid w:val="00A76A6D"/>
    <w:rsid w:val="00A776DF"/>
    <w:rsid w:val="00A808C7"/>
    <w:rsid w:val="00A81A09"/>
    <w:rsid w:val="00A81E74"/>
    <w:rsid w:val="00A83D5F"/>
    <w:rsid w:val="00A93803"/>
    <w:rsid w:val="00A95554"/>
    <w:rsid w:val="00A96461"/>
    <w:rsid w:val="00AA0F56"/>
    <w:rsid w:val="00AA1592"/>
    <w:rsid w:val="00AA3281"/>
    <w:rsid w:val="00AA32A4"/>
    <w:rsid w:val="00AA4B45"/>
    <w:rsid w:val="00AA6A22"/>
    <w:rsid w:val="00AA6F1F"/>
    <w:rsid w:val="00AB0881"/>
    <w:rsid w:val="00AB256C"/>
    <w:rsid w:val="00AB2DC0"/>
    <w:rsid w:val="00AB2EDD"/>
    <w:rsid w:val="00AB3F8B"/>
    <w:rsid w:val="00AC1BB9"/>
    <w:rsid w:val="00AD3A2D"/>
    <w:rsid w:val="00AD682D"/>
    <w:rsid w:val="00AE05DB"/>
    <w:rsid w:val="00AE1B05"/>
    <w:rsid w:val="00AE4977"/>
    <w:rsid w:val="00AE6C86"/>
    <w:rsid w:val="00AE7828"/>
    <w:rsid w:val="00AF0484"/>
    <w:rsid w:val="00AF38AA"/>
    <w:rsid w:val="00AF46A3"/>
    <w:rsid w:val="00AF5F44"/>
    <w:rsid w:val="00AF775A"/>
    <w:rsid w:val="00AF7DAE"/>
    <w:rsid w:val="00B004B4"/>
    <w:rsid w:val="00B02717"/>
    <w:rsid w:val="00B10F78"/>
    <w:rsid w:val="00B135A8"/>
    <w:rsid w:val="00B15563"/>
    <w:rsid w:val="00B17D53"/>
    <w:rsid w:val="00B2385E"/>
    <w:rsid w:val="00B250B2"/>
    <w:rsid w:val="00B30454"/>
    <w:rsid w:val="00B34C82"/>
    <w:rsid w:val="00B47456"/>
    <w:rsid w:val="00B47A19"/>
    <w:rsid w:val="00B505F5"/>
    <w:rsid w:val="00B53392"/>
    <w:rsid w:val="00B548AB"/>
    <w:rsid w:val="00B54B5D"/>
    <w:rsid w:val="00B65148"/>
    <w:rsid w:val="00B71486"/>
    <w:rsid w:val="00B72665"/>
    <w:rsid w:val="00B8053F"/>
    <w:rsid w:val="00B873AA"/>
    <w:rsid w:val="00B92D2B"/>
    <w:rsid w:val="00B92DC7"/>
    <w:rsid w:val="00B96884"/>
    <w:rsid w:val="00BB06C1"/>
    <w:rsid w:val="00BB3793"/>
    <w:rsid w:val="00BB5883"/>
    <w:rsid w:val="00BB6853"/>
    <w:rsid w:val="00BB79D2"/>
    <w:rsid w:val="00BC07DD"/>
    <w:rsid w:val="00BC5830"/>
    <w:rsid w:val="00BC63B1"/>
    <w:rsid w:val="00BC6785"/>
    <w:rsid w:val="00BD2016"/>
    <w:rsid w:val="00BD3304"/>
    <w:rsid w:val="00BD39A6"/>
    <w:rsid w:val="00BD424E"/>
    <w:rsid w:val="00BD7BAA"/>
    <w:rsid w:val="00BE2297"/>
    <w:rsid w:val="00BE740D"/>
    <w:rsid w:val="00BE7D70"/>
    <w:rsid w:val="00BE7E09"/>
    <w:rsid w:val="00BF0145"/>
    <w:rsid w:val="00BF0C5C"/>
    <w:rsid w:val="00BF13B4"/>
    <w:rsid w:val="00BF261E"/>
    <w:rsid w:val="00BF2D32"/>
    <w:rsid w:val="00BF532E"/>
    <w:rsid w:val="00BF5D79"/>
    <w:rsid w:val="00BF713A"/>
    <w:rsid w:val="00C010A6"/>
    <w:rsid w:val="00C01A54"/>
    <w:rsid w:val="00C06711"/>
    <w:rsid w:val="00C06A60"/>
    <w:rsid w:val="00C07F29"/>
    <w:rsid w:val="00C10348"/>
    <w:rsid w:val="00C20CDC"/>
    <w:rsid w:val="00C21F26"/>
    <w:rsid w:val="00C22DC6"/>
    <w:rsid w:val="00C26A42"/>
    <w:rsid w:val="00C272BE"/>
    <w:rsid w:val="00C34ABC"/>
    <w:rsid w:val="00C36156"/>
    <w:rsid w:val="00C37B67"/>
    <w:rsid w:val="00C41795"/>
    <w:rsid w:val="00C43873"/>
    <w:rsid w:val="00C4502C"/>
    <w:rsid w:val="00C47E3F"/>
    <w:rsid w:val="00C56FA4"/>
    <w:rsid w:val="00C571C1"/>
    <w:rsid w:val="00C6002A"/>
    <w:rsid w:val="00C6344B"/>
    <w:rsid w:val="00C678D0"/>
    <w:rsid w:val="00C826B4"/>
    <w:rsid w:val="00C84613"/>
    <w:rsid w:val="00C84712"/>
    <w:rsid w:val="00CA474F"/>
    <w:rsid w:val="00CB5977"/>
    <w:rsid w:val="00CC1682"/>
    <w:rsid w:val="00CC1FC6"/>
    <w:rsid w:val="00CC2658"/>
    <w:rsid w:val="00CC28BA"/>
    <w:rsid w:val="00CC67FA"/>
    <w:rsid w:val="00CD5943"/>
    <w:rsid w:val="00CE0484"/>
    <w:rsid w:val="00CE2A5B"/>
    <w:rsid w:val="00CE4249"/>
    <w:rsid w:val="00CE599D"/>
    <w:rsid w:val="00CE7D64"/>
    <w:rsid w:val="00CF2B9F"/>
    <w:rsid w:val="00CF43BA"/>
    <w:rsid w:val="00D02223"/>
    <w:rsid w:val="00D052DF"/>
    <w:rsid w:val="00D127D9"/>
    <w:rsid w:val="00D13198"/>
    <w:rsid w:val="00D15BE5"/>
    <w:rsid w:val="00D16157"/>
    <w:rsid w:val="00D165E2"/>
    <w:rsid w:val="00D224F7"/>
    <w:rsid w:val="00D22731"/>
    <w:rsid w:val="00D22CDF"/>
    <w:rsid w:val="00D23806"/>
    <w:rsid w:val="00D326D6"/>
    <w:rsid w:val="00D33AA7"/>
    <w:rsid w:val="00D405D7"/>
    <w:rsid w:val="00D434DD"/>
    <w:rsid w:val="00D439C7"/>
    <w:rsid w:val="00D450E5"/>
    <w:rsid w:val="00D465D0"/>
    <w:rsid w:val="00D466BE"/>
    <w:rsid w:val="00D53B85"/>
    <w:rsid w:val="00D54DEF"/>
    <w:rsid w:val="00D567BE"/>
    <w:rsid w:val="00D568DA"/>
    <w:rsid w:val="00D6321E"/>
    <w:rsid w:val="00D652BC"/>
    <w:rsid w:val="00D66872"/>
    <w:rsid w:val="00D67F2C"/>
    <w:rsid w:val="00D75FD1"/>
    <w:rsid w:val="00D77A72"/>
    <w:rsid w:val="00D830A7"/>
    <w:rsid w:val="00D840FD"/>
    <w:rsid w:val="00D97FB5"/>
    <w:rsid w:val="00DA0562"/>
    <w:rsid w:val="00DA0BBA"/>
    <w:rsid w:val="00DA3F31"/>
    <w:rsid w:val="00DB4670"/>
    <w:rsid w:val="00DC0C96"/>
    <w:rsid w:val="00DC6795"/>
    <w:rsid w:val="00DC698F"/>
    <w:rsid w:val="00DD2056"/>
    <w:rsid w:val="00DD2901"/>
    <w:rsid w:val="00DD763D"/>
    <w:rsid w:val="00DE6830"/>
    <w:rsid w:val="00DE6F0F"/>
    <w:rsid w:val="00DF1827"/>
    <w:rsid w:val="00DF2A38"/>
    <w:rsid w:val="00DF5B05"/>
    <w:rsid w:val="00DF7B58"/>
    <w:rsid w:val="00E008F7"/>
    <w:rsid w:val="00E0256D"/>
    <w:rsid w:val="00E0456C"/>
    <w:rsid w:val="00E04863"/>
    <w:rsid w:val="00E15F84"/>
    <w:rsid w:val="00E25B17"/>
    <w:rsid w:val="00E27E74"/>
    <w:rsid w:val="00E3110D"/>
    <w:rsid w:val="00E3539A"/>
    <w:rsid w:val="00E35E61"/>
    <w:rsid w:val="00E427A7"/>
    <w:rsid w:val="00E47C6D"/>
    <w:rsid w:val="00E53130"/>
    <w:rsid w:val="00E5705A"/>
    <w:rsid w:val="00E619B8"/>
    <w:rsid w:val="00E653E7"/>
    <w:rsid w:val="00E67DB6"/>
    <w:rsid w:val="00E700CC"/>
    <w:rsid w:val="00E76CB4"/>
    <w:rsid w:val="00E81632"/>
    <w:rsid w:val="00E849DC"/>
    <w:rsid w:val="00E85325"/>
    <w:rsid w:val="00E85B5B"/>
    <w:rsid w:val="00E912C0"/>
    <w:rsid w:val="00E9415F"/>
    <w:rsid w:val="00E96FF3"/>
    <w:rsid w:val="00EA3930"/>
    <w:rsid w:val="00EB2E3C"/>
    <w:rsid w:val="00EB7E52"/>
    <w:rsid w:val="00EC2981"/>
    <w:rsid w:val="00EC438F"/>
    <w:rsid w:val="00EC54A4"/>
    <w:rsid w:val="00EE7038"/>
    <w:rsid w:val="00EF49A6"/>
    <w:rsid w:val="00EF5D5A"/>
    <w:rsid w:val="00EF5EF8"/>
    <w:rsid w:val="00F0104C"/>
    <w:rsid w:val="00F014F5"/>
    <w:rsid w:val="00F0797D"/>
    <w:rsid w:val="00F14226"/>
    <w:rsid w:val="00F2484C"/>
    <w:rsid w:val="00F31641"/>
    <w:rsid w:val="00F31C18"/>
    <w:rsid w:val="00F339F7"/>
    <w:rsid w:val="00F43AAE"/>
    <w:rsid w:val="00F44526"/>
    <w:rsid w:val="00F56786"/>
    <w:rsid w:val="00F63A7B"/>
    <w:rsid w:val="00F67B2D"/>
    <w:rsid w:val="00F71D0E"/>
    <w:rsid w:val="00F74197"/>
    <w:rsid w:val="00F80A82"/>
    <w:rsid w:val="00F90B8A"/>
    <w:rsid w:val="00F940DE"/>
    <w:rsid w:val="00F9560C"/>
    <w:rsid w:val="00F97CA8"/>
    <w:rsid w:val="00FA0D7F"/>
    <w:rsid w:val="00FA1231"/>
    <w:rsid w:val="00FA2208"/>
    <w:rsid w:val="00FA4B4D"/>
    <w:rsid w:val="00FB3592"/>
    <w:rsid w:val="00FB50C9"/>
    <w:rsid w:val="00FB529E"/>
    <w:rsid w:val="00FB5509"/>
    <w:rsid w:val="00FC61F5"/>
    <w:rsid w:val="00FC7075"/>
    <w:rsid w:val="00FE0080"/>
    <w:rsid w:val="00FE2E21"/>
    <w:rsid w:val="00FF128A"/>
    <w:rsid w:val="00FF588A"/>
    <w:rsid w:val="00FF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152"/>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152"/>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AE05DB"/>
    <w:pPr>
      <w:numPr>
        <w:ilvl w:val="2"/>
        <w:numId w:val="152"/>
      </w:numPr>
      <w:spacing w:afterLines="50" w:after="50"/>
      <w:ind w:firstLineChars="0"/>
      <w:outlineLvl w:val="2"/>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AE05DB"/>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 w:type="character" w:customStyle="1" w:styleId="mi">
    <w:name w:val="mi"/>
    <w:basedOn w:val="DefaultParagraphFont"/>
    <w:rsid w:val="00E912C0"/>
  </w:style>
  <w:style w:type="character" w:customStyle="1" w:styleId="mo">
    <w:name w:val="mo"/>
    <w:basedOn w:val="DefaultParagraphFont"/>
    <w:rsid w:val="00E912C0"/>
  </w:style>
  <w:style w:type="character" w:customStyle="1" w:styleId="mn">
    <w:name w:val="mn"/>
    <w:basedOn w:val="DefaultParagraphFont"/>
    <w:rsid w:val="00E912C0"/>
  </w:style>
  <w:style w:type="paragraph" w:styleId="NormalWeb">
    <w:name w:val="Normal (Web)"/>
    <w:basedOn w:val="Normal"/>
    <w:uiPriority w:val="99"/>
    <w:semiHidden/>
    <w:unhideWhenUsed/>
    <w:rsid w:val="00E912C0"/>
    <w:pPr>
      <w:widowControl/>
      <w:spacing w:before="100" w:beforeAutospacing="1" w:after="100" w:afterAutospacing="1"/>
      <w:jc w:val="left"/>
    </w:pPr>
    <w:rPr>
      <w:rFonts w:ascii="SimSun" w:eastAsia="SimSun" w:hAnsi="SimSun" w:cs="SimSun"/>
      <w:kern w:val="0"/>
      <w:sz w:val="24"/>
      <w:szCs w:val="24"/>
    </w:rPr>
  </w:style>
  <w:style w:type="paragraph" w:styleId="NoSpacing">
    <w:name w:val="No Spacing"/>
    <w:uiPriority w:val="1"/>
    <w:qFormat/>
    <w:rsid w:val="009B0460"/>
    <w:pPr>
      <w:widowControl w:val="0"/>
      <w:jc w:val="both"/>
    </w:pPr>
  </w:style>
  <w:style w:type="paragraph" w:styleId="Header">
    <w:name w:val="header"/>
    <w:basedOn w:val="Normal"/>
    <w:link w:val="HeaderChar"/>
    <w:uiPriority w:val="99"/>
    <w:unhideWhenUsed/>
    <w:rsid w:val="00B10F78"/>
    <w:pPr>
      <w:tabs>
        <w:tab w:val="center" w:pos="4320"/>
        <w:tab w:val="right" w:pos="8640"/>
      </w:tabs>
    </w:pPr>
  </w:style>
  <w:style w:type="character" w:customStyle="1" w:styleId="HeaderChar">
    <w:name w:val="Header Char"/>
    <w:basedOn w:val="DefaultParagraphFont"/>
    <w:link w:val="Header"/>
    <w:uiPriority w:val="99"/>
    <w:rsid w:val="00B10F78"/>
  </w:style>
  <w:style w:type="paragraph" w:styleId="Footer">
    <w:name w:val="footer"/>
    <w:basedOn w:val="Normal"/>
    <w:link w:val="FooterChar"/>
    <w:uiPriority w:val="99"/>
    <w:unhideWhenUsed/>
    <w:rsid w:val="00B10F78"/>
    <w:pPr>
      <w:tabs>
        <w:tab w:val="center" w:pos="4320"/>
        <w:tab w:val="right" w:pos="8640"/>
      </w:tabs>
    </w:pPr>
  </w:style>
  <w:style w:type="character" w:customStyle="1" w:styleId="FooterChar">
    <w:name w:val="Footer Char"/>
    <w:basedOn w:val="DefaultParagraphFont"/>
    <w:link w:val="Footer"/>
    <w:uiPriority w:val="99"/>
    <w:rsid w:val="00B10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67600">
      <w:bodyDiv w:val="1"/>
      <w:marLeft w:val="0"/>
      <w:marRight w:val="0"/>
      <w:marTop w:val="0"/>
      <w:marBottom w:val="0"/>
      <w:divBdr>
        <w:top w:val="none" w:sz="0" w:space="0" w:color="auto"/>
        <w:left w:val="none" w:sz="0" w:space="0" w:color="auto"/>
        <w:bottom w:val="none" w:sz="0" w:space="0" w:color="auto"/>
        <w:right w:val="none" w:sz="0" w:space="0" w:color="auto"/>
      </w:divBdr>
    </w:div>
    <w:div w:id="342821228">
      <w:bodyDiv w:val="1"/>
      <w:marLeft w:val="0"/>
      <w:marRight w:val="0"/>
      <w:marTop w:val="0"/>
      <w:marBottom w:val="0"/>
      <w:divBdr>
        <w:top w:val="none" w:sz="0" w:space="0" w:color="auto"/>
        <w:left w:val="none" w:sz="0" w:space="0" w:color="auto"/>
        <w:bottom w:val="none" w:sz="0" w:space="0" w:color="auto"/>
        <w:right w:val="none" w:sz="0" w:space="0" w:color="auto"/>
      </w:divBdr>
      <w:divsChild>
        <w:div w:id="76682308">
          <w:marLeft w:val="0"/>
          <w:marRight w:val="0"/>
          <w:marTop w:val="0"/>
          <w:marBottom w:val="0"/>
          <w:divBdr>
            <w:top w:val="none" w:sz="0" w:space="0" w:color="auto"/>
            <w:left w:val="none" w:sz="0" w:space="0" w:color="auto"/>
            <w:bottom w:val="none" w:sz="0" w:space="0" w:color="auto"/>
            <w:right w:val="none" w:sz="0" w:space="0" w:color="auto"/>
          </w:divBdr>
          <w:divsChild>
            <w:div w:id="1382705066">
              <w:marLeft w:val="0"/>
              <w:marRight w:val="0"/>
              <w:marTop w:val="0"/>
              <w:marBottom w:val="0"/>
              <w:divBdr>
                <w:top w:val="none" w:sz="0" w:space="0" w:color="auto"/>
                <w:left w:val="none" w:sz="0" w:space="0" w:color="auto"/>
                <w:bottom w:val="none" w:sz="0" w:space="0" w:color="auto"/>
                <w:right w:val="none" w:sz="0" w:space="0" w:color="auto"/>
              </w:divBdr>
              <w:divsChild>
                <w:div w:id="14658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40913">
      <w:bodyDiv w:val="1"/>
      <w:marLeft w:val="0"/>
      <w:marRight w:val="0"/>
      <w:marTop w:val="0"/>
      <w:marBottom w:val="0"/>
      <w:divBdr>
        <w:top w:val="none" w:sz="0" w:space="0" w:color="auto"/>
        <w:left w:val="none" w:sz="0" w:space="0" w:color="auto"/>
        <w:bottom w:val="none" w:sz="0" w:space="0" w:color="auto"/>
        <w:right w:val="none" w:sz="0" w:space="0" w:color="auto"/>
      </w:divBdr>
      <w:divsChild>
        <w:div w:id="957953889">
          <w:marLeft w:val="0"/>
          <w:marRight w:val="0"/>
          <w:marTop w:val="0"/>
          <w:marBottom w:val="0"/>
          <w:divBdr>
            <w:top w:val="none" w:sz="0" w:space="0" w:color="auto"/>
            <w:left w:val="none" w:sz="0" w:space="0" w:color="auto"/>
            <w:bottom w:val="none" w:sz="0" w:space="0" w:color="auto"/>
            <w:right w:val="none" w:sz="0" w:space="0" w:color="auto"/>
          </w:divBdr>
          <w:divsChild>
            <w:div w:id="240070190">
              <w:marLeft w:val="0"/>
              <w:marRight w:val="0"/>
              <w:marTop w:val="0"/>
              <w:marBottom w:val="0"/>
              <w:divBdr>
                <w:top w:val="none" w:sz="0" w:space="0" w:color="auto"/>
                <w:left w:val="none" w:sz="0" w:space="0" w:color="auto"/>
                <w:bottom w:val="none" w:sz="0" w:space="0" w:color="auto"/>
                <w:right w:val="none" w:sz="0" w:space="0" w:color="auto"/>
              </w:divBdr>
              <w:divsChild>
                <w:div w:id="21379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729302137">
      <w:bodyDiv w:val="1"/>
      <w:marLeft w:val="0"/>
      <w:marRight w:val="0"/>
      <w:marTop w:val="0"/>
      <w:marBottom w:val="0"/>
      <w:divBdr>
        <w:top w:val="none" w:sz="0" w:space="0" w:color="auto"/>
        <w:left w:val="none" w:sz="0" w:space="0" w:color="auto"/>
        <w:bottom w:val="none" w:sz="0" w:space="0" w:color="auto"/>
        <w:right w:val="none" w:sz="0" w:space="0" w:color="auto"/>
      </w:divBdr>
      <w:divsChild>
        <w:div w:id="308099888">
          <w:marLeft w:val="0"/>
          <w:marRight w:val="0"/>
          <w:marTop w:val="0"/>
          <w:marBottom w:val="0"/>
          <w:divBdr>
            <w:top w:val="none" w:sz="0" w:space="0" w:color="auto"/>
            <w:left w:val="none" w:sz="0" w:space="0" w:color="auto"/>
            <w:bottom w:val="none" w:sz="0" w:space="0" w:color="auto"/>
            <w:right w:val="none" w:sz="0" w:space="0" w:color="auto"/>
          </w:divBdr>
          <w:divsChild>
            <w:div w:id="1241983483">
              <w:marLeft w:val="0"/>
              <w:marRight w:val="0"/>
              <w:marTop w:val="0"/>
              <w:marBottom w:val="0"/>
              <w:divBdr>
                <w:top w:val="none" w:sz="0" w:space="0" w:color="auto"/>
                <w:left w:val="none" w:sz="0" w:space="0" w:color="auto"/>
                <w:bottom w:val="none" w:sz="0" w:space="0" w:color="auto"/>
                <w:right w:val="none" w:sz="0" w:space="0" w:color="auto"/>
              </w:divBdr>
              <w:divsChild>
                <w:div w:id="8913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6613">
      <w:bodyDiv w:val="1"/>
      <w:marLeft w:val="0"/>
      <w:marRight w:val="0"/>
      <w:marTop w:val="0"/>
      <w:marBottom w:val="0"/>
      <w:divBdr>
        <w:top w:val="none" w:sz="0" w:space="0" w:color="auto"/>
        <w:left w:val="none" w:sz="0" w:space="0" w:color="auto"/>
        <w:bottom w:val="none" w:sz="0" w:space="0" w:color="auto"/>
        <w:right w:val="none" w:sz="0" w:space="0" w:color="auto"/>
      </w:divBdr>
      <w:divsChild>
        <w:div w:id="1993868786">
          <w:marLeft w:val="0"/>
          <w:marRight w:val="0"/>
          <w:marTop w:val="0"/>
          <w:marBottom w:val="0"/>
          <w:divBdr>
            <w:top w:val="none" w:sz="0" w:space="0" w:color="auto"/>
            <w:left w:val="none" w:sz="0" w:space="0" w:color="auto"/>
            <w:bottom w:val="none" w:sz="0" w:space="0" w:color="auto"/>
            <w:right w:val="none" w:sz="0" w:space="0" w:color="auto"/>
          </w:divBdr>
          <w:divsChild>
            <w:div w:id="984162966">
              <w:marLeft w:val="0"/>
              <w:marRight w:val="0"/>
              <w:marTop w:val="0"/>
              <w:marBottom w:val="0"/>
              <w:divBdr>
                <w:top w:val="none" w:sz="0" w:space="0" w:color="auto"/>
                <w:left w:val="none" w:sz="0" w:space="0" w:color="auto"/>
                <w:bottom w:val="none" w:sz="0" w:space="0" w:color="auto"/>
                <w:right w:val="none" w:sz="0" w:space="0" w:color="auto"/>
              </w:divBdr>
              <w:divsChild>
                <w:div w:id="13028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4161">
      <w:bodyDiv w:val="1"/>
      <w:marLeft w:val="0"/>
      <w:marRight w:val="0"/>
      <w:marTop w:val="0"/>
      <w:marBottom w:val="0"/>
      <w:divBdr>
        <w:top w:val="none" w:sz="0" w:space="0" w:color="auto"/>
        <w:left w:val="none" w:sz="0" w:space="0" w:color="auto"/>
        <w:bottom w:val="none" w:sz="0" w:space="0" w:color="auto"/>
        <w:right w:val="none" w:sz="0" w:space="0" w:color="auto"/>
      </w:divBdr>
      <w:divsChild>
        <w:div w:id="1922445754">
          <w:marLeft w:val="0"/>
          <w:marRight w:val="0"/>
          <w:marTop w:val="0"/>
          <w:marBottom w:val="0"/>
          <w:divBdr>
            <w:top w:val="none" w:sz="0" w:space="0" w:color="auto"/>
            <w:left w:val="none" w:sz="0" w:space="0" w:color="auto"/>
            <w:bottom w:val="none" w:sz="0" w:space="0" w:color="auto"/>
            <w:right w:val="none" w:sz="0" w:space="0" w:color="auto"/>
          </w:divBdr>
          <w:divsChild>
            <w:div w:id="841623201">
              <w:marLeft w:val="0"/>
              <w:marRight w:val="0"/>
              <w:marTop w:val="0"/>
              <w:marBottom w:val="0"/>
              <w:divBdr>
                <w:top w:val="none" w:sz="0" w:space="0" w:color="auto"/>
                <w:left w:val="none" w:sz="0" w:space="0" w:color="auto"/>
                <w:bottom w:val="none" w:sz="0" w:space="0" w:color="auto"/>
                <w:right w:val="none" w:sz="0" w:space="0" w:color="auto"/>
              </w:divBdr>
              <w:divsChild>
                <w:div w:id="12489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 w:id="1303192479">
      <w:bodyDiv w:val="1"/>
      <w:marLeft w:val="0"/>
      <w:marRight w:val="0"/>
      <w:marTop w:val="0"/>
      <w:marBottom w:val="0"/>
      <w:divBdr>
        <w:top w:val="none" w:sz="0" w:space="0" w:color="auto"/>
        <w:left w:val="none" w:sz="0" w:space="0" w:color="auto"/>
        <w:bottom w:val="none" w:sz="0" w:space="0" w:color="auto"/>
        <w:right w:val="none" w:sz="0" w:space="0" w:color="auto"/>
      </w:divBdr>
      <w:divsChild>
        <w:div w:id="476413559">
          <w:marLeft w:val="0"/>
          <w:marRight w:val="0"/>
          <w:marTop w:val="0"/>
          <w:marBottom w:val="0"/>
          <w:divBdr>
            <w:top w:val="none" w:sz="0" w:space="0" w:color="auto"/>
            <w:left w:val="none" w:sz="0" w:space="0" w:color="auto"/>
            <w:bottom w:val="none" w:sz="0" w:space="0" w:color="auto"/>
            <w:right w:val="none" w:sz="0" w:space="0" w:color="auto"/>
          </w:divBdr>
          <w:divsChild>
            <w:div w:id="610474907">
              <w:marLeft w:val="0"/>
              <w:marRight w:val="0"/>
              <w:marTop w:val="0"/>
              <w:marBottom w:val="0"/>
              <w:divBdr>
                <w:top w:val="none" w:sz="0" w:space="0" w:color="auto"/>
                <w:left w:val="none" w:sz="0" w:space="0" w:color="auto"/>
                <w:bottom w:val="none" w:sz="0" w:space="0" w:color="auto"/>
                <w:right w:val="none" w:sz="0" w:space="0" w:color="auto"/>
              </w:divBdr>
              <w:divsChild>
                <w:div w:id="945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85686">
      <w:bodyDiv w:val="1"/>
      <w:marLeft w:val="0"/>
      <w:marRight w:val="0"/>
      <w:marTop w:val="0"/>
      <w:marBottom w:val="0"/>
      <w:divBdr>
        <w:top w:val="none" w:sz="0" w:space="0" w:color="auto"/>
        <w:left w:val="none" w:sz="0" w:space="0" w:color="auto"/>
        <w:bottom w:val="none" w:sz="0" w:space="0" w:color="auto"/>
        <w:right w:val="none" w:sz="0" w:space="0" w:color="auto"/>
      </w:divBdr>
      <w:divsChild>
        <w:div w:id="1794251743">
          <w:marLeft w:val="0"/>
          <w:marRight w:val="0"/>
          <w:marTop w:val="0"/>
          <w:marBottom w:val="0"/>
          <w:divBdr>
            <w:top w:val="none" w:sz="0" w:space="0" w:color="auto"/>
            <w:left w:val="none" w:sz="0" w:space="0" w:color="auto"/>
            <w:bottom w:val="none" w:sz="0" w:space="0" w:color="auto"/>
            <w:right w:val="none" w:sz="0" w:space="0" w:color="auto"/>
          </w:divBdr>
          <w:divsChild>
            <w:div w:id="887573225">
              <w:marLeft w:val="0"/>
              <w:marRight w:val="0"/>
              <w:marTop w:val="0"/>
              <w:marBottom w:val="0"/>
              <w:divBdr>
                <w:top w:val="none" w:sz="0" w:space="0" w:color="auto"/>
                <w:left w:val="none" w:sz="0" w:space="0" w:color="auto"/>
                <w:bottom w:val="none" w:sz="0" w:space="0" w:color="auto"/>
                <w:right w:val="none" w:sz="0" w:space="0" w:color="auto"/>
              </w:divBdr>
              <w:divsChild>
                <w:div w:id="552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8081">
      <w:bodyDiv w:val="1"/>
      <w:marLeft w:val="0"/>
      <w:marRight w:val="0"/>
      <w:marTop w:val="0"/>
      <w:marBottom w:val="0"/>
      <w:divBdr>
        <w:top w:val="none" w:sz="0" w:space="0" w:color="auto"/>
        <w:left w:val="none" w:sz="0" w:space="0" w:color="auto"/>
        <w:bottom w:val="none" w:sz="0" w:space="0" w:color="auto"/>
        <w:right w:val="none" w:sz="0" w:space="0" w:color="auto"/>
      </w:divBdr>
      <w:divsChild>
        <w:div w:id="514343920">
          <w:marLeft w:val="0"/>
          <w:marRight w:val="0"/>
          <w:marTop w:val="0"/>
          <w:marBottom w:val="0"/>
          <w:divBdr>
            <w:top w:val="none" w:sz="0" w:space="0" w:color="auto"/>
            <w:left w:val="none" w:sz="0" w:space="0" w:color="auto"/>
            <w:bottom w:val="none" w:sz="0" w:space="0" w:color="auto"/>
            <w:right w:val="none" w:sz="0" w:space="0" w:color="auto"/>
          </w:divBdr>
          <w:divsChild>
            <w:div w:id="1398701783">
              <w:marLeft w:val="0"/>
              <w:marRight w:val="0"/>
              <w:marTop w:val="0"/>
              <w:marBottom w:val="0"/>
              <w:divBdr>
                <w:top w:val="none" w:sz="0" w:space="0" w:color="auto"/>
                <w:left w:val="none" w:sz="0" w:space="0" w:color="auto"/>
                <w:bottom w:val="none" w:sz="0" w:space="0" w:color="auto"/>
                <w:right w:val="none" w:sz="0" w:space="0" w:color="auto"/>
              </w:divBdr>
              <w:divsChild>
                <w:div w:id="10744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A3DEE-8E83-45F4-8493-326BA6C8C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10755</TotalTime>
  <Pages>62</Pages>
  <Words>16939</Words>
  <Characters>96558</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113271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Shi, Wen</cp:lastModifiedBy>
  <cp:revision>565</cp:revision>
  <cp:lastPrinted>2015-12-17T06:04:00Z</cp:lastPrinted>
  <dcterms:created xsi:type="dcterms:W3CDTF">2015-12-08T04:36:00Z</dcterms:created>
  <dcterms:modified xsi:type="dcterms:W3CDTF">2016-04-06T09:23:00Z</dcterms:modified>
</cp:coreProperties>
</file>