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402384"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402384"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402384"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402384"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402384"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40238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402384"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402384"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402384"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402384"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402384"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402384"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402384"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402384"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402384"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402384"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402384"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402384"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402384"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402384"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402384"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402384"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SimSun" w:eastAsia="SimSun" w:hAnsi="SimSun" w:cs="SimSun"/>
                <w:color w:val="000000"/>
                <w:kern w:val="0"/>
                <w:sz w:val="22"/>
              </w:rPr>
            </w:pPr>
            <w:r w:rsidRPr="009F07A0">
              <w:rPr>
                <w:rFonts w:ascii="SimSun" w:eastAsia="SimSun" w:hAnsi="SimSun" w:cs="SimSun" w:hint="eastAsia"/>
                <w:color w:val="000000"/>
                <w:kern w:val="0"/>
                <w:sz w:val="22"/>
              </w:rPr>
              <w:t>+LIFO reserve*</w:t>
            </w:r>
            <w:r w:rsidR="00D224F7">
              <w:rPr>
                <w:rFonts w:ascii="SimSun" w:eastAsia="SimSun" w:hAnsi="SimSun" w:cs="SimSun"/>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For hold-to-maturity and available-for-sale securities, write down to fair value and 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EF5D5A"/>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bookmarkStart w:id="0" w:name="_GoBack"/>
      <w:bookmarkEnd w:id="0"/>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B17D53" w:rsidRDefault="00B17D53" w:rsidP="004C11F1">
      <w:pPr>
        <w:pStyle w:val="ListParagraph"/>
        <w:numPr>
          <w:ilvl w:val="0"/>
          <w:numId w:val="50"/>
        </w:numPr>
        <w:ind w:firstLineChars="0"/>
      </w:pPr>
      <w:r>
        <w:lastRenderedPageBreak/>
        <w:t>US GAAP allows fair value option. 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374FBB" w:rsidRDefault="00374FBB"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t>US GAAP requires full goodwill.</w:t>
      </w:r>
    </w:p>
    <w:p w:rsidR="00732468" w:rsidRDefault="00732468" w:rsidP="00732468">
      <w:r>
        <w:t xml:space="preserve">  IFRS permits both full/partial goodwill</w:t>
      </w:r>
    </w:p>
    <w:p w:rsidR="00AF0484" w:rsidRDefault="00AF0484" w:rsidP="00AF0484"/>
    <w:p w:rsidR="00AF0484" w:rsidRDefault="00AF0484" w:rsidP="00AF0484">
      <w:r>
        <w:rPr>
          <w:rFonts w:hint="eastAsia"/>
        </w:rPr>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w:t>
      </w:r>
      <w:r>
        <w:rPr>
          <w:rFonts w:hint="eastAsia"/>
        </w:rPr>
        <w:lastRenderedPageBreak/>
        <w:t>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Pr="00215022" w:rsidRDefault="00F67B2D" w:rsidP="00215022">
      <w:r>
        <w:t>* If minority interest is classified as equity; otherwise, both methods result in the same equity.</w:t>
      </w:r>
    </w:p>
    <w:sectPr w:rsidR="00F67B2D" w:rsidRPr="002150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173BCE"/>
    <w:multiLevelType w:val="hybridMultilevel"/>
    <w:tmpl w:val="AEB85DF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
  </w:num>
  <w:num w:numId="3">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41"/>
  </w:num>
  <w:num w:numId="7">
    <w:abstractNumId w:val="18"/>
  </w:num>
  <w:num w:numId="8">
    <w:abstractNumId w:val="43"/>
  </w:num>
  <w:num w:numId="9">
    <w:abstractNumId w:val="13"/>
  </w:num>
  <w:num w:numId="10">
    <w:abstractNumId w:val="7"/>
  </w:num>
  <w:num w:numId="11">
    <w:abstractNumId w:val="12"/>
  </w:num>
  <w:num w:numId="12">
    <w:abstractNumId w:val="32"/>
  </w:num>
  <w:num w:numId="13">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38"/>
  </w:num>
  <w:num w:numId="16">
    <w:abstractNumId w:val="45"/>
  </w:num>
  <w:num w:numId="17">
    <w:abstractNumId w:val="14"/>
  </w:num>
  <w:num w:numId="18">
    <w:abstractNumId w:val="10"/>
  </w:num>
  <w:num w:numId="19">
    <w:abstractNumId w:val="11"/>
  </w:num>
  <w:num w:numId="20">
    <w:abstractNumId w:val="6"/>
  </w:num>
  <w:num w:numId="21">
    <w:abstractNumId w:val="20"/>
  </w:num>
  <w:num w:numId="22">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num>
  <w:num w:numId="24">
    <w:abstractNumId w:val="0"/>
  </w:num>
  <w:num w:numId="25">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3"/>
  </w:num>
  <w:num w:numId="28">
    <w:abstractNumId w:val="40"/>
  </w:num>
  <w:num w:numId="29">
    <w:abstractNumId w:val="9"/>
  </w:num>
  <w:num w:numId="30">
    <w:abstractNumId w:val="37"/>
  </w:num>
  <w:num w:numId="31">
    <w:abstractNumId w:val="3"/>
  </w:num>
  <w:num w:numId="32">
    <w:abstractNumId w:val="25"/>
  </w:num>
  <w:num w:numId="33">
    <w:abstractNumId w:val="2"/>
  </w:num>
  <w:num w:numId="34">
    <w:abstractNumId w:val="29"/>
  </w:num>
  <w:num w:numId="35">
    <w:abstractNumId w:val="16"/>
  </w:num>
  <w:num w:numId="36">
    <w:abstractNumId w:val="17"/>
  </w:num>
  <w:num w:numId="37">
    <w:abstractNumId w:val="31"/>
  </w:num>
  <w:num w:numId="38">
    <w:abstractNumId w:val="19"/>
  </w:num>
  <w:num w:numId="39">
    <w:abstractNumId w:val="39"/>
  </w:num>
  <w:num w:numId="40">
    <w:abstractNumId w:val="30"/>
  </w:num>
  <w:num w:numId="41">
    <w:abstractNumId w:val="26"/>
  </w:num>
  <w:num w:numId="42">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1"/>
  </w:num>
  <w:num w:numId="47">
    <w:abstractNumId w:val="22"/>
  </w:num>
  <w:num w:numId="48">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44"/>
  </w:num>
  <w:num w:numId="51">
    <w:abstractNumId w:val="24"/>
  </w:num>
  <w:num w:numId="52">
    <w:abstractNumId w:val="28"/>
  </w:num>
  <w:num w:numId="53">
    <w:abstractNumId w:val="27"/>
  </w:num>
  <w:num w:numId="54">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1432"/>
    <w:rsid w:val="001C4317"/>
    <w:rsid w:val="001D021E"/>
    <w:rsid w:val="001D0B87"/>
    <w:rsid w:val="00203003"/>
    <w:rsid w:val="00204AE0"/>
    <w:rsid w:val="00215022"/>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25FF5"/>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4503"/>
    <w:rsid w:val="00456CA8"/>
    <w:rsid w:val="00460FFE"/>
    <w:rsid w:val="00463778"/>
    <w:rsid w:val="00463C33"/>
    <w:rsid w:val="0048016C"/>
    <w:rsid w:val="00495CD4"/>
    <w:rsid w:val="004C11F1"/>
    <w:rsid w:val="004C301A"/>
    <w:rsid w:val="004E3F72"/>
    <w:rsid w:val="004E4174"/>
    <w:rsid w:val="004F12B0"/>
    <w:rsid w:val="00500E1D"/>
    <w:rsid w:val="0050322A"/>
    <w:rsid w:val="0050639C"/>
    <w:rsid w:val="00515653"/>
    <w:rsid w:val="00516D4C"/>
    <w:rsid w:val="00523ABC"/>
    <w:rsid w:val="00540A2A"/>
    <w:rsid w:val="00544AC6"/>
    <w:rsid w:val="00562FCF"/>
    <w:rsid w:val="005673BB"/>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519B"/>
    <w:rsid w:val="0098747C"/>
    <w:rsid w:val="00993802"/>
    <w:rsid w:val="00994E5F"/>
    <w:rsid w:val="009B7C5F"/>
    <w:rsid w:val="009D5F6B"/>
    <w:rsid w:val="009E159E"/>
    <w:rsid w:val="009F07A0"/>
    <w:rsid w:val="00A21EAC"/>
    <w:rsid w:val="00A41EBF"/>
    <w:rsid w:val="00A43F2A"/>
    <w:rsid w:val="00A466F5"/>
    <w:rsid w:val="00A72B40"/>
    <w:rsid w:val="00A74ABD"/>
    <w:rsid w:val="00A75CA9"/>
    <w:rsid w:val="00A83D5F"/>
    <w:rsid w:val="00A95554"/>
    <w:rsid w:val="00AA0F56"/>
    <w:rsid w:val="00AB0881"/>
    <w:rsid w:val="00AB2DC0"/>
    <w:rsid w:val="00AB2EDD"/>
    <w:rsid w:val="00AB3F8B"/>
    <w:rsid w:val="00AC1BB9"/>
    <w:rsid w:val="00AE6C86"/>
    <w:rsid w:val="00AF0484"/>
    <w:rsid w:val="00AF38AA"/>
    <w:rsid w:val="00AF46A3"/>
    <w:rsid w:val="00AF5F44"/>
    <w:rsid w:val="00AF775A"/>
    <w:rsid w:val="00B15563"/>
    <w:rsid w:val="00B17D53"/>
    <w:rsid w:val="00B2385E"/>
    <w:rsid w:val="00B34C82"/>
    <w:rsid w:val="00B47456"/>
    <w:rsid w:val="00B47A19"/>
    <w:rsid w:val="00B54B5D"/>
    <w:rsid w:val="00B71486"/>
    <w:rsid w:val="00B873AA"/>
    <w:rsid w:val="00B92DC7"/>
    <w:rsid w:val="00B96884"/>
    <w:rsid w:val="00BC07DD"/>
    <w:rsid w:val="00BC5830"/>
    <w:rsid w:val="00BC63B1"/>
    <w:rsid w:val="00BD2016"/>
    <w:rsid w:val="00BD424E"/>
    <w:rsid w:val="00BE740D"/>
    <w:rsid w:val="00BE7E09"/>
    <w:rsid w:val="00BF13B4"/>
    <w:rsid w:val="00C01A54"/>
    <w:rsid w:val="00C06711"/>
    <w:rsid w:val="00C20CDC"/>
    <w:rsid w:val="00C26A42"/>
    <w:rsid w:val="00C272BE"/>
    <w:rsid w:val="00C36156"/>
    <w:rsid w:val="00C4502C"/>
    <w:rsid w:val="00C47E3F"/>
    <w:rsid w:val="00C56FA4"/>
    <w:rsid w:val="00C678D0"/>
    <w:rsid w:val="00CA474F"/>
    <w:rsid w:val="00CB5977"/>
    <w:rsid w:val="00CC2658"/>
    <w:rsid w:val="00CC28BA"/>
    <w:rsid w:val="00CE7D64"/>
    <w:rsid w:val="00D165E2"/>
    <w:rsid w:val="00D224F7"/>
    <w:rsid w:val="00D22CDF"/>
    <w:rsid w:val="00D23806"/>
    <w:rsid w:val="00D434DD"/>
    <w:rsid w:val="00D465D0"/>
    <w:rsid w:val="00D466BE"/>
    <w:rsid w:val="00D53B85"/>
    <w:rsid w:val="00D54DEF"/>
    <w:rsid w:val="00D568DA"/>
    <w:rsid w:val="00D652BC"/>
    <w:rsid w:val="00D830A7"/>
    <w:rsid w:val="00D840FD"/>
    <w:rsid w:val="00DA0562"/>
    <w:rsid w:val="00DA0BBA"/>
    <w:rsid w:val="00DB4670"/>
    <w:rsid w:val="00DE6F0F"/>
    <w:rsid w:val="00DF1827"/>
    <w:rsid w:val="00DF5B05"/>
    <w:rsid w:val="00E0256D"/>
    <w:rsid w:val="00E04863"/>
    <w:rsid w:val="00E25B17"/>
    <w:rsid w:val="00E53130"/>
    <w:rsid w:val="00E653E7"/>
    <w:rsid w:val="00E67DB6"/>
    <w:rsid w:val="00E9415F"/>
    <w:rsid w:val="00EC2981"/>
    <w:rsid w:val="00EE7038"/>
    <w:rsid w:val="00EF49A6"/>
    <w:rsid w:val="00EF5D5A"/>
    <w:rsid w:val="00EF5EF8"/>
    <w:rsid w:val="00F0104C"/>
    <w:rsid w:val="00F014F5"/>
    <w:rsid w:val="00F14226"/>
    <w:rsid w:val="00F2484C"/>
    <w:rsid w:val="00F43AAE"/>
    <w:rsid w:val="00F44526"/>
    <w:rsid w:val="00F67B2D"/>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4A84-3629-422C-A4A1-8A2603EDE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TotalTime>
  <Pages>30</Pages>
  <Words>8079</Words>
  <Characters>46052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54023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Shi, Wen</cp:lastModifiedBy>
  <cp:revision>194</cp:revision>
  <cp:lastPrinted>2015-12-17T06:04:00Z</cp:lastPrinted>
  <dcterms:created xsi:type="dcterms:W3CDTF">2015-12-08T04:36:00Z</dcterms:created>
  <dcterms:modified xsi:type="dcterms:W3CDTF">2016-01-11T02:31:00Z</dcterms:modified>
</cp:coreProperties>
</file>