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4569A9">
      <w:pPr>
        <w:pStyle w:val="ListParagraph"/>
        <w:numPr>
          <w:ilvl w:val="0"/>
          <w:numId w:val="18"/>
        </w:numPr>
        <w:ind w:firstLineChars="0"/>
      </w:pPr>
      <w:r>
        <w:t>Consequences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4569A9">
      <w:pPr>
        <w:pStyle w:val="ListParagraph"/>
        <w:numPr>
          <w:ilvl w:val="1"/>
          <w:numId w:val="18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4569A9">
      <w:pPr>
        <w:pStyle w:val="ListParagraph"/>
        <w:numPr>
          <w:ilvl w:val="0"/>
          <w:numId w:val="19"/>
        </w:numPr>
        <w:ind w:firstLineChars="0"/>
      </w:pPr>
      <w:r>
        <w:t>Solutions</w:t>
      </w:r>
    </w:p>
    <w:p w:rsidR="00C36C77" w:rsidRDefault="00FF4F57" w:rsidP="004569A9">
      <w:pPr>
        <w:pStyle w:val="ListParagraph"/>
        <w:numPr>
          <w:ilvl w:val="1"/>
          <w:numId w:val="19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4569A9">
      <w:pPr>
        <w:pStyle w:val="ListParagraph"/>
        <w:numPr>
          <w:ilvl w:val="1"/>
          <w:numId w:val="19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Definition: People tend to believe that they can control or influence outcomes.</w:t>
      </w:r>
    </w:p>
    <w:p w:rsidR="00AD4814" w:rsidRDefault="00AD4814" w:rsidP="004569A9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4569A9">
      <w:pPr>
        <w:pStyle w:val="ListParagraph"/>
        <w:numPr>
          <w:ilvl w:val="1"/>
          <w:numId w:val="19"/>
        </w:numPr>
        <w:ind w:firstLineChars="0"/>
      </w:pPr>
      <w:r>
        <w:t>Fail to diversify.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Participants should seek out opposing viewpoints to consider alternative outcome.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4569A9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Fail to update a view and therefore hold an investment too long.</w:t>
      </w:r>
    </w:p>
    <w:p w:rsidR="00375C77" w:rsidRDefault="00375C77" w:rsidP="004569A9">
      <w:pPr>
        <w:pStyle w:val="ListParagraph"/>
        <w:numPr>
          <w:ilvl w:val="1"/>
          <w:numId w:val="20"/>
        </w:numPr>
        <w:ind w:firstLineChars="0"/>
      </w:pPr>
      <w:r>
        <w:t>Hold an investment too long to avoid the mental effort of updating a view.</w:t>
      </w:r>
    </w:p>
    <w:p w:rsidR="00375C77" w:rsidRDefault="00375C77" w:rsidP="004569A9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4569A9">
      <w:pPr>
        <w:pStyle w:val="ListParagraph"/>
        <w:numPr>
          <w:ilvl w:val="1"/>
          <w:numId w:val="21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4569A9">
      <w:pPr>
        <w:pStyle w:val="ListParagraph"/>
        <w:numPr>
          <w:ilvl w:val="0"/>
          <w:numId w:val="21"/>
        </w:numPr>
        <w:ind w:firstLineChars="0"/>
      </w:pPr>
      <w:r>
        <w:t>Definition: People look for confirming evidence while ignoring contrary evidence.</w:t>
      </w:r>
    </w:p>
    <w:p w:rsidR="00D32B77" w:rsidRDefault="00D32B77" w:rsidP="004569A9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4569A9">
      <w:pPr>
        <w:pStyle w:val="ListParagraph"/>
        <w:numPr>
          <w:ilvl w:val="1"/>
          <w:numId w:val="21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4569A9">
      <w:pPr>
        <w:pStyle w:val="ListParagraph"/>
        <w:numPr>
          <w:ilvl w:val="1"/>
          <w:numId w:val="21"/>
        </w:numPr>
        <w:ind w:firstLineChars="0"/>
      </w:pPr>
      <w:r>
        <w:t>Set up decision process or data screens incorrectly to find what they want to see.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4569A9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Overestimate the rate at which they correctly predicted events.</w:t>
      </w:r>
    </w:p>
    <w:p w:rsidR="005A0226" w:rsidRDefault="005A0226" w:rsidP="004569A9">
      <w:pPr>
        <w:pStyle w:val="ListParagraph"/>
        <w:numPr>
          <w:ilvl w:val="1"/>
          <w:numId w:val="22"/>
        </w:numPr>
        <w:ind w:firstLineChars="0"/>
      </w:pPr>
      <w:r>
        <w:t>Be overly critical of the performance of others.</w:t>
      </w:r>
    </w:p>
    <w:p w:rsidR="005A0226" w:rsidRDefault="002731F9" w:rsidP="004569A9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2731F9" w:rsidRDefault="002731F9" w:rsidP="004569A9">
      <w:pPr>
        <w:pStyle w:val="ListParagraph"/>
        <w:numPr>
          <w:ilvl w:val="1"/>
          <w:numId w:val="23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4569A9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Fail to properly assess risk and end up overly risk-averse of risk seeking.</w:t>
      </w:r>
    </w:p>
    <w:p w:rsidR="00914A67" w:rsidRDefault="00914A67" w:rsidP="004569A9">
      <w:pPr>
        <w:pStyle w:val="ListParagraph"/>
        <w:numPr>
          <w:ilvl w:val="1"/>
          <w:numId w:val="23"/>
        </w:numPr>
        <w:ind w:firstLineChars="0"/>
      </w:pPr>
      <w:r>
        <w:t>Become overly concerned with short term price movement and trade too often.</w:t>
      </w:r>
    </w:p>
    <w:p w:rsidR="00914A67" w:rsidRDefault="00914A67" w:rsidP="004569A9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914A67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4569A9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665825" w:rsidRDefault="00665825" w:rsidP="004569A9">
      <w:pPr>
        <w:pStyle w:val="ListParagraph"/>
        <w:numPr>
          <w:ilvl w:val="1"/>
          <w:numId w:val="24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4569A9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665825" w:rsidRDefault="00665825" w:rsidP="004569A9">
      <w:pPr>
        <w:pStyle w:val="ListParagraph"/>
        <w:numPr>
          <w:ilvl w:val="1"/>
          <w:numId w:val="25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4569A9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4569A9">
      <w:pPr>
        <w:pStyle w:val="ListParagraph"/>
        <w:numPr>
          <w:ilvl w:val="1"/>
          <w:numId w:val="25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4569A9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0E229A" w:rsidRDefault="000E229A" w:rsidP="004569A9">
      <w:pPr>
        <w:pStyle w:val="ListParagraph"/>
        <w:numPr>
          <w:ilvl w:val="1"/>
          <w:numId w:val="26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4569A9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5A0F64" w:rsidRDefault="005A0F64" w:rsidP="004569A9">
      <w:pPr>
        <w:pStyle w:val="ListParagraph"/>
        <w:numPr>
          <w:ilvl w:val="1"/>
          <w:numId w:val="26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Fail to lower portfolio risk by adding assets with very low correlation.</w:t>
      </w:r>
    </w:p>
    <w:p w:rsidR="00292470" w:rsidRDefault="00292470" w:rsidP="004569A9">
      <w:pPr>
        <w:pStyle w:val="ListParagraph"/>
        <w:numPr>
          <w:ilvl w:val="1"/>
          <w:numId w:val="26"/>
        </w:numPr>
        <w:ind w:firstLineChars="0"/>
      </w:pPr>
      <w:r>
        <w:t>Overemphasis on income generating assets, resulting in lower total return.</w:t>
      </w:r>
    </w:p>
    <w:p w:rsidR="00292470" w:rsidRDefault="00292470" w:rsidP="004569A9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292470" w:rsidRDefault="00292470" w:rsidP="004569A9">
      <w:pPr>
        <w:pStyle w:val="ListParagraph"/>
        <w:numPr>
          <w:ilvl w:val="1"/>
          <w:numId w:val="27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Definitions: People tend to avoid losses as opposed to achieving gains.</w:t>
      </w:r>
    </w:p>
    <w:p w:rsidR="00413A60" w:rsidRDefault="00413A60" w:rsidP="004569A9">
      <w:pPr>
        <w:pStyle w:val="ListParagraph"/>
        <w:numPr>
          <w:ilvl w:val="0"/>
          <w:numId w:val="27"/>
        </w:numPr>
        <w:ind w:firstLineChars="0"/>
      </w:pPr>
      <w:r>
        <w:t>Consequences: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4569A9">
      <w:pPr>
        <w:pStyle w:val="ListParagraph"/>
        <w:numPr>
          <w:ilvl w:val="1"/>
          <w:numId w:val="27"/>
        </w:numPr>
        <w:ind w:firstLineChars="0"/>
      </w:pPr>
      <w:r>
        <w:t>Bearing too much risk by continuing to hold assets that have lost value.</w:t>
      </w:r>
    </w:p>
    <w:p w:rsidR="00511A79" w:rsidRDefault="00511A79" w:rsidP="004569A9">
      <w:pPr>
        <w:pStyle w:val="ListParagraph"/>
        <w:numPr>
          <w:ilvl w:val="1"/>
          <w:numId w:val="27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09670A" w:rsidRDefault="0009670A" w:rsidP="004569A9">
      <w:pPr>
        <w:pStyle w:val="ListParagraph"/>
        <w:numPr>
          <w:ilvl w:val="1"/>
          <w:numId w:val="28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4569A9">
      <w:pPr>
        <w:pStyle w:val="ListParagraph"/>
        <w:numPr>
          <w:ilvl w:val="0"/>
          <w:numId w:val="28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4569A9">
      <w:pPr>
        <w:pStyle w:val="ListParagraph"/>
        <w:numPr>
          <w:ilvl w:val="0"/>
          <w:numId w:val="29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Underestimate risk and overestimate return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Under diversification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t>Excessive transaction turnover</w:t>
      </w:r>
    </w:p>
    <w:p w:rsidR="0049796B" w:rsidRDefault="0049796B" w:rsidP="004569A9">
      <w:pPr>
        <w:pStyle w:val="ListParagraph"/>
        <w:numPr>
          <w:ilvl w:val="0"/>
          <w:numId w:val="28"/>
        </w:numPr>
        <w:ind w:firstLineChars="0"/>
      </w:pPr>
      <w:r>
        <w:t>Solutions:</w:t>
      </w:r>
    </w:p>
    <w:p w:rsidR="004976C5" w:rsidRDefault="004976C5" w:rsidP="004569A9">
      <w:pPr>
        <w:pStyle w:val="ListParagraph"/>
        <w:numPr>
          <w:ilvl w:val="1"/>
          <w:numId w:val="28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569A9">
      <w:pPr>
        <w:pStyle w:val="ListParagraph"/>
        <w:numPr>
          <w:ilvl w:val="1"/>
          <w:numId w:val="28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4569A9">
      <w:pPr>
        <w:pStyle w:val="ListParagraph"/>
        <w:numPr>
          <w:ilvl w:val="0"/>
          <w:numId w:val="30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4569A9">
      <w:pPr>
        <w:pStyle w:val="ListParagraph"/>
        <w:numPr>
          <w:ilvl w:val="0"/>
          <w:numId w:val="30"/>
        </w:numPr>
        <w:ind w:firstLineChars="0"/>
      </w:pPr>
      <w:r>
        <w:t>Consequences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Insufficient savings to fund retirement records.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Taking excessive risk to compensate for insufficient savings accumulation.</w:t>
      </w:r>
    </w:p>
    <w:p w:rsidR="00FD2F10" w:rsidRDefault="00FD2F10" w:rsidP="004569A9">
      <w:pPr>
        <w:pStyle w:val="ListParagraph"/>
        <w:numPr>
          <w:ilvl w:val="1"/>
          <w:numId w:val="30"/>
        </w:numPr>
        <w:ind w:firstLineChars="0"/>
      </w:pPr>
      <w:r>
        <w:t>Overemphasis on income producing assets to meet shorter term distribution needs.</w:t>
      </w:r>
    </w:p>
    <w:p w:rsidR="00FD2F10" w:rsidRDefault="00FD2F10" w:rsidP="004569A9">
      <w:pPr>
        <w:pStyle w:val="ListParagraph"/>
        <w:numPr>
          <w:ilvl w:val="0"/>
          <w:numId w:val="31"/>
        </w:numPr>
        <w:ind w:firstLineChars="0"/>
      </w:pPr>
      <w:r>
        <w:t>Solutions</w:t>
      </w:r>
    </w:p>
    <w:p w:rsidR="00FD2F10" w:rsidRDefault="00FD2F10" w:rsidP="004569A9">
      <w:pPr>
        <w:pStyle w:val="ListParagraph"/>
        <w:numPr>
          <w:ilvl w:val="1"/>
          <w:numId w:val="31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Definition: People do nothing instead of making a change.</w:t>
      </w:r>
    </w:p>
    <w:p w:rsidR="00200AC5" w:rsidRDefault="00200AC5" w:rsidP="004569A9">
      <w:pPr>
        <w:pStyle w:val="ListParagraph"/>
        <w:numPr>
          <w:ilvl w:val="0"/>
          <w:numId w:val="31"/>
        </w:numPr>
        <w:ind w:firstLineChars="0"/>
      </w:pPr>
      <w:r>
        <w:t>Consequences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Holding portfolios with inappropriate risk.</w:t>
      </w:r>
    </w:p>
    <w:p w:rsidR="00200AC5" w:rsidRDefault="00200AC5" w:rsidP="004569A9">
      <w:pPr>
        <w:pStyle w:val="ListParagraph"/>
        <w:numPr>
          <w:ilvl w:val="1"/>
          <w:numId w:val="31"/>
        </w:numPr>
        <w:ind w:firstLineChars="0"/>
      </w:pPr>
      <w:r>
        <w:t>Not considering other, better investment options.</w:t>
      </w:r>
    </w:p>
    <w:p w:rsidR="00200AC5" w:rsidRDefault="00200AC5" w:rsidP="004569A9">
      <w:pPr>
        <w:pStyle w:val="ListParagraph"/>
        <w:numPr>
          <w:ilvl w:val="0"/>
          <w:numId w:val="32"/>
        </w:numPr>
        <w:ind w:firstLineChars="0"/>
      </w:pPr>
      <w:r>
        <w:t>Solutions</w:t>
      </w:r>
    </w:p>
    <w:p w:rsidR="00200AC5" w:rsidRDefault="00200AC5" w:rsidP="004569A9">
      <w:pPr>
        <w:pStyle w:val="ListParagraph"/>
        <w:numPr>
          <w:ilvl w:val="1"/>
          <w:numId w:val="32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4569A9">
      <w:pPr>
        <w:pStyle w:val="ListParagraph"/>
        <w:numPr>
          <w:ilvl w:val="0"/>
          <w:numId w:val="32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4569A9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361D55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4569A9">
      <w:pPr>
        <w:pStyle w:val="ListParagraph"/>
        <w:numPr>
          <w:ilvl w:val="1"/>
          <w:numId w:val="32"/>
        </w:numPr>
        <w:ind w:firstLineChars="0"/>
      </w:pPr>
      <w:r>
        <w:t>Fail to sell an inappropriate asset resulting in inappropriate asset allocation.</w:t>
      </w:r>
    </w:p>
    <w:p w:rsidR="00EE1E9B" w:rsidRDefault="00EE1E9B" w:rsidP="004569A9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Ask question such as ‘Will I make the same investment with new money today?”</w:t>
      </w:r>
    </w:p>
    <w:p w:rsidR="00EE1E9B" w:rsidRDefault="00EE1E9B" w:rsidP="004569A9">
      <w:pPr>
        <w:pStyle w:val="ListParagraph"/>
        <w:numPr>
          <w:ilvl w:val="1"/>
          <w:numId w:val="33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Definition: People fear that some decision will turn out poorly.</w:t>
      </w:r>
    </w:p>
    <w:p w:rsidR="00772E3B" w:rsidRDefault="00772E3B" w:rsidP="004569A9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This leads to long-term underperformance and a failure to meet goals.</w:t>
      </w:r>
    </w:p>
    <w:p w:rsidR="00772E3B" w:rsidRDefault="00772E3B" w:rsidP="004569A9">
      <w:pPr>
        <w:pStyle w:val="ListParagraph"/>
        <w:numPr>
          <w:ilvl w:val="1"/>
          <w:numId w:val="33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4569A9">
      <w:pPr>
        <w:pStyle w:val="ListParagraph"/>
        <w:numPr>
          <w:ilvl w:val="0"/>
          <w:numId w:val="34"/>
        </w:numPr>
        <w:ind w:firstLineChars="0"/>
      </w:pPr>
      <w:r>
        <w:t>Solution</w:t>
      </w:r>
    </w:p>
    <w:p w:rsidR="00AF341A" w:rsidRDefault="00AF341A" w:rsidP="004569A9">
      <w:pPr>
        <w:pStyle w:val="ListParagraph"/>
        <w:numPr>
          <w:ilvl w:val="1"/>
          <w:numId w:val="34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+/- 0~3%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Default="00BD291E" w:rsidP="00BD291E">
      <w:pPr>
        <w:pStyle w:val="Level2"/>
      </w:pPr>
      <w:r>
        <w:t>Behavioral Finance and Investment Processes</w:t>
      </w:r>
    </w:p>
    <w:p w:rsidR="00BD291E" w:rsidRDefault="00BD291E" w:rsidP="004569A9">
      <w:pPr>
        <w:pStyle w:val="Level3"/>
        <w:numPr>
          <w:ilvl w:val="2"/>
          <w:numId w:val="35"/>
        </w:numPr>
        <w:spacing w:before="156" w:after="156"/>
      </w:pPr>
      <w:r>
        <w:t>Ballard, Biehl, and Kaiser Five Way Model</w:t>
      </w:r>
    </w:p>
    <w:p w:rsidR="00BD291E" w:rsidRDefault="00162353" w:rsidP="00BD291E">
      <w:r>
        <w:rPr>
          <w:noProof/>
          <w:lang w:val="en-NZ" w:eastAsia="en-NZ"/>
        </w:rPr>
        <w:drawing>
          <wp:inline distT="0" distB="0" distL="0" distR="0">
            <wp:extent cx="53035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53" w:rsidRDefault="00786380" w:rsidP="00786380">
      <w:pPr>
        <w:pStyle w:val="Level3"/>
        <w:spacing w:before="156" w:after="156"/>
      </w:pPr>
      <w:r>
        <w:t>Value vs. Growth – Bias</w:t>
      </w:r>
    </w:p>
    <w:p w:rsidR="00180449" w:rsidRDefault="00786380" w:rsidP="00786380">
      <w:r>
        <w:t xml:space="preserve">Halo effect, the investor transfers favorable company attributes into thinking that the stock is a good buy. A company with a good record of growth and share price performance is seen as a good </w:t>
      </w:r>
      <w:r w:rsidR="00E24E02">
        <w:t>investment</w:t>
      </w:r>
      <w:r>
        <w:t xml:space="preserve"> with continued high expected returns. This is a form of representativeness bias.</w:t>
      </w:r>
    </w:p>
    <w:p w:rsidR="00180449" w:rsidRDefault="00180449" w:rsidP="00180449">
      <w:r>
        <w:br w:type="page"/>
      </w:r>
    </w:p>
    <w:p w:rsidR="00786380" w:rsidRDefault="00180449" w:rsidP="00180449">
      <w:pPr>
        <w:pStyle w:val="Level1"/>
      </w:pPr>
      <w:r>
        <w:lastRenderedPageBreak/>
        <w:t>Applications of Economic Analysis to Portfolio Management</w:t>
      </w:r>
    </w:p>
    <w:p w:rsidR="00180449" w:rsidRDefault="00180449" w:rsidP="004569A9">
      <w:pPr>
        <w:pStyle w:val="Level2"/>
        <w:numPr>
          <w:ilvl w:val="1"/>
          <w:numId w:val="36"/>
        </w:numPr>
      </w:pPr>
      <w:r>
        <w:t>Capital Market Expectations</w:t>
      </w:r>
    </w:p>
    <w:p w:rsidR="00180449" w:rsidRDefault="009B67B7" w:rsidP="004569A9">
      <w:pPr>
        <w:pStyle w:val="Level3"/>
        <w:numPr>
          <w:ilvl w:val="2"/>
          <w:numId w:val="37"/>
        </w:numPr>
        <w:spacing w:before="156" w:after="156"/>
      </w:pPr>
      <w:r>
        <w:t>9 Problems in Producing Forecasts</w:t>
      </w: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to using economic data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The time lag between collection and distribution is often long.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revisions are not made at the same time as the publication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definitions and methodology change over time.</w:t>
      </w:r>
    </w:p>
    <w:p w:rsidR="009B67B7" w:rsidRDefault="009B67B7" w:rsidP="004569A9">
      <w:pPr>
        <w:pStyle w:val="ListParagraph"/>
        <w:numPr>
          <w:ilvl w:val="0"/>
          <w:numId w:val="34"/>
        </w:numPr>
        <w:ind w:firstLineChars="0"/>
      </w:pPr>
      <w:r>
        <w:t>Data indices are often rebased.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measurement errors and biases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Transcription errors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Survivorship bias</w:t>
      </w:r>
    </w:p>
    <w:p w:rsidR="009B67B7" w:rsidRDefault="009B67B7" w:rsidP="004569A9">
      <w:pPr>
        <w:pStyle w:val="ListParagraph"/>
        <w:numPr>
          <w:ilvl w:val="0"/>
          <w:numId w:val="39"/>
        </w:numPr>
        <w:ind w:firstLineChars="0"/>
      </w:pPr>
      <w:r>
        <w:t>Smoothed data for illiquid assets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Limitations of historical estimates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Regime change results in non-stationary data</w:t>
      </w:r>
    </w:p>
    <w:p w:rsidR="009B67B7" w:rsidRDefault="009B67B7" w:rsidP="004569A9">
      <w:pPr>
        <w:pStyle w:val="ListParagraph"/>
        <w:numPr>
          <w:ilvl w:val="0"/>
          <w:numId w:val="40"/>
        </w:numPr>
        <w:ind w:firstLineChars="0"/>
      </w:pPr>
      <w:r>
        <w:t>Arguments for long time spans of data: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Statistics requires it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Increases the precision of population parameter estimates</w:t>
      </w:r>
    </w:p>
    <w:p w:rsidR="009B67B7" w:rsidRDefault="009B67B7" w:rsidP="004569A9">
      <w:pPr>
        <w:pStyle w:val="ListParagraph"/>
        <w:numPr>
          <w:ilvl w:val="1"/>
          <w:numId w:val="40"/>
        </w:numPr>
        <w:ind w:firstLineChars="0"/>
      </w:pPr>
      <w:r>
        <w:t>Parameter estimates will be less sensitive to the time span chosen</w:t>
      </w:r>
    </w:p>
    <w:p w:rsidR="009B67B7" w:rsidRDefault="009B67B7" w:rsidP="004569A9">
      <w:pPr>
        <w:pStyle w:val="ListParagraph"/>
        <w:numPr>
          <w:ilvl w:val="0"/>
          <w:numId w:val="41"/>
        </w:numPr>
        <w:ind w:firstLineChars="0"/>
      </w:pPr>
      <w:r>
        <w:t>Arguments for shot time spans of data: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Regime change and non-stationary data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Long-term data not available</w:t>
      </w:r>
    </w:p>
    <w:p w:rsidR="009B67B7" w:rsidRDefault="009B67B7" w:rsidP="004569A9">
      <w:pPr>
        <w:pStyle w:val="ListParagraph"/>
        <w:numPr>
          <w:ilvl w:val="1"/>
          <w:numId w:val="41"/>
        </w:numPr>
        <w:ind w:firstLineChars="0"/>
      </w:pPr>
      <w:r>
        <w:t>Asynchronous data</w:t>
      </w:r>
    </w:p>
    <w:p w:rsidR="00E3510D" w:rsidRDefault="00E3510D" w:rsidP="00E3510D">
      <w:pPr>
        <w:pStyle w:val="ListParagraph"/>
        <w:ind w:left="144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Using ex post data to determine ex ante risk and return.</w:t>
      </w:r>
    </w:p>
    <w:p w:rsidR="009B67B7" w:rsidRDefault="009B67B7" w:rsidP="009B67B7">
      <w:pPr>
        <w:pStyle w:val="ListParagraph"/>
        <w:ind w:left="720" w:firstLineChars="0" w:firstLine="0"/>
      </w:pPr>
      <w:r>
        <w:t>If the analyst is unaware of risk faced by investors in the past, they may underestimate expected risk and overestimate expected return.</w:t>
      </w:r>
    </w:p>
    <w:p w:rsidR="00E3510D" w:rsidRDefault="00E3510D" w:rsidP="009B67B7">
      <w:pPr>
        <w:pStyle w:val="ListParagraph"/>
        <w:ind w:left="720" w:firstLineChars="0" w:firstLine="0"/>
      </w:pPr>
    </w:p>
    <w:p w:rsidR="009B67B7" w:rsidRDefault="009B67B7" w:rsidP="004569A9">
      <w:pPr>
        <w:pStyle w:val="ListParagraph"/>
        <w:numPr>
          <w:ilvl w:val="0"/>
          <w:numId w:val="38"/>
        </w:numPr>
        <w:ind w:firstLineChars="0"/>
      </w:pPr>
      <w:r>
        <w:t>Data mining and Time period bias</w:t>
      </w:r>
    </w:p>
    <w:p w:rsidR="00D111C6" w:rsidRDefault="00D111C6" w:rsidP="00D111C6">
      <w:pPr>
        <w:ind w:left="360"/>
      </w:pPr>
      <w:r>
        <w:t>To avoid these biases: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Examine the economic basis for the variables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Scrutinize the modeling process for susceptibility to these biases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Test the discovered relationship with out-of-sample data</w:t>
      </w:r>
    </w:p>
    <w:p w:rsidR="00E3510D" w:rsidRDefault="00E3510D" w:rsidP="00E3510D">
      <w:pPr>
        <w:pStyle w:val="ListParagraph"/>
        <w:ind w:left="720" w:firstLineChars="0" w:firstLine="0"/>
      </w:pPr>
    </w:p>
    <w:p w:rsidR="009B67B7" w:rsidRDefault="00D111C6" w:rsidP="004569A9">
      <w:pPr>
        <w:pStyle w:val="ListParagraph"/>
        <w:numPr>
          <w:ilvl w:val="0"/>
          <w:numId w:val="38"/>
        </w:numPr>
        <w:ind w:firstLineChars="0"/>
      </w:pPr>
      <w:r>
        <w:t>Conditioning information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Relationships between variables and economic conditions can vary.</w:t>
      </w:r>
    </w:p>
    <w:p w:rsidR="00D111C6" w:rsidRDefault="00D111C6" w:rsidP="004569A9">
      <w:pPr>
        <w:pStyle w:val="ListParagraph"/>
        <w:numPr>
          <w:ilvl w:val="0"/>
          <w:numId w:val="41"/>
        </w:numPr>
        <w:ind w:firstLineChars="0"/>
      </w:pPr>
      <w:r>
        <w:t>Analysts should account for current conditions in their forecasts.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Misinterpretation of correlations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t>Causality (Misinterpretation of reason &amp; result)</w:t>
      </w:r>
    </w:p>
    <w:p w:rsidR="00166427" w:rsidRDefault="00166427" w:rsidP="004569A9">
      <w:pPr>
        <w:pStyle w:val="ListParagraph"/>
        <w:numPr>
          <w:ilvl w:val="0"/>
          <w:numId w:val="42"/>
        </w:numPr>
        <w:ind w:firstLineChars="0"/>
      </w:pPr>
      <w:r>
        <w:lastRenderedPageBreak/>
        <w:t>Nonlinear relationships, third variables</w:t>
      </w:r>
    </w:p>
    <w:p w:rsidR="00E3510D" w:rsidRDefault="00E3510D" w:rsidP="00E3510D">
      <w:pPr>
        <w:pStyle w:val="ListParagraph"/>
        <w:ind w:left="720" w:firstLineChars="0" w:firstLine="0"/>
      </w:pPr>
    </w:p>
    <w:p w:rsidR="00166427" w:rsidRDefault="00166427" w:rsidP="004569A9">
      <w:pPr>
        <w:pStyle w:val="ListParagraph"/>
        <w:numPr>
          <w:ilvl w:val="0"/>
          <w:numId w:val="38"/>
        </w:numPr>
        <w:ind w:firstLineChars="0"/>
      </w:pPr>
      <w:r>
        <w:t>Psychological traps</w:t>
      </w:r>
    </w:p>
    <w:p w:rsidR="00E3510D" w:rsidRDefault="00E3510D" w:rsidP="00E3510D"/>
    <w:p w:rsidR="00FE7380" w:rsidRDefault="00FE7380" w:rsidP="004569A9">
      <w:pPr>
        <w:pStyle w:val="ListParagraph"/>
        <w:numPr>
          <w:ilvl w:val="0"/>
          <w:numId w:val="38"/>
        </w:numPr>
        <w:ind w:firstLineChars="0"/>
      </w:pPr>
      <w:r>
        <w:t>Model and input uncertainty</w:t>
      </w:r>
    </w:p>
    <w:p w:rsidR="00FE7380" w:rsidRDefault="00FE7380" w:rsidP="004569A9">
      <w:pPr>
        <w:pStyle w:val="ListParagraph"/>
        <w:numPr>
          <w:ilvl w:val="0"/>
          <w:numId w:val="43"/>
        </w:numPr>
        <w:ind w:firstLineChars="0"/>
      </w:pPr>
      <w:r>
        <w:t>Analyst cannot be sure that his predictive model is the correct one, or that his data are correct.</w:t>
      </w:r>
    </w:p>
    <w:p w:rsidR="00E218B3" w:rsidRDefault="00E218B3" w:rsidP="00E218B3">
      <w:pPr>
        <w:pStyle w:val="Level3"/>
        <w:spacing w:before="156" w:after="156"/>
      </w:pPr>
      <w:r>
        <w:t>Statistical tools for setting capital market expectations</w:t>
      </w:r>
    </w:p>
    <w:p w:rsidR="00E218B3" w:rsidRDefault="00E218B3" w:rsidP="004569A9">
      <w:pPr>
        <w:pStyle w:val="ListParagraph"/>
        <w:numPr>
          <w:ilvl w:val="0"/>
          <w:numId w:val="44"/>
        </w:numPr>
        <w:ind w:firstLineChars="0"/>
      </w:pPr>
      <w:r>
        <w:t>Projecting historical data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Definitions: Use historical averages as estimates of expected values. Use geometric mean for multiple periods; use arithmetic mean for a single period.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Pros: Simple, easy to calculate; can be quite accurate when volatility is low.</w:t>
      </w:r>
    </w:p>
    <w:p w:rsidR="00E218B3" w:rsidRDefault="00E218B3" w:rsidP="004569A9">
      <w:pPr>
        <w:pStyle w:val="ListParagraph"/>
        <w:numPr>
          <w:ilvl w:val="0"/>
          <w:numId w:val="43"/>
        </w:numPr>
        <w:ind w:firstLineChars="0"/>
      </w:pPr>
      <w:r>
        <w:t>Cons: Can be misleading if historical volatility was high.</w:t>
      </w:r>
    </w:p>
    <w:p w:rsidR="001E20AB" w:rsidRDefault="001E20AB" w:rsidP="001E20AB">
      <w:pPr>
        <w:pStyle w:val="ListParagraph"/>
        <w:ind w:left="720" w:firstLineChars="0" w:firstLine="0"/>
      </w:pPr>
    </w:p>
    <w:p w:rsidR="00844835" w:rsidRDefault="00844835" w:rsidP="004569A9">
      <w:pPr>
        <w:pStyle w:val="ListParagraph"/>
        <w:numPr>
          <w:ilvl w:val="0"/>
          <w:numId w:val="44"/>
        </w:numPr>
        <w:ind w:firstLineChars="0"/>
      </w:pPr>
      <w:r>
        <w:t>Shrinkage estimators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>Definitions: Weighted average of historical data and another, analyst-determined estimate.</w:t>
      </w:r>
    </w:p>
    <w:p w:rsidR="00844835" w:rsidRDefault="00844835" w:rsidP="004569A9">
      <w:pPr>
        <w:pStyle w:val="ListParagraph"/>
        <w:numPr>
          <w:ilvl w:val="0"/>
          <w:numId w:val="45"/>
        </w:numPr>
        <w:ind w:firstLineChars="0"/>
      </w:pPr>
      <w:r>
        <w:t xml:space="preserve">Pros: Reduces the effect of historical outliers; </w:t>
      </w:r>
      <w:r w:rsidR="000228D6">
        <w:t>Especially impor</w:t>
      </w:r>
      <w:r w:rsidR="001E20AB">
        <w:t>tant when the data set is small.</w:t>
      </w:r>
    </w:p>
    <w:p w:rsidR="001E20AB" w:rsidRDefault="001E20AB" w:rsidP="001E20AB">
      <w:pPr>
        <w:pStyle w:val="ListParagraph"/>
        <w:ind w:left="720" w:firstLineChars="0" w:firstLine="0"/>
      </w:pPr>
    </w:p>
    <w:p w:rsidR="00830975" w:rsidRDefault="00830975" w:rsidP="004569A9">
      <w:pPr>
        <w:pStyle w:val="ListParagraph"/>
        <w:numPr>
          <w:ilvl w:val="0"/>
          <w:numId w:val="44"/>
        </w:numPr>
        <w:ind w:firstLineChars="0"/>
      </w:pPr>
      <w:r>
        <w:t>Time series analysis</w:t>
      </w:r>
    </w:p>
    <w:p w:rsidR="00830975" w:rsidRDefault="00830975" w:rsidP="00830975">
      <w:pPr>
        <w:ind w:left="360"/>
      </w:pPr>
      <w:r>
        <w:t>Can be used to forecast means, variances. Useful when assets exhibit volatility clustering.</w:t>
      </w:r>
    </w:p>
    <w:p w:rsidR="002E7949" w:rsidRDefault="002E7949" w:rsidP="00830975">
      <w:pPr>
        <w:ind w:left="360"/>
      </w:pPr>
      <w:r>
        <w:t>One model used to estimate the volatility for period t:</w:t>
      </w:r>
    </w:p>
    <w:p w:rsidR="002E7949" w:rsidRPr="001E20AB" w:rsidRDefault="002C2BB5" w:rsidP="00830975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+(1-θ)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E20AB" w:rsidRPr="002E7949" w:rsidRDefault="001E20AB" w:rsidP="001E20AB"/>
    <w:p w:rsidR="00E218B3" w:rsidRDefault="002B54E2" w:rsidP="004569A9">
      <w:pPr>
        <w:pStyle w:val="ListParagraph"/>
        <w:numPr>
          <w:ilvl w:val="0"/>
          <w:numId w:val="44"/>
        </w:numPr>
        <w:ind w:firstLineChars="0"/>
      </w:pPr>
      <w:r>
        <w:t>Multifactor models</w:t>
      </w:r>
    </w:p>
    <w:p w:rsidR="002B54E2" w:rsidRDefault="002B54E2" w:rsidP="002B54E2">
      <w:pPr>
        <w:ind w:left="360"/>
      </w:pPr>
      <w:r>
        <w:t>Can be used to forecast means, variances and variances</w:t>
      </w:r>
    </w:p>
    <w:p w:rsidR="002B54E2" w:rsidRDefault="002B54E2" w:rsidP="002B54E2">
      <w:pPr>
        <w:ind w:left="360"/>
      </w:pPr>
      <w:r>
        <w:t>Pros: Reduces the forecasting procedure to a common set of factors; Eliminates the noise present in a sample of data and ensures consistent forecasts given a covariance matrix.</w:t>
      </w:r>
    </w:p>
    <w:p w:rsidR="00D83358" w:rsidRDefault="00D83358" w:rsidP="002B54E2">
      <w:pPr>
        <w:ind w:left="360"/>
      </w:pPr>
    </w:p>
    <w:p w:rsidR="00D83358" w:rsidRDefault="00D83358" w:rsidP="002B54E2">
      <w:pPr>
        <w:ind w:left="360"/>
      </w:pPr>
      <w:r>
        <w:t>Example – 2 Factor Model</w:t>
      </w:r>
    </w:p>
    <w:p w:rsidR="00D83358" w:rsidRPr="001E20AB" w:rsidRDefault="002C2BB5" w:rsidP="002B54E2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E20AB" w:rsidRPr="0095464A" w:rsidRDefault="002C2BB5" w:rsidP="002B54E2">
      <w:pPr>
        <w:ind w:left="3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5464A" w:rsidRPr="00D83358" w:rsidRDefault="0095464A" w:rsidP="002B54E2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>)Cov(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67B7" w:rsidRDefault="00570BEA" w:rsidP="00570BEA">
      <w:pPr>
        <w:pStyle w:val="Level3"/>
        <w:spacing w:before="156" w:after="156"/>
      </w:pPr>
      <w:r>
        <w:t>Discounted cash flow models – Grinold-Kroner Model</w:t>
      </w:r>
    </w:p>
    <w:p w:rsidR="007E621A" w:rsidRPr="004C7526" w:rsidRDefault="002C2BB5" w:rsidP="007E62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+i+g-∆S+∆(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C7526" w:rsidRPr="00A448E8" w:rsidRDefault="002C2BB5" w:rsidP="007E62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Div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=Dividend yield</m:t>
          </m:r>
        </m:oMath>
      </m:oMathPara>
    </w:p>
    <w:p w:rsidR="00A448E8" w:rsidRPr="00A448E8" w:rsidRDefault="00A448E8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m:t>-∆S=expected repurchase yield</m:t>
          </m:r>
        </m:oMath>
      </m:oMathPara>
    </w:p>
    <w:p w:rsidR="00A448E8" w:rsidRDefault="00A448E8" w:rsidP="007E621A">
      <w:r>
        <w:t>i = expected inflation</w:t>
      </w:r>
    </w:p>
    <w:p w:rsidR="00A448E8" w:rsidRDefault="00157661" w:rsidP="007E621A">
      <w:r>
        <w:t>g = real earning growth rate</w:t>
      </w:r>
    </w:p>
    <w:p w:rsidR="00157661" w:rsidRPr="004E389B" w:rsidRDefault="00157661" w:rsidP="007E62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=repricing component</m:t>
          </m:r>
        </m:oMath>
      </m:oMathPara>
    </w:p>
    <w:p w:rsidR="004E389B" w:rsidRDefault="004E389B" w:rsidP="004E389B">
      <w:pPr>
        <w:pStyle w:val="Level3"/>
        <w:spacing w:before="156" w:after="156"/>
      </w:pPr>
      <w:r>
        <w:t>Financial Equilibrium Approach</w:t>
      </w:r>
    </w:p>
    <w:p w:rsidR="00075833" w:rsidRDefault="00075833" w:rsidP="00075833">
      <w:r>
        <w:t>Equity risk premium assuming full integration</w:t>
      </w:r>
    </w:p>
    <w:p w:rsidR="00075833" w:rsidRPr="00F47A89" w:rsidRDefault="002C2BB5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ERP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7A89" w:rsidRDefault="00F47A89" w:rsidP="00F47A89">
      <w:r>
        <w:t>Equity risk premium assuming full segmentation</w:t>
      </w:r>
    </w:p>
    <w:p w:rsidR="00F47A89" w:rsidRDefault="00F47A89" w:rsidP="00F47A89">
      <w:r>
        <w:t>p = 1</w:t>
      </w:r>
    </w:p>
    <w:p w:rsidR="007E7859" w:rsidRDefault="007E7859" w:rsidP="009B7BF2">
      <w:r>
        <w:t xml:space="preserve">Equity risk premium = </w:t>
      </w:r>
      <w:r w:rsidR="009B7BF2">
        <w:t>integration degree% * (ERP of full integration) + (1 - integration degree%) * (ERP of full segmentation)</w:t>
      </w:r>
    </w:p>
    <w:p w:rsidR="00F47A89" w:rsidRDefault="00F47A89" w:rsidP="00075833"/>
    <w:p w:rsidR="00455DED" w:rsidRDefault="00455DED" w:rsidP="00075833">
      <w:r>
        <w:t>Covariance between the two markets:</w:t>
      </w:r>
    </w:p>
    <w:p w:rsidR="00455DED" w:rsidRPr="00C13ABC" w:rsidRDefault="002C2BB5" w:rsidP="0007583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13ABC" w:rsidRDefault="004F40AC" w:rsidP="004F40AC">
      <w:pPr>
        <w:pStyle w:val="Level3"/>
        <w:spacing w:before="156" w:after="156"/>
      </w:pPr>
      <w:r>
        <w:t>Economic analysis</w:t>
      </w:r>
    </w:p>
    <w:p w:rsidR="004F40AC" w:rsidRDefault="004F40AC" w:rsidP="004F40AC">
      <w:r>
        <w:t>Cyclical Analysis: Inventory Cycle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Measured using inventory to sales ratio</w:t>
      </w:r>
    </w:p>
    <w:p w:rsidR="004F40AC" w:rsidRP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Typically lasts 2~4 years</w:t>
      </w:r>
    </w:p>
    <w:p w:rsidR="004F40AC" w:rsidRDefault="004F40AC" w:rsidP="004F40AC">
      <w:pPr>
        <w:pStyle w:val="ListParagraph"/>
        <w:numPr>
          <w:ilvl w:val="0"/>
          <w:numId w:val="46"/>
        </w:numPr>
        <w:ind w:firstLineChars="0"/>
      </w:pPr>
      <w:r>
        <w:t>Due to inventory management practi</w:t>
      </w:r>
      <w:r w:rsidR="00A90759">
        <w:t>ces, the overall trend is lower</w:t>
      </w:r>
    </w:p>
    <w:p w:rsidR="0014643A" w:rsidRDefault="0014643A" w:rsidP="0014643A">
      <w:pPr>
        <w:pStyle w:val="Level3"/>
        <w:spacing w:before="156" w:after="156"/>
      </w:pPr>
      <w:r>
        <w:rPr>
          <w:rFonts w:hint="eastAsia"/>
        </w:rPr>
        <w:t>Emerging</w:t>
      </w:r>
      <w:r>
        <w:t xml:space="preserve"> market economies</w:t>
      </w:r>
    </w:p>
    <w:p w:rsidR="0014643A" w:rsidRDefault="0014643A" w:rsidP="0014643A">
      <w:r>
        <w:rPr>
          <w:rFonts w:hint="eastAsia"/>
        </w:rPr>
        <w:t>6 questions to ask b</w:t>
      </w:r>
      <w:r>
        <w:t>efore investing in emerging markets</w:t>
      </w:r>
      <w:r w:rsidR="00F21D52">
        <w:t>\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responsible fiscal and monetary policies?</w:t>
      </w:r>
    </w:p>
    <w:p w:rsidR="00F21D52" w:rsidRDefault="00F21D52" w:rsidP="00F21D52">
      <w:r>
        <w:rPr>
          <w:rFonts w:hint="eastAsia"/>
        </w:rPr>
        <w:t xml:space="preserve">Above 4% </w:t>
      </w:r>
      <w:r>
        <w:t>deficit</w:t>
      </w:r>
      <w:r>
        <w:rPr>
          <w:rFonts w:hint="eastAsia"/>
        </w:rPr>
        <w:t xml:space="preserve"> to GDP ratio means credit risk.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expected growth?</w:t>
      </w:r>
    </w:p>
    <w:p w:rsidR="00F21D52" w:rsidRDefault="00F21D52" w:rsidP="00F21D52">
      <w:r>
        <w:rPr>
          <w:rFonts w:hint="eastAsia"/>
        </w:rPr>
        <w:t xml:space="preserve">Because of higher risk, expected growth should be at least 4%. </w:t>
      </w:r>
      <w:r>
        <w:t>Growth less than 4% means the economy growing slower than population.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Does the country have reasonable currency values and current account deficits?</w:t>
      </w:r>
    </w:p>
    <w:p w:rsidR="00F21D52" w:rsidRDefault="00F21D52" w:rsidP="00F21D52">
      <w:r>
        <w:rPr>
          <w:rFonts w:hint="eastAsia"/>
        </w:rPr>
        <w:t>Volatile currency discourages foreign investment; Current account deficit greater than 4%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Is the country too highly levered?</w:t>
      </w:r>
    </w:p>
    <w:p w:rsidR="00F21D52" w:rsidRDefault="00F21D52" w:rsidP="00F21D52">
      <w:r>
        <w:rPr>
          <w:rFonts w:hint="eastAsia"/>
        </w:rPr>
        <w:t>Foreign debt greater than 50% is problematic.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What is the level of foreign exchange reserves?</w:t>
      </w:r>
    </w:p>
    <w:p w:rsidR="00F21D52" w:rsidRDefault="00F21D52" w:rsidP="00F21D52"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ould </w:t>
      </w:r>
      <w:r>
        <w:t>be enough to pay foreign debt due within one year.</w:t>
      </w:r>
    </w:p>
    <w:p w:rsidR="00F21D52" w:rsidRDefault="00F21D52" w:rsidP="00F21D52">
      <w:pPr>
        <w:pStyle w:val="ListParagraph"/>
        <w:numPr>
          <w:ilvl w:val="0"/>
          <w:numId w:val="47"/>
        </w:numPr>
        <w:ind w:firstLineChars="0"/>
      </w:pPr>
      <w:r>
        <w:t>What</w:t>
      </w:r>
      <w:r>
        <w:rPr>
          <w:rFonts w:hint="eastAsia"/>
        </w:rPr>
        <w:t xml:space="preserve"> </w:t>
      </w:r>
      <w:r>
        <w:t>is the government’s stance regarding structural reform?</w:t>
      </w:r>
    </w:p>
    <w:p w:rsidR="00F21D52" w:rsidRDefault="00F21D52" w:rsidP="00F21D52">
      <w:r>
        <w:rPr>
          <w:rFonts w:hint="eastAsia"/>
        </w:rPr>
        <w:t>Commitment to responsible fiscal policies, competition, and privatization encourages growth.</w:t>
      </w:r>
    </w:p>
    <w:p w:rsidR="00F21D52" w:rsidRDefault="007464DB" w:rsidP="007464DB">
      <w:pPr>
        <w:pStyle w:val="Level3"/>
        <w:spacing w:before="156" w:after="156"/>
      </w:pPr>
      <w:r>
        <w:rPr>
          <w:rFonts w:hint="eastAsia"/>
        </w:rPr>
        <w:t>3 Approaches to Economic Forecasting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Econometrics (Economic models)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Once established, they can be reused to forecast future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rPr>
          <w:rFonts w:hint="eastAsia"/>
        </w:rPr>
        <w:t>Can be made quite complex to model read world conditions.</w:t>
      </w:r>
    </w:p>
    <w:p w:rsidR="007464DB" w:rsidRDefault="007464DB" w:rsidP="007464DB">
      <w:pPr>
        <w:pStyle w:val="ListParagraph"/>
        <w:numPr>
          <w:ilvl w:val="0"/>
          <w:numId w:val="49"/>
        </w:numPr>
        <w:ind w:firstLineChars="0"/>
      </w:pPr>
      <w:r>
        <w:t>Can provide precise quantitative forecasts of economic conditions.</w:t>
      </w:r>
    </w:p>
    <w:p w:rsidR="007464DB" w:rsidRDefault="007464DB" w:rsidP="007464DB">
      <w:r>
        <w:rPr>
          <w:rFonts w:hint="eastAsia"/>
        </w:rPr>
        <w:lastRenderedPageBreak/>
        <w:t>Cons: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rPr>
          <w:rFonts w:hint="eastAsia"/>
        </w:rPr>
        <w:t xml:space="preserve">May be </w:t>
      </w:r>
      <w:r>
        <w:t>difficult</w:t>
      </w:r>
      <w:r>
        <w:rPr>
          <w:rFonts w:hint="eastAsia"/>
        </w:rPr>
        <w:t xml:space="preserve"> </w:t>
      </w:r>
      <w:r>
        <w:t>and time intensive to create.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Proposed model may not be applicable in future time period.</w:t>
      </w:r>
    </w:p>
    <w:p w:rsidR="007464DB" w:rsidRDefault="007464DB" w:rsidP="007464DB">
      <w:pPr>
        <w:pStyle w:val="ListParagraph"/>
        <w:numPr>
          <w:ilvl w:val="0"/>
          <w:numId w:val="50"/>
        </w:numPr>
        <w:ind w:firstLineChars="0"/>
      </w:pPr>
      <w:r>
        <w:t>Better at forecasting expansions; not reliable for forecasting recessions.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rPr>
          <w:rFonts w:hint="eastAsia"/>
        </w:rPr>
        <w:t>Economic indicators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rPr>
          <w:rFonts w:hint="eastAsia"/>
        </w:rPr>
        <w:t>Available from outside parties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Easy to understand and interpret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Can be adapted for specific purposes</w:t>
      </w:r>
    </w:p>
    <w:p w:rsidR="007464DB" w:rsidRDefault="007464DB" w:rsidP="007464DB">
      <w:pPr>
        <w:pStyle w:val="ListParagraph"/>
        <w:numPr>
          <w:ilvl w:val="0"/>
          <w:numId w:val="51"/>
        </w:numPr>
        <w:ind w:firstLineChars="0"/>
      </w:pPr>
      <w:r>
        <w:t>Effectiveness has been verified by academic research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rPr>
          <w:rFonts w:hint="eastAsia"/>
        </w:rPr>
        <w:t>Inconsistent: economic relationships change through time.</w:t>
      </w:r>
    </w:p>
    <w:p w:rsidR="007464DB" w:rsidRDefault="007464DB" w:rsidP="007464DB">
      <w:pPr>
        <w:pStyle w:val="ListParagraph"/>
        <w:numPr>
          <w:ilvl w:val="0"/>
          <w:numId w:val="52"/>
        </w:numPr>
        <w:ind w:firstLineChars="0"/>
      </w:pPr>
      <w:r>
        <w:t>Forecasts from leading indicators can be misleading.</w:t>
      </w:r>
    </w:p>
    <w:p w:rsidR="007464DB" w:rsidRDefault="007464DB" w:rsidP="007464DB">
      <w:pPr>
        <w:pStyle w:val="ListParagraph"/>
        <w:numPr>
          <w:ilvl w:val="0"/>
          <w:numId w:val="48"/>
        </w:numPr>
        <w:ind w:firstLineChars="0"/>
      </w:pPr>
      <w:r>
        <w:t>Checklist</w:t>
      </w:r>
      <w:r>
        <w:rPr>
          <w:rFonts w:hint="eastAsia"/>
        </w:rPr>
        <w:t xml:space="preserve"> approach</w:t>
      </w:r>
    </w:p>
    <w:p w:rsidR="007464DB" w:rsidRDefault="007464DB" w:rsidP="007464DB">
      <w:r>
        <w:rPr>
          <w:rFonts w:hint="eastAsia"/>
        </w:rPr>
        <w:t>Pros: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rPr>
          <w:rFonts w:hint="eastAsia"/>
        </w:rPr>
        <w:t>Simple to understand</w:t>
      </w:r>
    </w:p>
    <w:p w:rsidR="007464DB" w:rsidRDefault="007464DB" w:rsidP="007464DB">
      <w:pPr>
        <w:pStyle w:val="ListParagraph"/>
        <w:numPr>
          <w:ilvl w:val="0"/>
          <w:numId w:val="53"/>
        </w:numPr>
        <w:ind w:firstLineChars="0"/>
      </w:pPr>
      <w:r>
        <w:t>Can be changed over time</w:t>
      </w:r>
    </w:p>
    <w:p w:rsidR="007464DB" w:rsidRDefault="007464DB" w:rsidP="007464DB">
      <w:r>
        <w:rPr>
          <w:rFonts w:hint="eastAsia"/>
        </w:rPr>
        <w:t>Cons: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rPr>
          <w:rFonts w:hint="eastAsia"/>
        </w:rPr>
        <w:t>Requires subjective judgment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be time intensive to create</w:t>
      </w:r>
    </w:p>
    <w:p w:rsidR="007464DB" w:rsidRDefault="007464DB" w:rsidP="007464DB">
      <w:pPr>
        <w:pStyle w:val="ListParagraph"/>
        <w:numPr>
          <w:ilvl w:val="0"/>
          <w:numId w:val="54"/>
        </w:numPr>
        <w:ind w:firstLineChars="0"/>
      </w:pPr>
      <w:r>
        <w:t>May not be able to model complex relationship</w:t>
      </w:r>
    </w:p>
    <w:p w:rsidR="006B2757" w:rsidRDefault="006B2757" w:rsidP="006B2757">
      <w:pPr>
        <w:pStyle w:val="Level2"/>
      </w:pPr>
      <w:r>
        <w:t>Equity Market Valuation</w:t>
      </w:r>
    </w:p>
    <w:p w:rsidR="006B2757" w:rsidRDefault="006B2757" w:rsidP="006B2757">
      <w:pPr>
        <w:pStyle w:val="Level3"/>
        <w:numPr>
          <w:ilvl w:val="2"/>
          <w:numId w:val="55"/>
        </w:numPr>
        <w:spacing w:before="156" w:after="156"/>
      </w:pPr>
      <w:r>
        <w:t>Cobb-Douglas Production Function</w:t>
      </w:r>
    </w:p>
    <w:p w:rsidR="00A5293D" w:rsidRDefault="006B2757" w:rsidP="006B2757">
      <m:oMath>
        <m:r>
          <m:rPr>
            <m:sty m:val="p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  <w:r>
        <w:t xml:space="preserve"> </w:t>
      </w:r>
    </w:p>
    <w:p w:rsidR="006B2757" w:rsidRPr="00A5293D" w:rsidRDefault="006B2757" w:rsidP="006B275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∆Y%=∆A%+α∆K%+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∆L%</m:t>
          </m:r>
        </m:oMath>
      </m:oMathPara>
    </w:p>
    <w:p w:rsidR="00A5293D" w:rsidRDefault="00A5293D" w:rsidP="006B2757">
      <w:r>
        <w:t>The change in TFP is the Solow residual and can be determined by rearranging the above equation.</w:t>
      </w:r>
    </w:p>
    <w:p w:rsidR="00A5293D" w:rsidRDefault="00A5293D" w:rsidP="00A5293D">
      <w:pPr>
        <w:pStyle w:val="Level3"/>
        <w:spacing w:before="156" w:after="156"/>
      </w:pPr>
      <w:r>
        <w:t>Changes in TFP</w:t>
      </w:r>
    </w:p>
    <w:p w:rsidR="00A5293D" w:rsidRDefault="00A5293D" w:rsidP="00A5293D">
      <w:r>
        <w:t>An economy’s TFP can change over time due to: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Changes in technology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restrictions on capital flows and labor mobility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trade restrictions</w:t>
      </w:r>
    </w:p>
    <w:p w:rsidR="00A5293D" w:rsidRPr="00A5293D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Changing laws</w:t>
      </w:r>
    </w:p>
    <w:p w:rsidR="00A5293D" w:rsidRPr="000C5341" w:rsidRDefault="00A5293D" w:rsidP="00A5293D">
      <w:pPr>
        <w:pStyle w:val="ListParagraph"/>
        <w:numPr>
          <w:ilvl w:val="0"/>
          <w:numId w:val="56"/>
        </w:numPr>
        <w:ind w:firstLineChars="0"/>
      </w:pPr>
      <w:r>
        <w:t>Discovery of natural resources</w:t>
      </w:r>
    </w:p>
    <w:p w:rsidR="000C5341" w:rsidRDefault="000C5341" w:rsidP="000C5341">
      <w:pPr>
        <w:pStyle w:val="Level3"/>
        <w:spacing w:before="156" w:after="156"/>
      </w:pPr>
      <w:r>
        <w:t>H-Model for Emerging Markets</w:t>
      </w:r>
    </w:p>
    <w:p w:rsidR="000C5341" w:rsidRPr="007904E6" w:rsidRDefault="000C5341" w:rsidP="000C5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7904E6" w:rsidRDefault="007904E6" w:rsidP="007904E6">
      <w:pPr>
        <w:pStyle w:val="Level3"/>
        <w:spacing w:before="156" w:after="156"/>
      </w:pPr>
      <w:r>
        <w:t>Top-Down and Bottom-Up Approaches to Forecast EPS</w:t>
      </w:r>
    </w:p>
    <w:p w:rsidR="007904E6" w:rsidRDefault="007904E6" w:rsidP="007904E6">
      <w:r>
        <w:t>There are 2 reasons why forecasting EPS with the 2 methods can yield different results.</w:t>
      </w:r>
    </w:p>
    <w:p w:rsidR="007904E6" w:rsidRPr="007904E6" w:rsidRDefault="007904E6" w:rsidP="007904E6">
      <w:pPr>
        <w:pStyle w:val="ListParagraph"/>
        <w:numPr>
          <w:ilvl w:val="0"/>
          <w:numId w:val="57"/>
        </w:numPr>
        <w:ind w:firstLineChars="0"/>
      </w:pPr>
      <w:r>
        <w:t>Problems associated with the models used in top-down analysis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lastRenderedPageBreak/>
        <w:t>Econometric models can be slow in capturing structural changes.</w:t>
      </w:r>
    </w:p>
    <w:p w:rsidR="007904E6" w:rsidRPr="002C2BB5" w:rsidRDefault="007904E6" w:rsidP="002C2BB5">
      <w:pPr>
        <w:pStyle w:val="ListParagraph"/>
        <w:numPr>
          <w:ilvl w:val="0"/>
          <w:numId w:val="59"/>
        </w:numPr>
        <w:ind w:firstLineChars="0"/>
      </w:pPr>
      <w:r>
        <w:t>Misspecification: Variables that explained financial relationships in the past might no longer be appropriate.</w:t>
      </w:r>
    </w:p>
    <w:p w:rsidR="002C2BB5" w:rsidRPr="002C2BB5" w:rsidRDefault="002C2BB5" w:rsidP="002C2BB5">
      <w:pPr>
        <w:pStyle w:val="ListParagraph"/>
        <w:ind w:left="1440" w:firstLineChars="0" w:firstLine="0"/>
      </w:pPr>
    </w:p>
    <w:p w:rsidR="002C2BB5" w:rsidRPr="002C2BB5" w:rsidRDefault="002C2BB5" w:rsidP="002C2BB5">
      <w:pPr>
        <w:pStyle w:val="ListParagraph"/>
        <w:numPr>
          <w:ilvl w:val="0"/>
          <w:numId w:val="57"/>
        </w:numPr>
        <w:ind w:firstLineChars="0"/>
      </w:pPr>
      <w:r>
        <w:t>Manager bias incorporated into bottom-up analysis.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A bottom-up analysis is usually based on manager expectations.</w:t>
      </w:r>
    </w:p>
    <w:p w:rsidR="002C2BB5" w:rsidRPr="002C2BB5" w:rsidRDefault="002C2BB5" w:rsidP="002C2BB5">
      <w:pPr>
        <w:pStyle w:val="ListParagraph"/>
        <w:numPr>
          <w:ilvl w:val="0"/>
          <w:numId w:val="58"/>
        </w:numPr>
        <w:ind w:firstLineChars="0"/>
      </w:pPr>
      <w:r>
        <w:t>Most managers expect their firms to outperform the industry average, aggregating individual manager expectations can lead to significantly overestimated industry expectations.</w:t>
      </w:r>
    </w:p>
    <w:p w:rsidR="002C2BB5" w:rsidRPr="008B5CDC" w:rsidRDefault="009A365A" w:rsidP="002C2BB5">
      <w:pPr>
        <w:pStyle w:val="ListParagraph"/>
        <w:numPr>
          <w:ilvl w:val="0"/>
          <w:numId w:val="58"/>
        </w:numPr>
        <w:ind w:firstLineChars="0"/>
      </w:pPr>
      <w:r>
        <w:t>On the other hand, they tend to be more pessimistic as the market begins to recover.</w:t>
      </w:r>
    </w:p>
    <w:p w:rsidR="008B5CDC" w:rsidRDefault="008B5CDC" w:rsidP="008B5CDC">
      <w:pPr>
        <w:pStyle w:val="Level3"/>
        <w:spacing w:before="156" w:after="156"/>
      </w:pPr>
      <w:r>
        <w:t>The Fed model</w:t>
      </w:r>
    </w:p>
    <w:p w:rsidR="008B5CDC" w:rsidRDefault="008B5CDC" w:rsidP="008B5CDC">
      <w:r>
        <w:t>The Fed model compares the expected operating earnings yield on the S&amp;P 500 to the yield on long-term US Treasury bond:</w:t>
      </w:r>
    </w:p>
    <w:p w:rsidR="008B5CDC" w:rsidRDefault="008B5CDC" w:rsidP="008B5CDC">
      <w:r>
        <w:t>Fed model ratio = S&amp;P yield / Treasury yield</w:t>
      </w:r>
    </w:p>
    <w:p w:rsidR="008B5CDC" w:rsidRDefault="008B5CDC" w:rsidP="008B5CDC">
      <w:r>
        <w:t xml:space="preserve">S&amp;P yield = aggregate expected operating </w:t>
      </w:r>
      <w:r w:rsidR="0008517A">
        <w:t>earnings</w:t>
      </w:r>
      <w:bookmarkStart w:id="0" w:name="_GoBack"/>
      <w:bookmarkEnd w:id="0"/>
      <w:r>
        <w:t xml:space="preserve"> / current price of the S&amp;P</w:t>
      </w:r>
    </w:p>
    <w:p w:rsidR="008B5CDC" w:rsidRDefault="008B5CDC" w:rsidP="008B5CDC"/>
    <w:p w:rsidR="008B5CDC" w:rsidRDefault="008B5CDC" w:rsidP="008B5CDC">
      <w:r>
        <w:t>If model ratio &gt; 1, equities are undervalued.</w:t>
      </w:r>
    </w:p>
    <w:p w:rsidR="001C57E7" w:rsidRDefault="001C57E7" w:rsidP="008B5CDC"/>
    <w:p w:rsidR="001C57E7" w:rsidRDefault="001C57E7" w:rsidP="008B5CDC">
      <w:r>
        <w:t>Criticisms: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the equity risk premium; in other words, ignores the risk of equities.</w:t>
      </w:r>
    </w:p>
    <w:p w:rsidR="001C57E7" w:rsidRPr="001C57E7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Ignores earning growth</w:t>
      </w:r>
    </w:p>
    <w:p w:rsidR="001C57E7" w:rsidRPr="002547A5" w:rsidRDefault="001C57E7" w:rsidP="001C57E7">
      <w:pPr>
        <w:pStyle w:val="ListParagraph"/>
        <w:numPr>
          <w:ilvl w:val="0"/>
          <w:numId w:val="60"/>
        </w:numPr>
        <w:ind w:firstLineChars="0"/>
      </w:pPr>
      <w:r>
        <w:t>Compares a real variable (S&amp;P yield) to a nominal variable.</w:t>
      </w:r>
    </w:p>
    <w:p w:rsidR="002547A5" w:rsidRPr="002547A5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>Rather than assume the 2 yields should be equal, analysts watch the ratio of the earning yield and treasury yield. When the ratio is above its long-term average, the difference between the 2 yields is historically high.</w:t>
      </w:r>
    </w:p>
    <w:p w:rsidR="002547A5" w:rsidRPr="0067360E" w:rsidRDefault="002547A5" w:rsidP="001C57E7">
      <w:pPr>
        <w:pStyle w:val="ListParagraph"/>
        <w:numPr>
          <w:ilvl w:val="0"/>
          <w:numId w:val="60"/>
        </w:numPr>
        <w:ind w:firstLineChars="0"/>
      </w:pPr>
      <w:r>
        <w:t xml:space="preserve">Equity prices would be expected to </w:t>
      </w:r>
      <w:r w:rsidR="003172AE">
        <w:t>increase</w:t>
      </w:r>
      <w:r>
        <w:t xml:space="preserve">, resulting in lowering the ratio of the 2 </w:t>
      </w:r>
      <w:r w:rsidR="003172AE">
        <w:t>yields</w:t>
      </w:r>
      <w:r>
        <w:t>.</w:t>
      </w:r>
    </w:p>
    <w:p w:rsidR="0067360E" w:rsidRDefault="0067360E" w:rsidP="0067360E">
      <w:pPr>
        <w:pStyle w:val="Level3"/>
        <w:spacing w:before="156" w:after="156"/>
      </w:pPr>
      <w:r>
        <w:t>The Yardeni model</w:t>
      </w:r>
    </w:p>
    <w:p w:rsidR="0067360E" w:rsidRPr="0067360E" w:rsidRDefault="0067360E" w:rsidP="0067360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-d*LTEG</m:t>
          </m:r>
        </m:oMath>
      </m:oMathPara>
    </w:p>
    <w:p w:rsidR="0067360E" w:rsidRPr="00183856" w:rsidRDefault="00183856" w:rsidP="006736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=yield on A rated corporate bonds</m:t>
          </m:r>
        </m:oMath>
      </m:oMathPara>
    </w:p>
    <w:p w:rsidR="00183856" w:rsidRDefault="00183856" w:rsidP="0067360E">
      <w:r>
        <w:t>d = a weighting factor</w:t>
      </w:r>
    </w:p>
    <w:p w:rsidR="00183856" w:rsidRDefault="00183856" w:rsidP="0067360E">
      <w:r>
        <w:t xml:space="preserve">LTEG = long-term </w:t>
      </w:r>
      <w:r w:rsidR="00085BE8">
        <w:t>earnings</w:t>
      </w:r>
      <w:r>
        <w:t xml:space="preserve"> growth</w:t>
      </w:r>
    </w:p>
    <w:p w:rsidR="00085BE8" w:rsidRDefault="00085BE8" w:rsidP="0067360E">
      <w:r>
        <w:t>The earning yield from the model is compared to the market earning yield.</w:t>
      </w:r>
    </w:p>
    <w:p w:rsidR="001E514D" w:rsidRDefault="001E514D" w:rsidP="0067360E">
      <w:r>
        <w:t>This model assumes that all earnings are paid out as dividends and there’s no growth.</w:t>
      </w:r>
    </w:p>
    <w:p w:rsidR="00F016AB" w:rsidRDefault="00F016AB" w:rsidP="00F016AB">
      <w:pPr>
        <w:pStyle w:val="Level3"/>
        <w:spacing w:before="156" w:after="156"/>
      </w:pPr>
      <w:r>
        <w:t>10-year moving average price/earnings ratio</w:t>
      </w:r>
    </w:p>
    <w:p w:rsidR="00F016AB" w:rsidRDefault="00F016AB" w:rsidP="00F016AB">
      <w:r>
        <w:t>P/10-year MA(E) = current S&amp;P 500 / 10 year average earnings</w:t>
      </w:r>
    </w:p>
    <w:p w:rsidR="002D41DB" w:rsidRDefault="002D41DB" w:rsidP="00F016AB">
      <w:r>
        <w:t>Both the numerator and denominator are adjusted for inflation using CPI.</w:t>
      </w:r>
    </w:p>
    <w:p w:rsidR="002D41DB" w:rsidRDefault="002D41DB" w:rsidP="00F016AB">
      <w:r>
        <w:t>To use this, analyst compares its current value to its historical average.</w:t>
      </w:r>
    </w:p>
    <w:p w:rsidR="00603E73" w:rsidRDefault="00603E73" w:rsidP="00F016AB"/>
    <w:p w:rsidR="00603E73" w:rsidRDefault="00603E73" w:rsidP="00F016AB">
      <w:r>
        <w:t>Criticisms: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 xml:space="preserve">By using 10-year average earnings, it captures the effects of business cycle, but it is </w:t>
      </w:r>
      <w:r>
        <w:lastRenderedPageBreak/>
        <w:t>backward-looking. Using current or expected earnings could provide more useful information.</w:t>
      </w:r>
    </w:p>
    <w:p w:rsidR="00603E73" w:rsidRPr="00603E73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It does not consider the effects of changes in accounting rules.</w:t>
      </w:r>
    </w:p>
    <w:p w:rsidR="00603E73" w:rsidRPr="000A00F7" w:rsidRDefault="00603E73" w:rsidP="00603E73">
      <w:pPr>
        <w:pStyle w:val="ListParagraph"/>
        <w:numPr>
          <w:ilvl w:val="0"/>
          <w:numId w:val="61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0A00F7" w:rsidRDefault="000A00F7" w:rsidP="000A00F7">
      <w:pPr>
        <w:pStyle w:val="Level3"/>
        <w:spacing w:before="156" w:after="156"/>
      </w:pPr>
      <w:r>
        <w:t>Asset Based Models</w:t>
      </w:r>
    </w:p>
    <w:p w:rsidR="000A00F7" w:rsidRDefault="000A00F7" w:rsidP="000A00F7">
      <w:r>
        <w:t>Tobin’s q = asset market value / asset replacement cost</w:t>
      </w:r>
    </w:p>
    <w:p w:rsidR="000A00F7" w:rsidRDefault="000A00F7" w:rsidP="000A00F7">
      <w:r>
        <w:tab/>
        <w:t xml:space="preserve">    = (market value of debt + equity) / asset replacement cost</w:t>
      </w:r>
    </w:p>
    <w:p w:rsidR="000A00F7" w:rsidRDefault="000A00F7" w:rsidP="000A00F7">
      <w:r>
        <w:t>Equity’s q = market value of equity / (market value of assets – market value of liability)</w:t>
      </w:r>
    </w:p>
    <w:p w:rsidR="00346449" w:rsidRDefault="00346449" w:rsidP="000A00F7"/>
    <w:p w:rsidR="00346449" w:rsidRDefault="00E8330E" w:rsidP="000A00F7">
      <w:r>
        <w:t>Critic</w:t>
      </w:r>
      <w:r w:rsidR="00346449">
        <w:t>:</w:t>
      </w:r>
    </w:p>
    <w:p w:rsidR="00346449" w:rsidRPr="00E8330E" w:rsidRDefault="00346449" w:rsidP="00346449">
      <w:pPr>
        <w:pStyle w:val="ListParagraph"/>
        <w:numPr>
          <w:ilvl w:val="0"/>
          <w:numId w:val="62"/>
        </w:numPr>
        <w:ind w:firstLineChars="0"/>
      </w:pPr>
      <w:r>
        <w:t>Both ratios are mean reverting</w:t>
      </w:r>
    </w:p>
    <w:p w:rsidR="00E8330E" w:rsidRPr="000A00F7" w:rsidRDefault="00E8330E" w:rsidP="00E8330E">
      <w:pPr>
        <w:pStyle w:val="ListParagraph"/>
        <w:numPr>
          <w:ilvl w:val="0"/>
          <w:numId w:val="62"/>
        </w:numPr>
        <w:ind w:firstLineChars="0"/>
      </w:pPr>
      <w:r>
        <w:t>Empirical studies have found that very high or low ratios have persisted, limiting its usefulness in forming short-run expectations.</w:t>
      </w:r>
    </w:p>
    <w:p w:rsidR="00E8330E" w:rsidRPr="00346449" w:rsidRDefault="00E8330E" w:rsidP="00346449">
      <w:pPr>
        <w:pStyle w:val="ListParagraph"/>
        <w:numPr>
          <w:ilvl w:val="0"/>
          <w:numId w:val="62"/>
        </w:numPr>
        <w:ind w:firstLineChars="0"/>
      </w:pPr>
      <w:r>
        <w:t>Replacement cost can be difficult to estimate</w:t>
      </w:r>
      <w:r w:rsidR="00464177">
        <w:t>.</w:t>
      </w:r>
    </w:p>
    <w:sectPr w:rsidR="00E8330E" w:rsidRPr="00346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238" w:rsidRDefault="00957238" w:rsidP="00B10F78">
      <w:r>
        <w:separator/>
      </w:r>
    </w:p>
  </w:endnote>
  <w:endnote w:type="continuationSeparator" w:id="0">
    <w:p w:rsidR="00957238" w:rsidRDefault="00957238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238" w:rsidRDefault="00957238" w:rsidP="00B10F78">
      <w:r>
        <w:separator/>
      </w:r>
    </w:p>
  </w:footnote>
  <w:footnote w:type="continuationSeparator" w:id="0">
    <w:p w:rsidR="00957238" w:rsidRDefault="00957238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BBD"/>
    <w:multiLevelType w:val="hybridMultilevel"/>
    <w:tmpl w:val="9C807F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627"/>
    <w:multiLevelType w:val="hybridMultilevel"/>
    <w:tmpl w:val="01F67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C9542F"/>
    <w:multiLevelType w:val="hybridMultilevel"/>
    <w:tmpl w:val="5E566D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E74"/>
    <w:multiLevelType w:val="hybridMultilevel"/>
    <w:tmpl w:val="1AAA6A6C"/>
    <w:lvl w:ilvl="0" w:tplc="812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B1428"/>
    <w:multiLevelType w:val="hybridMultilevel"/>
    <w:tmpl w:val="04BE6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797102"/>
    <w:multiLevelType w:val="hybridMultilevel"/>
    <w:tmpl w:val="45923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216C5"/>
    <w:multiLevelType w:val="hybridMultilevel"/>
    <w:tmpl w:val="845A1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704CE"/>
    <w:multiLevelType w:val="hybridMultilevel"/>
    <w:tmpl w:val="DF124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84807"/>
    <w:multiLevelType w:val="multilevel"/>
    <w:tmpl w:val="933CF2CC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835FC0"/>
    <w:multiLevelType w:val="hybridMultilevel"/>
    <w:tmpl w:val="BA4A62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802BF"/>
    <w:multiLevelType w:val="hybridMultilevel"/>
    <w:tmpl w:val="2AAA16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0282A"/>
    <w:multiLevelType w:val="hybridMultilevel"/>
    <w:tmpl w:val="3B6C0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27923"/>
    <w:multiLevelType w:val="hybridMultilevel"/>
    <w:tmpl w:val="165C1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26333F4"/>
    <w:multiLevelType w:val="hybridMultilevel"/>
    <w:tmpl w:val="B2DAE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D1B52"/>
    <w:multiLevelType w:val="hybridMultilevel"/>
    <w:tmpl w:val="959E5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041B3"/>
    <w:multiLevelType w:val="hybridMultilevel"/>
    <w:tmpl w:val="7428B3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54096"/>
    <w:multiLevelType w:val="hybridMultilevel"/>
    <w:tmpl w:val="6AC6C1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A75156"/>
    <w:multiLevelType w:val="hybridMultilevel"/>
    <w:tmpl w:val="83942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E54ED9"/>
    <w:multiLevelType w:val="hybridMultilevel"/>
    <w:tmpl w:val="D08653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3C7D46"/>
    <w:multiLevelType w:val="hybridMultilevel"/>
    <w:tmpl w:val="503C91D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C30FEC"/>
    <w:multiLevelType w:val="hybridMultilevel"/>
    <w:tmpl w:val="29D678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E353EE"/>
    <w:multiLevelType w:val="hybridMultilevel"/>
    <w:tmpl w:val="6F8CE8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24745B"/>
    <w:multiLevelType w:val="hybridMultilevel"/>
    <w:tmpl w:val="38884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61225A"/>
    <w:multiLevelType w:val="hybridMultilevel"/>
    <w:tmpl w:val="F8C66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047CA9"/>
    <w:multiLevelType w:val="hybridMultilevel"/>
    <w:tmpl w:val="5BD8FCD6"/>
    <w:lvl w:ilvl="0" w:tplc="3B7C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C785E79"/>
    <w:multiLevelType w:val="hybridMultilevel"/>
    <w:tmpl w:val="4B0A30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0"/>
  </w:num>
  <w:num w:numId="5">
    <w:abstractNumId w:val="28"/>
  </w:num>
  <w:num w:numId="6">
    <w:abstractNumId w:val="17"/>
  </w:num>
  <w:num w:numId="7">
    <w:abstractNumId w:val="41"/>
  </w:num>
  <w:num w:numId="8">
    <w:abstractNumId w:val="35"/>
  </w:num>
  <w:num w:numId="9">
    <w:abstractNumId w:val="40"/>
  </w:num>
  <w:num w:numId="10">
    <w:abstractNumId w:val="42"/>
  </w:num>
  <w:num w:numId="11">
    <w:abstractNumId w:val="24"/>
  </w:num>
  <w:num w:numId="12">
    <w:abstractNumId w:val="8"/>
  </w:num>
  <w:num w:numId="13">
    <w:abstractNumId w:val="33"/>
  </w:num>
  <w:num w:numId="14">
    <w:abstractNumId w:val="14"/>
  </w:num>
  <w:num w:numId="15">
    <w:abstractNumId w:val="51"/>
  </w:num>
  <w:num w:numId="16">
    <w:abstractNumId w:val="45"/>
  </w:num>
  <w:num w:numId="17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9"/>
  </w:num>
  <w:num w:numId="20">
    <w:abstractNumId w:val="15"/>
  </w:num>
  <w:num w:numId="21">
    <w:abstractNumId w:val="16"/>
  </w:num>
  <w:num w:numId="22">
    <w:abstractNumId w:val="47"/>
  </w:num>
  <w:num w:numId="23">
    <w:abstractNumId w:val="27"/>
  </w:num>
  <w:num w:numId="24">
    <w:abstractNumId w:val="37"/>
  </w:num>
  <w:num w:numId="25">
    <w:abstractNumId w:val="38"/>
  </w:num>
  <w:num w:numId="26">
    <w:abstractNumId w:val="22"/>
  </w:num>
  <w:num w:numId="27">
    <w:abstractNumId w:val="26"/>
  </w:num>
  <w:num w:numId="28">
    <w:abstractNumId w:val="48"/>
  </w:num>
  <w:num w:numId="29">
    <w:abstractNumId w:val="13"/>
  </w:num>
  <w:num w:numId="30">
    <w:abstractNumId w:val="19"/>
  </w:num>
  <w:num w:numId="31">
    <w:abstractNumId w:val="25"/>
  </w:num>
  <w:num w:numId="32">
    <w:abstractNumId w:val="46"/>
  </w:num>
  <w:num w:numId="33">
    <w:abstractNumId w:val="39"/>
  </w:num>
  <w:num w:numId="34">
    <w:abstractNumId w:val="23"/>
  </w:num>
  <w:num w:numId="35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12"/>
  </w:num>
  <w:num w:numId="40">
    <w:abstractNumId w:val="10"/>
  </w:num>
  <w:num w:numId="41">
    <w:abstractNumId w:val="44"/>
  </w:num>
  <w:num w:numId="42">
    <w:abstractNumId w:val="0"/>
  </w:num>
  <w:num w:numId="43">
    <w:abstractNumId w:val="49"/>
  </w:num>
  <w:num w:numId="44">
    <w:abstractNumId w:val="32"/>
  </w:num>
  <w:num w:numId="45">
    <w:abstractNumId w:val="52"/>
  </w:num>
  <w:num w:numId="46">
    <w:abstractNumId w:val="43"/>
  </w:num>
  <w:num w:numId="47">
    <w:abstractNumId w:val="53"/>
  </w:num>
  <w:num w:numId="48">
    <w:abstractNumId w:val="3"/>
  </w:num>
  <w:num w:numId="49">
    <w:abstractNumId w:val="1"/>
  </w:num>
  <w:num w:numId="50">
    <w:abstractNumId w:val="7"/>
  </w:num>
  <w:num w:numId="51">
    <w:abstractNumId w:val="20"/>
  </w:num>
  <w:num w:numId="52">
    <w:abstractNumId w:val="21"/>
  </w:num>
  <w:num w:numId="53">
    <w:abstractNumId w:val="18"/>
  </w:num>
  <w:num w:numId="54">
    <w:abstractNumId w:val="4"/>
  </w:num>
  <w:num w:numId="55">
    <w:abstractNumId w:val="9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0"/>
  </w:num>
  <w:num w:numId="57">
    <w:abstractNumId w:val="34"/>
  </w:num>
  <w:num w:numId="58">
    <w:abstractNumId w:val="36"/>
  </w:num>
  <w:num w:numId="59">
    <w:abstractNumId w:val="2"/>
  </w:num>
  <w:num w:numId="60">
    <w:abstractNumId w:val="5"/>
  </w:num>
  <w:num w:numId="61">
    <w:abstractNumId w:val="54"/>
  </w:num>
  <w:num w:numId="62">
    <w:abstractNumId w:val="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28D6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5833"/>
    <w:rsid w:val="00077C4E"/>
    <w:rsid w:val="0008517A"/>
    <w:rsid w:val="00085BE8"/>
    <w:rsid w:val="0009208E"/>
    <w:rsid w:val="00093DAC"/>
    <w:rsid w:val="0009670A"/>
    <w:rsid w:val="000A00F7"/>
    <w:rsid w:val="000A3E90"/>
    <w:rsid w:val="000A713B"/>
    <w:rsid w:val="000B1E39"/>
    <w:rsid w:val="000B243D"/>
    <w:rsid w:val="000B350A"/>
    <w:rsid w:val="000B3627"/>
    <w:rsid w:val="000B7AEF"/>
    <w:rsid w:val="000C3E3F"/>
    <w:rsid w:val="000C5341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17597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43A"/>
    <w:rsid w:val="001466D3"/>
    <w:rsid w:val="00150B06"/>
    <w:rsid w:val="00154F68"/>
    <w:rsid w:val="00156DCF"/>
    <w:rsid w:val="00157661"/>
    <w:rsid w:val="00162353"/>
    <w:rsid w:val="00166427"/>
    <w:rsid w:val="00166441"/>
    <w:rsid w:val="00170F8C"/>
    <w:rsid w:val="0017102C"/>
    <w:rsid w:val="0017194D"/>
    <w:rsid w:val="0017338F"/>
    <w:rsid w:val="001766AE"/>
    <w:rsid w:val="00180449"/>
    <w:rsid w:val="001824C7"/>
    <w:rsid w:val="00183856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7E7"/>
    <w:rsid w:val="001C5B69"/>
    <w:rsid w:val="001C614B"/>
    <w:rsid w:val="001C7264"/>
    <w:rsid w:val="001D021E"/>
    <w:rsid w:val="001D0B87"/>
    <w:rsid w:val="001E1AB4"/>
    <w:rsid w:val="001E207A"/>
    <w:rsid w:val="001E20AB"/>
    <w:rsid w:val="001E26E4"/>
    <w:rsid w:val="001E280F"/>
    <w:rsid w:val="001E514D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47A5"/>
    <w:rsid w:val="002565CC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B54E2"/>
    <w:rsid w:val="002C230A"/>
    <w:rsid w:val="002C2BB5"/>
    <w:rsid w:val="002C7EC9"/>
    <w:rsid w:val="002D41DB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E7949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2AE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6449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5DED"/>
    <w:rsid w:val="00456255"/>
    <w:rsid w:val="004569A9"/>
    <w:rsid w:val="00456CA8"/>
    <w:rsid w:val="00457A59"/>
    <w:rsid w:val="00457AD1"/>
    <w:rsid w:val="00460FFE"/>
    <w:rsid w:val="00463778"/>
    <w:rsid w:val="00463C33"/>
    <w:rsid w:val="00464177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C7526"/>
    <w:rsid w:val="004D2FFF"/>
    <w:rsid w:val="004D72DD"/>
    <w:rsid w:val="004E1C97"/>
    <w:rsid w:val="004E271F"/>
    <w:rsid w:val="004E389B"/>
    <w:rsid w:val="004E3F72"/>
    <w:rsid w:val="004E4174"/>
    <w:rsid w:val="004F12B0"/>
    <w:rsid w:val="004F1DA7"/>
    <w:rsid w:val="004F40AC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0BEA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3B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3942"/>
    <w:rsid w:val="005F5459"/>
    <w:rsid w:val="005F7BE1"/>
    <w:rsid w:val="00600887"/>
    <w:rsid w:val="00600C54"/>
    <w:rsid w:val="00603E73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0E"/>
    <w:rsid w:val="006736A9"/>
    <w:rsid w:val="00675641"/>
    <w:rsid w:val="006757CF"/>
    <w:rsid w:val="00694192"/>
    <w:rsid w:val="00695AFC"/>
    <w:rsid w:val="006A024C"/>
    <w:rsid w:val="006A1718"/>
    <w:rsid w:val="006A34CE"/>
    <w:rsid w:val="006A787C"/>
    <w:rsid w:val="006B2757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092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64DB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8208B"/>
    <w:rsid w:val="00786380"/>
    <w:rsid w:val="007904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621A"/>
    <w:rsid w:val="007E73E0"/>
    <w:rsid w:val="007E7859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975"/>
    <w:rsid w:val="00830DA7"/>
    <w:rsid w:val="00831664"/>
    <w:rsid w:val="0084114C"/>
    <w:rsid w:val="008432D3"/>
    <w:rsid w:val="00844835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5CDC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64A"/>
    <w:rsid w:val="00954BBA"/>
    <w:rsid w:val="00956EB5"/>
    <w:rsid w:val="00957238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365A"/>
    <w:rsid w:val="009A4155"/>
    <w:rsid w:val="009B0460"/>
    <w:rsid w:val="009B29CC"/>
    <w:rsid w:val="009B67B7"/>
    <w:rsid w:val="009B7BF2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48E8"/>
    <w:rsid w:val="00A466F5"/>
    <w:rsid w:val="00A5293D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0759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3945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42A1"/>
    <w:rsid w:val="00BC5830"/>
    <w:rsid w:val="00BC63B1"/>
    <w:rsid w:val="00BC66A7"/>
    <w:rsid w:val="00BC6785"/>
    <w:rsid w:val="00BD2016"/>
    <w:rsid w:val="00BD291E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13ABC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11C6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0594"/>
    <w:rsid w:val="00D6321E"/>
    <w:rsid w:val="00D652BC"/>
    <w:rsid w:val="00D66872"/>
    <w:rsid w:val="00D67F2C"/>
    <w:rsid w:val="00D75FD1"/>
    <w:rsid w:val="00D77A72"/>
    <w:rsid w:val="00D830A7"/>
    <w:rsid w:val="00D83358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18B3"/>
    <w:rsid w:val="00E24E02"/>
    <w:rsid w:val="00E25B17"/>
    <w:rsid w:val="00E27E74"/>
    <w:rsid w:val="00E3110D"/>
    <w:rsid w:val="00E35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330E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16AB"/>
    <w:rsid w:val="00F0797D"/>
    <w:rsid w:val="00F14226"/>
    <w:rsid w:val="00F21D52"/>
    <w:rsid w:val="00F2484C"/>
    <w:rsid w:val="00F31641"/>
    <w:rsid w:val="00F31C18"/>
    <w:rsid w:val="00F339F7"/>
    <w:rsid w:val="00F35193"/>
    <w:rsid w:val="00F43AAE"/>
    <w:rsid w:val="00F44526"/>
    <w:rsid w:val="00F47A89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A7956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E7380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89C2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C672-F39D-46F7-B005-6B0B602A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12865</TotalTime>
  <Pages>15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696</cp:revision>
  <cp:lastPrinted>2015-12-17T06:04:00Z</cp:lastPrinted>
  <dcterms:created xsi:type="dcterms:W3CDTF">2015-12-08T04:36:00Z</dcterms:created>
  <dcterms:modified xsi:type="dcterms:W3CDTF">2017-01-20T07:42:00Z</dcterms:modified>
</cp:coreProperties>
</file>