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807DD2"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77777777"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F31565">
              <w:rPr>
                <w:rFonts w:ascii="Verdana" w:hAnsi="Verdana"/>
                <w:b/>
                <w:bCs/>
                <w:lang w:val="en-US"/>
              </w:rPr>
              <w:t>2</w:t>
            </w:r>
            <w:r w:rsidRPr="002F6E02">
              <w:rPr>
                <w:rFonts w:ascii="Verdana" w:hAnsi="Verdana"/>
                <w:b/>
                <w:bCs/>
                <w:lang w:val="en-US"/>
              </w:rPr>
              <w:t xml:space="preserve"> </w:t>
            </w:r>
            <w:r w:rsidR="00267242">
              <w:rPr>
                <w:rFonts w:ascii="Verdana" w:hAnsi="Verdana"/>
                <w:b/>
                <w:bCs/>
                <w:lang w:val="en-US"/>
              </w:rPr>
              <w:t xml:space="preserve">beta 3 </w:t>
            </w:r>
            <w:r w:rsidRPr="002F6E02">
              <w:rPr>
                <w:rFonts w:ascii="Verdana" w:hAnsi="Verdana"/>
                <w:b/>
                <w:bCs/>
                <w:lang w:val="en-US"/>
              </w:rPr>
              <w:t>–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1491E2CB" w14:textId="77777777" w:rsidR="006E1803" w:rsidRDefault="0018619D" w:rsidP="004417BB">
      <w:pPr>
        <w:pStyle w:val="EVO-BUG"/>
      </w:pPr>
      <w:r>
        <w:t>[</w:t>
      </w:r>
      <w:r w:rsidR="004417BB">
        <w:t>ISSUE#</w:t>
      </w:r>
      <w:r w:rsidR="00A73FBC">
        <w:t>385</w:t>
      </w:r>
      <w:r w:rsidR="004417BB">
        <w:t>] :</w:t>
      </w:r>
      <w:r w:rsidR="006E1803">
        <w:t xml:space="preserve"> </w:t>
      </w:r>
      <w:r w:rsidR="00A73FBC">
        <w:t>Fiabilisation du fonctionnement avec Chrome 71+</w:t>
      </w:r>
    </w:p>
    <w:p w14:paraId="654EAD68" w14:textId="7E6E90D3" w:rsidR="00807DD2" w:rsidRDefault="00807DD2" w:rsidP="00807DD2">
      <w:pPr>
        <w:pStyle w:val="EVO-BUG"/>
      </w:pPr>
      <w:r>
        <w:t>[ISSUE#388] : La s</w:t>
      </w:r>
      <w:r w:rsidRPr="00C625BD">
        <w:t>imulation de frappe clavier ne fonctionn</w:t>
      </w:r>
      <w:r>
        <w:t>ait</w:t>
      </w:r>
      <w:r w:rsidRPr="00C625BD">
        <w:t xml:space="preserve"> pas </w:t>
      </w:r>
      <w:r>
        <w:t xml:space="preserve">pour les caractères avec </w:t>
      </w:r>
      <w:r w:rsidRPr="00C625BD">
        <w:t>accent</w:t>
      </w:r>
      <w:r>
        <w:t>s</w:t>
      </w:r>
      <w:r w:rsidRPr="00C625BD">
        <w:t xml:space="preserve"> circonflexe</w:t>
      </w:r>
      <w:r>
        <w:t>s</w:t>
      </w:r>
      <w:r>
        <w:t xml:space="preserve">, tildes, </w:t>
      </w:r>
      <w:r w:rsidRPr="00C625BD">
        <w:t>tréma</w:t>
      </w:r>
      <w:r>
        <w:t>s</w:t>
      </w:r>
      <w:r>
        <w:t>..</w:t>
      </w:r>
      <w:r>
        <w:t>.</w:t>
      </w:r>
      <w:r>
        <w:t xml:space="preserve"> Ce bug concernait les configurations déclarées en simulation de frappe clavier et le SSO avec Firefox (Internet Explorer, Edge, Chrome et Opéra n’étaient pas concernés). Désormais les caractères suivants sont acceptés dans les identifiants et mots de passe : </w:t>
      </w:r>
      <w:proofErr w:type="spellStart"/>
      <w:r w:rsidRPr="00807DD2">
        <w:rPr>
          <w:rFonts w:ascii="Courier New" w:hAnsi="Courier New" w:cs="Courier New"/>
        </w:rPr>
        <w:t>äâãÄÂÃëêËÊÈïîìÏÎÌöôòõÖÔÒÕüûÜÛÿñÑåÅÉæÆƒáíóú</w:t>
      </w:r>
      <w:proofErr w:type="spellEnd"/>
      <w:r w:rsidRPr="00807DD2">
        <w:rPr>
          <w:rFonts w:ascii="Courier New" w:hAnsi="Courier New" w:cs="Courier New"/>
        </w:rPr>
        <w:t>¿</w:t>
      </w:r>
      <w:proofErr w:type="gramStart"/>
      <w:r w:rsidRPr="00807DD2">
        <w:rPr>
          <w:rFonts w:ascii="Courier New" w:hAnsi="Courier New" w:cs="Courier New"/>
        </w:rPr>
        <w:t>¡«</w:t>
      </w:r>
      <w:proofErr w:type="gramEnd"/>
      <w:r w:rsidRPr="00807DD2">
        <w:rPr>
          <w:rFonts w:ascii="Courier New" w:hAnsi="Courier New" w:cs="Courier New"/>
        </w:rPr>
        <w:t>»</w:t>
      </w:r>
      <w:bookmarkStart w:id="0" w:name="_GoBack"/>
      <w:bookmarkEnd w:id="0"/>
    </w:p>
    <w:p w14:paraId="3BB62FEE" w14:textId="45DEA0B0" w:rsidR="00A73FBC" w:rsidRPr="00267242" w:rsidRDefault="0026596F" w:rsidP="00807DD2">
      <w:pPr>
        <w:pStyle w:val="EVO-BUG"/>
      </w:pPr>
      <w:r>
        <w:t xml:space="preserve">[ISSUE#391] : Dans le client d’admin, </w:t>
      </w:r>
      <w:r>
        <w:rPr>
          <w:rFonts w:ascii="Segoe UI" w:hAnsi="Segoe UI" w:cs="Segoe UI"/>
          <w:color w:val="24292E"/>
          <w:sz w:val="21"/>
          <w:szCs w:val="21"/>
          <w:shd w:val="clear" w:color="auto" w:fill="FFFFFF"/>
        </w:rPr>
        <w:t xml:space="preserve">un message d'erreur </w:t>
      </w:r>
      <w:r w:rsidR="0006027B">
        <w:rPr>
          <w:rFonts w:ascii="Segoe UI" w:hAnsi="Segoe UI" w:cs="Segoe UI"/>
          <w:color w:val="24292E"/>
          <w:sz w:val="21"/>
          <w:szCs w:val="21"/>
          <w:shd w:val="clear" w:color="auto" w:fill="FFFFFF"/>
        </w:rPr>
        <w:t>était</w:t>
      </w:r>
      <w:r>
        <w:rPr>
          <w:rFonts w:ascii="Segoe UI" w:hAnsi="Segoe UI" w:cs="Segoe UI"/>
          <w:color w:val="24292E"/>
          <w:sz w:val="21"/>
          <w:szCs w:val="21"/>
          <w:shd w:val="clear" w:color="auto" w:fill="FFFFFF"/>
        </w:rPr>
        <w:t xml:space="preserve"> affiché lors de la suppression d’un domaine, d’une catégorie ou d’un domaine, </w:t>
      </w:r>
      <w:r w:rsidR="0006027B">
        <w:rPr>
          <w:rFonts w:ascii="Segoe UI" w:hAnsi="Segoe UI" w:cs="Segoe UI"/>
          <w:color w:val="24292E"/>
          <w:sz w:val="21"/>
          <w:szCs w:val="21"/>
          <w:shd w:val="clear" w:color="auto" w:fill="FFFFFF"/>
        </w:rPr>
        <w:t>alors que</w:t>
      </w:r>
      <w:r>
        <w:rPr>
          <w:rFonts w:ascii="Segoe UI" w:hAnsi="Segoe UI" w:cs="Segoe UI"/>
          <w:color w:val="24292E"/>
          <w:sz w:val="21"/>
          <w:szCs w:val="21"/>
          <w:shd w:val="clear" w:color="auto" w:fill="FFFFFF"/>
        </w:rPr>
        <w:t xml:space="preserve"> la suppression </w:t>
      </w:r>
      <w:r w:rsidR="0006027B">
        <w:rPr>
          <w:rFonts w:ascii="Segoe UI" w:hAnsi="Segoe UI" w:cs="Segoe UI"/>
          <w:color w:val="24292E"/>
          <w:sz w:val="21"/>
          <w:szCs w:val="21"/>
          <w:shd w:val="clear" w:color="auto" w:fill="FFFFFF"/>
        </w:rPr>
        <w:t xml:space="preserve">était </w:t>
      </w:r>
      <w:r>
        <w:rPr>
          <w:rFonts w:ascii="Segoe UI" w:hAnsi="Segoe UI" w:cs="Segoe UI"/>
          <w:color w:val="24292E"/>
          <w:sz w:val="21"/>
          <w:szCs w:val="21"/>
          <w:shd w:val="clear" w:color="auto" w:fill="FFFFFF"/>
        </w:rPr>
        <w:t>bien réalisée côté serveur.</w:t>
      </w:r>
    </w:p>
    <w:p w14:paraId="5759A16A" w14:textId="77777777" w:rsidR="0006027B" w:rsidRDefault="00267242" w:rsidP="0006027B">
      <w:pPr>
        <w:pStyle w:val="EVO-BUG"/>
      </w:pPr>
      <w:r>
        <w:t xml:space="preserve">[ISSUE#392] : </w:t>
      </w:r>
      <w:r w:rsidR="0006027B">
        <w:t>Lorsque toutes les configurations étaient supprimées sur le serveur, toutes les catégories étaient également supprimées sur le client et il était impossible d'ajouter des configurations dans l'IHM. Désormais la catégorie par défaut (0 – Non classé) est conservée.</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7777777" w:rsidR="0026596F" w:rsidRPr="00737F7B" w:rsidRDefault="0026596F" w:rsidP="0026596F">
      <w:pPr>
        <w:pStyle w:val="EVO-BUG"/>
      </w:pPr>
      <w:r w:rsidRPr="00737F7B">
        <w:t>[ISSUE#</w:t>
      </w:r>
      <w:r w:rsidR="00A707E1" w:rsidRPr="00737F7B">
        <w:t>390</w:t>
      </w:r>
      <w:r w:rsidRPr="00737F7B">
        <w:t>]</w:t>
      </w:r>
      <w:r w:rsidR="00A707E1" w:rsidRPr="00737F7B">
        <w:t xml:space="preserve"> : </w:t>
      </w:r>
      <w:r w:rsidR="00737F7B">
        <w:t xml:space="preserve">La notion de groupe a évolué dans cette version. </w:t>
      </w:r>
      <w:r w:rsidR="00155499">
        <w:t>Une nouvelle plage de groupes est définie</w:t>
      </w:r>
      <w:r w:rsidR="00EF1014">
        <w:t xml:space="preserve"> : </w:t>
      </w:r>
      <w:r w:rsidR="00155499">
        <w:t>40 à 59</w:t>
      </w:r>
      <w:r w:rsidR="00EF1014">
        <w:t xml:space="preserve"> (le fonctionnement des plages 0-19 et 20-39 est inchangé)</w:t>
      </w:r>
      <w:r w:rsidR="00155499">
        <w:t xml:space="preserve">. </w:t>
      </w:r>
      <w:r w:rsidR="002A7459">
        <w:t>L’identifiant et le mot de passe de ces configurations sont systématiquement synchronisés, de telle manière que toutes les configurations du groupe auront toujours le même identifiant et mot de passe. Cela s’applique également l</w:t>
      </w:r>
      <w:r w:rsidR="00C3429D" w:rsidRPr="00737F7B">
        <w:rPr>
          <w:rFonts w:ascii="Segoe UI" w:hAnsi="Segoe UI" w:cs="Segoe UI"/>
          <w:color w:val="24292E"/>
          <w:sz w:val="21"/>
          <w:szCs w:val="21"/>
          <w:shd w:val="clear" w:color="auto" w:fill="FFFFFF"/>
        </w:rPr>
        <w:t>orsqu'une application est ajoutée au groupe</w:t>
      </w:r>
      <w:r w:rsidR="002A7459">
        <w:rPr>
          <w:rFonts w:ascii="Segoe UI" w:hAnsi="Segoe UI" w:cs="Segoe UI"/>
          <w:color w:val="24292E"/>
          <w:sz w:val="21"/>
          <w:szCs w:val="21"/>
          <w:shd w:val="clear" w:color="auto" w:fill="FFFFFF"/>
        </w:rPr>
        <w:t xml:space="preserve"> : </w:t>
      </w:r>
      <w:r w:rsidR="00C3429D" w:rsidRPr="00737F7B">
        <w:rPr>
          <w:rFonts w:ascii="Segoe UI" w:hAnsi="Segoe UI" w:cs="Segoe UI"/>
          <w:color w:val="24292E"/>
          <w:sz w:val="21"/>
          <w:szCs w:val="21"/>
          <w:shd w:val="clear" w:color="auto" w:fill="FFFFFF"/>
        </w:rPr>
        <w:t>elle reçoit automatiquement l'identifiant et le mot de passe du groupe</w:t>
      </w:r>
      <w:r w:rsidR="002A7459">
        <w:rPr>
          <w:rFonts w:ascii="Segoe UI" w:hAnsi="Segoe UI" w:cs="Segoe UI"/>
          <w:color w:val="24292E"/>
          <w:sz w:val="21"/>
          <w:szCs w:val="21"/>
          <w:shd w:val="clear" w:color="auto" w:fill="FFFFFF"/>
        </w:rPr>
        <w:t>. Pour plus d’infos, se référer au guide d’administration, §2.4.</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77777777"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pourrait </w:t>
      </w:r>
      <w:r>
        <w:t>contourner</w:t>
      </w:r>
      <w:r w:rsidRPr="00FD2856">
        <w:t xml:space="preserve"> le problème</w:t>
      </w:r>
      <w:r>
        <w:t>.</w:t>
      </w:r>
    </w:p>
    <w:p w14:paraId="0EAAC175" w14:textId="77777777" w:rsidR="0099006A" w:rsidRDefault="00F31565" w:rsidP="00F31565">
      <w:pPr>
        <w:pStyle w:val="EVO-BUG"/>
      </w:pPr>
      <w:r>
        <w:t xml:space="preserve">[ISSUE#386] : Le SSO ne fonctionne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xml:space="preserve">. </w:t>
      </w:r>
    </w:p>
    <w:p w14:paraId="47CC603F" w14:textId="77777777" w:rsidR="0099006A" w:rsidRPr="0099006A" w:rsidRDefault="0099006A" w:rsidP="0099006A">
      <w:pPr>
        <w:pStyle w:val="EVO-BUG"/>
        <w:numPr>
          <w:ilvl w:val="0"/>
          <w:numId w:val="0"/>
        </w:numPr>
        <w:spacing w:before="60"/>
        <w:ind w:left="505"/>
      </w:pPr>
      <w:r w:rsidRPr="0099006A">
        <w:rPr>
          <w:u w:val="single"/>
        </w:rPr>
        <w:t>Statut :</w:t>
      </w:r>
      <w:r>
        <w:t xml:space="preserve"> l</w:t>
      </w:r>
      <w:r w:rsidR="00F31565">
        <w:t>a correction a été réalisée par Mozilla et devrait être disponible dans la version 67 (publication prévue le 14/05/2019).</w:t>
      </w:r>
    </w:p>
    <w:p w14:paraId="06953A51" w14:textId="77777777" w:rsidR="00F31565" w:rsidRDefault="00F31565" w:rsidP="0099006A">
      <w:pPr>
        <w:pStyle w:val="EVO-BUG"/>
        <w:numPr>
          <w:ilvl w:val="0"/>
          <w:numId w:val="0"/>
        </w:numPr>
        <w:spacing w:before="60"/>
        <w:ind w:left="505"/>
      </w:pPr>
      <w:r w:rsidRPr="0099006A">
        <w:rPr>
          <w:u w:val="single"/>
        </w:rPr>
        <w:t>Contournement :</w:t>
      </w:r>
      <w:r>
        <w:t xml:space="preserve"> aucun.</w:t>
      </w:r>
    </w:p>
    <w:p w14:paraId="25EAD858" w14:textId="77777777" w:rsidR="00F31565" w:rsidRDefault="00F31565" w:rsidP="00F31565">
      <w:pPr>
        <w:pStyle w:val="EVO-BUG"/>
      </w:pPr>
      <w:r>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DC78B69" w14:textId="77777777" w:rsidR="0099006A" w:rsidRDefault="0099006A" w:rsidP="0099006A">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101894AC" w14:textId="77777777" w:rsidR="00B71767" w:rsidRDefault="00B71767">
      <w:pPr>
        <w:rPr>
          <w:rFonts w:ascii="Verdana" w:hAnsi="Verdana"/>
          <w:b/>
          <w:bCs/>
          <w:sz w:val="20"/>
          <w:szCs w:val="20"/>
          <w:u w:val="single"/>
        </w:rPr>
      </w:pPr>
      <w:r>
        <w:rPr>
          <w:rFonts w:ascii="Verdana" w:hAnsi="Verdana"/>
          <w:b/>
          <w:bCs/>
          <w:sz w:val="20"/>
          <w:szCs w:val="20"/>
          <w:u w:val="single"/>
        </w:rPr>
        <w:br w:type="page"/>
      </w:r>
    </w:p>
    <w:p w14:paraId="1A0C495A" w14:textId="77777777" w:rsidR="00360410" w:rsidRPr="00A20E1F" w:rsidRDefault="00360410" w:rsidP="00360410">
      <w:pPr>
        <w:rPr>
          <w:rFonts w:ascii="Verdana" w:hAnsi="Verdana"/>
          <w:b/>
          <w:bCs/>
          <w:sz w:val="20"/>
          <w:szCs w:val="20"/>
          <w:u w:val="single"/>
        </w:rPr>
      </w:pPr>
      <w:r>
        <w:rPr>
          <w:rFonts w:ascii="Verdana" w:hAnsi="Verdana"/>
          <w:b/>
          <w:bCs/>
          <w:sz w:val="20"/>
          <w:szCs w:val="20"/>
          <w:u w:val="single"/>
        </w:rPr>
        <w:lastRenderedPageBreak/>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97081F">
      <w:pPr>
        <w:pStyle w:val="EVO-BUG"/>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97081F">
      <w:pPr>
        <w:pStyle w:val="EVO-BUG"/>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77777777" w:rsidR="004417BB" w:rsidRPr="001315CB" w:rsidRDefault="001315C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7732EB2E"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Installatio</w:t>
            </w:r>
            <w:r>
              <w:rPr>
                <w:color w:val="404040" w:themeColor="text1" w:themeTint="BF"/>
                <w:sz w:val="18"/>
              </w:rPr>
              <w:t>n optionnelle : contournement ISSUE#354</w:t>
            </w: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w:t>
            </w:r>
            <w:r>
              <w:rPr>
                <w:color w:val="404040" w:themeColor="text1" w:themeTint="BF"/>
                <w:sz w:val="18"/>
              </w:rPr>
              <w:t>nstallation recommandée : correction ISSUE#391</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1C73E" w14:textId="77777777" w:rsidR="004204F1" w:rsidRDefault="004204F1">
      <w:r>
        <w:separator/>
      </w:r>
    </w:p>
  </w:endnote>
  <w:endnote w:type="continuationSeparator" w:id="0">
    <w:p w14:paraId="768896EE" w14:textId="77777777" w:rsidR="004204F1" w:rsidRDefault="0042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77777777" w:rsidR="001A6DCD" w:rsidRDefault="0012106B">
    <w:pPr>
      <w:pStyle w:val="Pieddepage"/>
      <w:pBdr>
        <w:top w:val="single" w:sz="4" w:space="1" w:color="000000"/>
      </w:pBdr>
      <w:tabs>
        <w:tab w:val="clear" w:pos="4536"/>
        <w:tab w:val="clear" w:pos="9072"/>
        <w:tab w:val="right" w:pos="10260"/>
      </w:tabs>
    </w:pPr>
    <w:proofErr w:type="gramStart"/>
    <w:r>
      <w:rPr>
        <w:rFonts w:ascii="Verdana" w:hAnsi="Verdana"/>
        <w:sz w:val="16"/>
        <w:szCs w:val="16"/>
      </w:rPr>
      <w:t>swSSO</w:t>
    </w:r>
    <w:proofErr w:type="gramEnd"/>
    <w:r>
      <w:rPr>
        <w:rFonts w:ascii="Verdana" w:hAnsi="Verdana"/>
        <w:sz w:val="16"/>
        <w:szCs w:val="16"/>
      </w:rPr>
      <w:t xml:space="preserve"> v1.2</w:t>
    </w:r>
    <w:r w:rsidR="004417BB">
      <w:rPr>
        <w:rFonts w:ascii="Verdana" w:hAnsi="Verdana"/>
        <w:sz w:val="16"/>
        <w:szCs w:val="16"/>
      </w:rPr>
      <w:t>2</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26BEF" w14:textId="77777777" w:rsidR="004204F1" w:rsidRDefault="004204F1">
      <w:r>
        <w:rPr>
          <w:color w:val="000000"/>
        </w:rPr>
        <w:separator/>
      </w:r>
    </w:p>
  </w:footnote>
  <w:footnote w:type="continuationSeparator" w:id="0">
    <w:p w14:paraId="1B9FDDA0" w14:textId="77777777" w:rsidR="004204F1" w:rsidRDefault="00420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5499"/>
    <w:rsid w:val="0018619D"/>
    <w:rsid w:val="001A6DCD"/>
    <w:rsid w:val="001D0AAA"/>
    <w:rsid w:val="002003D3"/>
    <w:rsid w:val="00233876"/>
    <w:rsid w:val="002562DE"/>
    <w:rsid w:val="0026596F"/>
    <w:rsid w:val="00267242"/>
    <w:rsid w:val="002768F7"/>
    <w:rsid w:val="00281C27"/>
    <w:rsid w:val="002A7459"/>
    <w:rsid w:val="002D6693"/>
    <w:rsid w:val="002F6E02"/>
    <w:rsid w:val="0030496B"/>
    <w:rsid w:val="00341FE3"/>
    <w:rsid w:val="00360410"/>
    <w:rsid w:val="00367912"/>
    <w:rsid w:val="00377094"/>
    <w:rsid w:val="004204F1"/>
    <w:rsid w:val="00426A80"/>
    <w:rsid w:val="00433A4B"/>
    <w:rsid w:val="004417BB"/>
    <w:rsid w:val="00446E36"/>
    <w:rsid w:val="004541D5"/>
    <w:rsid w:val="00476461"/>
    <w:rsid w:val="004832F1"/>
    <w:rsid w:val="004850C4"/>
    <w:rsid w:val="004941A4"/>
    <w:rsid w:val="004F450B"/>
    <w:rsid w:val="00503D9C"/>
    <w:rsid w:val="005438DB"/>
    <w:rsid w:val="00550CDC"/>
    <w:rsid w:val="00576FFA"/>
    <w:rsid w:val="0059344F"/>
    <w:rsid w:val="005E3D0C"/>
    <w:rsid w:val="005F416B"/>
    <w:rsid w:val="005F556D"/>
    <w:rsid w:val="00667948"/>
    <w:rsid w:val="006C4759"/>
    <w:rsid w:val="006D278D"/>
    <w:rsid w:val="006E1803"/>
    <w:rsid w:val="006F49FF"/>
    <w:rsid w:val="00737F7B"/>
    <w:rsid w:val="00745BC5"/>
    <w:rsid w:val="00777B86"/>
    <w:rsid w:val="007B1F87"/>
    <w:rsid w:val="007C1ECD"/>
    <w:rsid w:val="007D0712"/>
    <w:rsid w:val="007F2EB9"/>
    <w:rsid w:val="007F758D"/>
    <w:rsid w:val="00807DD2"/>
    <w:rsid w:val="008108E3"/>
    <w:rsid w:val="008A2378"/>
    <w:rsid w:val="008A2E8F"/>
    <w:rsid w:val="008C207C"/>
    <w:rsid w:val="008D5682"/>
    <w:rsid w:val="008F3D81"/>
    <w:rsid w:val="0093700E"/>
    <w:rsid w:val="00962F1A"/>
    <w:rsid w:val="0097081F"/>
    <w:rsid w:val="00976E73"/>
    <w:rsid w:val="00982C58"/>
    <w:rsid w:val="0099006A"/>
    <w:rsid w:val="0099798B"/>
    <w:rsid w:val="009B7665"/>
    <w:rsid w:val="009F1C9D"/>
    <w:rsid w:val="00A0567A"/>
    <w:rsid w:val="00A20E1F"/>
    <w:rsid w:val="00A30C06"/>
    <w:rsid w:val="00A4297B"/>
    <w:rsid w:val="00A707E1"/>
    <w:rsid w:val="00A737B8"/>
    <w:rsid w:val="00A73FBC"/>
    <w:rsid w:val="00AC5CD2"/>
    <w:rsid w:val="00B206A6"/>
    <w:rsid w:val="00B65AE6"/>
    <w:rsid w:val="00B71767"/>
    <w:rsid w:val="00B77E7A"/>
    <w:rsid w:val="00BA4A28"/>
    <w:rsid w:val="00BB1242"/>
    <w:rsid w:val="00BB1867"/>
    <w:rsid w:val="00BE295B"/>
    <w:rsid w:val="00BF5453"/>
    <w:rsid w:val="00C27385"/>
    <w:rsid w:val="00C327A8"/>
    <w:rsid w:val="00C3429D"/>
    <w:rsid w:val="00C57310"/>
    <w:rsid w:val="00C625BD"/>
    <w:rsid w:val="00C7658A"/>
    <w:rsid w:val="00C95EBB"/>
    <w:rsid w:val="00CF02FB"/>
    <w:rsid w:val="00CF66B9"/>
    <w:rsid w:val="00D11522"/>
    <w:rsid w:val="00DC7503"/>
    <w:rsid w:val="00DD405A"/>
    <w:rsid w:val="00DE76E1"/>
    <w:rsid w:val="00E050C8"/>
    <w:rsid w:val="00E77E2B"/>
    <w:rsid w:val="00E90C25"/>
    <w:rsid w:val="00EA3CC9"/>
    <w:rsid w:val="00ED64B0"/>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BD3E-EAF1-4216-864E-FCAA89F8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590</Words>
  <Characters>3248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83</cp:revision>
  <cp:lastPrinted>2019-03-18T11:56:00Z</cp:lastPrinted>
  <dcterms:created xsi:type="dcterms:W3CDTF">2017-11-02T18:01:00Z</dcterms:created>
  <dcterms:modified xsi:type="dcterms:W3CDTF">2019-03-18T11:56:00Z</dcterms:modified>
</cp:coreProperties>
</file>