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Inference Platform V1</w:t>
      </w:r>
    </w:p>
    <w:p>
      <w:pPr>
        <w:jc w:val="center"/>
      </w:pPr>
      <w:r>
        <w:rPr>
          <w:i/>
          <w:sz w:val="24"/>
        </w:rPr>
        <w:t>RunPod L4 24 GB + Qwen3-4B + vLLM POC Implementation Guide</w:t>
      </w:r>
    </w:p>
    <w:p>
      <w:pPr>
        <w:jc w:val="center"/>
      </w:pPr>
      <w:r>
        <w:rPr>
          <w:sz w:val="18"/>
        </w:rPr>
        <w:t>Cursor-oriented implementation specification | 29 August 2026</w:t>
      </w:r>
    </w:p>
    <w:p>
      <w:r>
        <w:rPr>
          <w:b/>
        </w:rPr>
        <w:t>POC principle: prove the complete inference path on one NVIDIA L4 before building the full control plane. Start with raw Qwen3-4B inference under vLLM, establish memory/latency baselines, and then layer the V1 FastAPI gateway, authentication, usage metering, limits, LoRA routing, and observability on top.</w:t>
      </w:r>
    </w:p>
    <w:p>
      <w:pPr>
        <w:pStyle w:val="Heading1"/>
      </w:pPr>
      <w:r>
        <w:t>1. Objective</w:t>
      </w:r>
    </w:p>
    <w:p>
      <w:r>
        <w:t>Build the first working POC of the V1 inference platform on a single RunPod NVIDIA L4 24 GB GPU. The POC should prove that Qwen3-4B can be served reliably through vLLM using an OpenAI-compatible API, stream responses, expose baseline runtime metrics, and provide a clean foundation for the V1 control plane.</w:t>
      </w:r>
    </w:p>
    <w:p>
      <w:pPr>
        <w:pStyle w:val="ListBullet"/>
      </w:pPr>
      <w:r>
        <w:t>Base model: Qwen/Qwen3-4B.</w:t>
      </w:r>
    </w:p>
    <w:p>
      <w:pPr>
        <w:pStyle w:val="ListBullet"/>
      </w:pPr>
      <w:r>
        <w:t>Inference runtime: vLLM.</w:t>
      </w:r>
    </w:p>
    <w:p>
      <w:pPr>
        <w:pStyle w:val="ListBullet"/>
      </w:pPr>
      <w:r>
        <w:t>GPU: one NVIDIA L4 with 24 GB VRAM.</w:t>
      </w:r>
    </w:p>
    <w:p>
      <w:pPr>
        <w:pStyle w:val="ListBullet"/>
      </w:pPr>
      <w:r>
        <w:t>Cloud: RunPod Pod.</w:t>
      </w:r>
    </w:p>
    <w:p>
      <w:pPr>
        <w:pStyle w:val="ListBullet"/>
      </w:pPr>
      <w:r>
        <w:t>Initial model dtype: BF16.</w:t>
      </w:r>
    </w:p>
    <w:p>
      <w:pPr>
        <w:pStyle w:val="ListBullet"/>
      </w:pPr>
      <w:r>
        <w:t>Initial context: 4K for baseline; move to 8K only after validation.</w:t>
      </w:r>
    </w:p>
    <w:p>
      <w:pPr>
        <w:pStyle w:val="ListBullet"/>
      </w:pPr>
      <w:r>
        <w:t>Implementation environment: Cursor + Python.</w:t>
      </w:r>
    </w:p>
    <w:p>
      <w:pPr>
        <w:pStyle w:val="ListBullet"/>
      </w:pPr>
      <w:r>
        <w:t>Control-plane framework: FastAPI.</w:t>
      </w:r>
    </w:p>
    <w:p>
      <w:pPr>
        <w:pStyle w:val="ListBullet"/>
      </w:pPr>
      <w:r>
        <w:t>V1 philosophy: one GPU, one base model, many users, many LoRAs.</w:t>
      </w:r>
    </w:p>
    <w:p>
      <w:pPr>
        <w:pStyle w:val="Heading1"/>
      </w:pPr>
      <w:r>
        <w:t>2. Budget and POC Cost Envelope</w:t>
      </w:r>
    </w:p>
    <w:p>
      <w:r>
        <w:t>At the configuration shown during provisioning, the L4 GPU is approximately $0.49/hour and the displayed total is about $0.50/hour after storage charges. A $10 credit balance therefore provides roughly 20 hours of active Pod runtime at that displayed rate. GPU compute is consumed while the Pod is running, regardless of whether an SSH session is connected. Stopping the Pod stops GPU compute consumption; retained persistent/network storage can continue to incur its own storage charge.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7"/>
              </w:rPr>
              <w:t>Activity</w:t>
            </w:r>
          </w:p>
        </w:tc>
        <w:tc>
          <w:tcPr>
            <w:tcW w:type="dxa" w:w="3389"/>
            <w:vAlign w:val="center"/>
          </w:tcPr>
          <w:p>
            <w:r>
              <w:rPr>
                <w:b/>
                <w:sz w:val="17"/>
              </w:rPr>
              <w:t>Suggested GPU Time</w:t>
            </w:r>
          </w:p>
        </w:tc>
        <w:tc>
          <w:tcPr>
            <w:tcW w:type="dxa" w:w="3389"/>
            <w:vAlign w:val="center"/>
          </w:tcPr>
          <w:p>
            <w:r>
              <w:rPr>
                <w:b/>
                <w:sz w:val="17"/>
              </w:rPr>
              <w:t>Approx. Purpose</w:t>
            </w:r>
          </w:p>
        </w:tc>
      </w:tr>
      <w:tr>
        <w:tc>
          <w:tcPr>
            <w:tcW w:type="dxa" w:w="3389"/>
            <w:vAlign w:val="center"/>
          </w:tcPr>
          <w:p>
            <w:r>
              <w:rPr>
                <w:sz w:val="16"/>
              </w:rPr>
              <w:t>Environment + vLLM setup</w:t>
            </w:r>
          </w:p>
        </w:tc>
        <w:tc>
          <w:tcPr>
            <w:tcW w:type="dxa" w:w="3389"/>
            <w:vAlign w:val="center"/>
          </w:tcPr>
          <w:p>
            <w:r>
              <w:rPr>
                <w:sz w:val="16"/>
              </w:rPr>
              <w:t>2-3 h</w:t>
            </w:r>
          </w:p>
        </w:tc>
        <w:tc>
          <w:tcPr>
            <w:tcW w:type="dxa" w:w="3389"/>
            <w:vAlign w:val="center"/>
          </w:tcPr>
          <w:p>
            <w:r>
              <w:rPr>
                <w:sz w:val="16"/>
              </w:rPr>
              <w:t>CUDA validation, Python environment, vLLM installation, first model load</w:t>
            </w:r>
          </w:p>
        </w:tc>
      </w:tr>
      <w:tr>
        <w:tc>
          <w:tcPr>
            <w:tcW w:type="dxa" w:w="3389"/>
            <w:vAlign w:val="center"/>
          </w:tcPr>
          <w:p>
            <w:r>
              <w:rPr>
                <w:sz w:val="16"/>
              </w:rPr>
              <w:t>Baseline inference + benchmarking</w:t>
            </w:r>
          </w:p>
        </w:tc>
        <w:tc>
          <w:tcPr>
            <w:tcW w:type="dxa" w:w="3389"/>
            <w:vAlign w:val="center"/>
          </w:tcPr>
          <w:p>
            <w:r>
              <w:rPr>
                <w:sz w:val="16"/>
              </w:rPr>
              <w:t>2 h</w:t>
            </w:r>
          </w:p>
        </w:tc>
        <w:tc>
          <w:tcPr>
            <w:tcW w:type="dxa" w:w="3389"/>
            <w:vAlign w:val="center"/>
          </w:tcPr>
          <w:p>
            <w:r>
              <w:rPr>
                <w:sz w:val="16"/>
              </w:rPr>
              <w:t>VRAM, TTFT, latency, tokens/sec, 4K context baseline</w:t>
            </w:r>
          </w:p>
        </w:tc>
      </w:tr>
      <w:tr>
        <w:tc>
          <w:tcPr>
            <w:tcW w:type="dxa" w:w="3389"/>
            <w:vAlign w:val="center"/>
          </w:tcPr>
          <w:p>
            <w:r>
              <w:rPr>
                <w:sz w:val="16"/>
              </w:rPr>
              <w:t>FastAPI gateway</w:t>
            </w:r>
          </w:p>
        </w:tc>
        <w:tc>
          <w:tcPr>
            <w:tcW w:type="dxa" w:w="3389"/>
            <w:vAlign w:val="center"/>
          </w:tcPr>
          <w:p>
            <w:r>
              <w:rPr>
                <w:sz w:val="16"/>
              </w:rPr>
              <w:t>2-3 h</w:t>
            </w:r>
          </w:p>
        </w:tc>
        <w:tc>
          <w:tcPr>
            <w:tcW w:type="dxa" w:w="3389"/>
            <w:vAlign w:val="center"/>
          </w:tcPr>
          <w:p>
            <w:r>
              <w:rPr>
                <w:sz w:val="16"/>
              </w:rPr>
              <w:t>Proxy streaming, OpenAI-compatible request flow</w:t>
            </w:r>
          </w:p>
        </w:tc>
      </w:tr>
      <w:tr>
        <w:tc>
          <w:tcPr>
            <w:tcW w:type="dxa" w:w="3389"/>
            <w:vAlign w:val="center"/>
          </w:tcPr>
          <w:p>
            <w:r>
              <w:rPr>
                <w:sz w:val="16"/>
              </w:rPr>
              <w:t>Identity + usage basics</w:t>
            </w:r>
          </w:p>
        </w:tc>
        <w:tc>
          <w:tcPr>
            <w:tcW w:type="dxa" w:w="3389"/>
            <w:vAlign w:val="center"/>
          </w:tcPr>
          <w:p>
            <w:r>
              <w:rPr>
                <w:sz w:val="16"/>
              </w:rPr>
              <w:t>1-2 h</w:t>
            </w:r>
          </w:p>
        </w:tc>
        <w:tc>
          <w:tcPr>
            <w:tcW w:type="dxa" w:w="3389"/>
            <w:vAlign w:val="center"/>
          </w:tcPr>
          <w:p>
            <w:r>
              <w:rPr>
                <w:sz w:val="16"/>
              </w:rPr>
              <w:t>API key validation, request records, basic metrics</w:t>
            </w:r>
          </w:p>
        </w:tc>
      </w:tr>
      <w:tr>
        <w:tc>
          <w:tcPr>
            <w:tcW w:type="dxa" w:w="3389"/>
            <w:vAlign w:val="center"/>
          </w:tcPr>
          <w:p>
            <w:r>
              <w:rPr>
                <w:sz w:val="16"/>
              </w:rPr>
              <w:t>Debug/LoRA headroom</w:t>
            </w:r>
          </w:p>
        </w:tc>
        <w:tc>
          <w:tcPr>
            <w:tcW w:type="dxa" w:w="3389"/>
            <w:vAlign w:val="center"/>
          </w:tcPr>
          <w:p>
            <w:r>
              <w:rPr>
                <w:sz w:val="16"/>
              </w:rPr>
              <w:t>Remaining credits</w:t>
            </w:r>
          </w:p>
        </w:tc>
        <w:tc>
          <w:tcPr>
            <w:tcW w:type="dxa" w:w="3389"/>
            <w:vAlign w:val="center"/>
          </w:tcPr>
          <w:p>
            <w:r>
              <w:rPr>
                <w:sz w:val="16"/>
              </w:rPr>
              <w:t>Troubleshooting and adapter experiments</w:t>
            </w:r>
          </w:p>
        </w:tc>
      </w:tr>
    </w:tbl>
    <w:p>
      <w:r>
        <w:t>Important: SSH disconnect does not stop billing. Treat the Pod lifecycle and the SSH session as separate: RUNNING Pod = GPU compute billing; STOPPED Pod = no active GPU compute billing; retained persistent/network storage may still be billed. At the end of each development session, explicitly stop the Pod unless the inference server needs to remain available.</w:t>
      </w:r>
    </w:p>
    <w:p>
      <w:pPr>
        <w:pStyle w:val="Heading1"/>
      </w:pPr>
      <w:r>
        <w:t>3. Recommended RunPod Configuration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7"/>
              </w:rPr>
              <w:t>Setting</w:t>
            </w:r>
          </w:p>
        </w:tc>
        <w:tc>
          <w:tcPr>
            <w:tcW w:type="dxa" w:w="3389"/>
            <w:vAlign w:val="center"/>
          </w:tcPr>
          <w:p>
            <w:r>
              <w:rPr>
                <w:b/>
                <w:sz w:val="17"/>
              </w:rPr>
              <w:t>Recommended POC Value</w:t>
            </w:r>
          </w:p>
        </w:tc>
        <w:tc>
          <w:tcPr>
            <w:tcW w:type="dxa" w:w="3389"/>
            <w:vAlign w:val="center"/>
          </w:tcPr>
          <w:p>
            <w:r>
              <w:rPr>
                <w:b/>
                <w:sz w:val="17"/>
              </w:rPr>
              <w:t>Reason</w:t>
            </w:r>
          </w:p>
        </w:tc>
      </w:tr>
      <w:tr>
        <w:tc>
          <w:tcPr>
            <w:tcW w:type="dxa" w:w="3389"/>
            <w:vAlign w:val="center"/>
          </w:tcPr>
          <w:p>
            <w:r>
              <w:rPr>
                <w:sz w:val="16"/>
              </w:rPr>
              <w:t>GPU</w:t>
            </w:r>
          </w:p>
        </w:tc>
        <w:tc>
          <w:tcPr>
            <w:tcW w:type="dxa" w:w="3389"/>
            <w:vAlign w:val="center"/>
          </w:tcPr>
          <w:p>
            <w:r>
              <w:rPr>
                <w:sz w:val="16"/>
              </w:rPr>
              <w:t>NVIDIA L4 24 GB</w:t>
            </w:r>
          </w:p>
        </w:tc>
        <w:tc>
          <w:tcPr>
            <w:tcW w:type="dxa" w:w="3389"/>
            <w:vAlign w:val="center"/>
          </w:tcPr>
          <w:p>
            <w:r>
              <w:rPr>
                <w:sz w:val="16"/>
              </w:rPr>
              <w:t>Enough VRAM for Qwen3-4B BF16 plus runtime and KV cache</w:t>
            </w:r>
          </w:p>
        </w:tc>
      </w:tr>
      <w:tr>
        <w:tc>
          <w:tcPr>
            <w:tcW w:type="dxa" w:w="3389"/>
            <w:vAlign w:val="center"/>
          </w:tcPr>
          <w:p>
            <w:r>
              <w:rPr>
                <w:sz w:val="16"/>
              </w:rPr>
              <w:t>GPU count</w:t>
            </w:r>
          </w:p>
        </w:tc>
        <w:tc>
          <w:tcPr>
            <w:tcW w:type="dxa" w:w="3389"/>
            <w:vAlign w:val="center"/>
          </w:tcPr>
          <w:p>
            <w:r>
              <w:rPr>
                <w:sz w:val="16"/>
              </w:rPr>
              <w:t>1</w:t>
            </w:r>
          </w:p>
        </w:tc>
        <w:tc>
          <w:tcPr>
            <w:tcW w:type="dxa" w:w="3389"/>
            <w:vAlign w:val="center"/>
          </w:tcPr>
          <w:p>
            <w:r>
              <w:rPr>
                <w:sz w:val="16"/>
              </w:rPr>
              <w:t>V1 explicitly avoids multi-GPU complexity</w:t>
            </w:r>
          </w:p>
        </w:tc>
      </w:tr>
      <w:tr>
        <w:tc>
          <w:tcPr>
            <w:tcW w:type="dxa" w:w="3389"/>
            <w:vAlign w:val="center"/>
          </w:tcPr>
          <w:p>
            <w:r>
              <w:rPr>
                <w:sz w:val="16"/>
              </w:rPr>
              <w:t>Instance type</w:t>
            </w:r>
          </w:p>
        </w:tc>
        <w:tc>
          <w:tcPr>
            <w:tcW w:type="dxa" w:w="3389"/>
            <w:vAlign w:val="center"/>
          </w:tcPr>
          <w:p>
            <w:r>
              <w:rPr>
                <w:sz w:val="16"/>
              </w:rPr>
              <w:t>On-Demand</w:t>
            </w:r>
          </w:p>
        </w:tc>
        <w:tc>
          <w:tcPr>
            <w:tcW w:type="dxa" w:w="3389"/>
            <w:vAlign w:val="center"/>
          </w:tcPr>
          <w:p>
            <w:r>
              <w:rPr>
                <w:sz w:val="16"/>
              </w:rPr>
              <w:t>Simple POC economics and no commitment</w:t>
            </w:r>
          </w:p>
        </w:tc>
      </w:tr>
      <w:tr>
        <w:tc>
          <w:tcPr>
            <w:tcW w:type="dxa" w:w="3389"/>
            <w:vAlign w:val="center"/>
          </w:tcPr>
          <w:p>
            <w:r>
              <w:rPr>
                <w:sz w:val="16"/>
              </w:rPr>
              <w:t>System RAM</w:t>
            </w:r>
          </w:p>
        </w:tc>
        <w:tc>
          <w:tcPr>
            <w:tcW w:type="dxa" w:w="3389"/>
            <w:vAlign w:val="center"/>
          </w:tcPr>
          <w:p>
            <w:r>
              <w:rPr>
                <w:sz w:val="16"/>
              </w:rPr>
              <w:t>~62 GB</w:t>
            </w:r>
          </w:p>
        </w:tc>
        <w:tc>
          <w:tcPr>
            <w:tcW w:type="dxa" w:w="3389"/>
            <w:vAlign w:val="center"/>
          </w:tcPr>
          <w:p>
            <w:r>
              <w:rPr>
                <w:sz w:val="16"/>
              </w:rPr>
              <w:t>More than sufficient for runtime, downloads, and adapter cache experiments</w:t>
            </w:r>
          </w:p>
        </w:tc>
      </w:tr>
      <w:tr>
        <w:tc>
          <w:tcPr>
            <w:tcW w:type="dxa" w:w="3389"/>
            <w:vAlign w:val="center"/>
          </w:tcPr>
          <w:p>
            <w:r>
              <w:rPr>
                <w:sz w:val="16"/>
              </w:rPr>
              <w:t>vCPU</w:t>
            </w:r>
          </w:p>
        </w:tc>
        <w:tc>
          <w:tcPr>
            <w:tcW w:type="dxa" w:w="3389"/>
            <w:vAlign w:val="center"/>
          </w:tcPr>
          <w:p>
            <w:r>
              <w:rPr>
                <w:sz w:val="16"/>
              </w:rPr>
              <w:t>~16</w:t>
            </w:r>
          </w:p>
        </w:tc>
        <w:tc>
          <w:tcPr>
            <w:tcW w:type="dxa" w:w="3389"/>
            <w:vAlign w:val="center"/>
          </w:tcPr>
          <w:p>
            <w:r>
              <w:rPr>
                <w:sz w:val="16"/>
              </w:rPr>
              <w:t>Comfortable for tokenizer, API gateway, and system tasks</w:t>
            </w:r>
          </w:p>
        </w:tc>
      </w:tr>
      <w:tr>
        <w:tc>
          <w:tcPr>
            <w:tcW w:type="dxa" w:w="3389"/>
            <w:vAlign w:val="center"/>
          </w:tcPr>
          <w:p>
            <w:r>
              <w:rPr>
                <w:sz w:val="16"/>
              </w:rPr>
              <w:t>Base image</w:t>
            </w:r>
          </w:p>
        </w:tc>
        <w:tc>
          <w:tcPr>
            <w:tcW w:type="dxa" w:w="3389"/>
            <w:vAlign w:val="center"/>
          </w:tcPr>
          <w:p>
            <w:r>
              <w:rPr>
                <w:sz w:val="16"/>
              </w:rPr>
              <w:t>RunPod PyTorch 2.8.x</w:t>
            </w:r>
          </w:p>
        </w:tc>
        <w:tc>
          <w:tcPr>
            <w:tcW w:type="dxa" w:w="3389"/>
            <w:vAlign w:val="center"/>
          </w:tcPr>
          <w:p>
            <w:r>
              <w:rPr>
                <w:sz w:val="16"/>
              </w:rPr>
              <w:t>Convenient CUDA/PyTorch starting point</w:t>
            </w:r>
          </w:p>
        </w:tc>
      </w:tr>
      <w:tr>
        <w:tc>
          <w:tcPr>
            <w:tcW w:type="dxa" w:w="3389"/>
            <w:vAlign w:val="center"/>
          </w:tcPr>
          <w:p>
            <w:r>
              <w:rPr>
                <w:sz w:val="16"/>
              </w:rPr>
              <w:t>Container disk</w:t>
            </w:r>
          </w:p>
        </w:tc>
        <w:tc>
          <w:tcPr>
            <w:tcW w:type="dxa" w:w="3389"/>
            <w:vAlign w:val="center"/>
          </w:tcPr>
          <w:p>
            <w:r>
              <w:rPr>
                <w:sz w:val="16"/>
              </w:rPr>
              <w:t>30 GB</w:t>
            </w:r>
          </w:p>
        </w:tc>
        <w:tc>
          <w:tcPr>
            <w:tcW w:type="dxa" w:w="3389"/>
            <w:vAlign w:val="center"/>
          </w:tcPr>
          <w:p>
            <w:r>
              <w:rPr>
                <w:sz w:val="16"/>
              </w:rPr>
              <w:t>Temporary OS/environment space</w:t>
            </w:r>
          </w:p>
        </w:tc>
      </w:tr>
      <w:tr>
        <w:tc>
          <w:tcPr>
            <w:tcW w:type="dxa" w:w="3389"/>
            <w:vAlign w:val="center"/>
          </w:tcPr>
          <w:p>
            <w:r>
              <w:rPr>
                <w:sz w:val="16"/>
              </w:rPr>
              <w:t>Persistent network volume</w:t>
            </w:r>
          </w:p>
        </w:tc>
        <w:tc>
          <w:tcPr>
            <w:tcW w:type="dxa" w:w="3389"/>
            <w:vAlign w:val="center"/>
          </w:tcPr>
          <w:p>
            <w:r>
              <w:rPr>
                <w:sz w:val="16"/>
              </w:rPr>
              <w:t>30-50 GB</w:t>
            </w:r>
          </w:p>
        </w:tc>
        <w:tc>
          <w:tcPr>
            <w:tcW w:type="dxa" w:w="3389"/>
            <w:vAlign w:val="center"/>
          </w:tcPr>
          <w:p>
            <w:r>
              <w:rPr>
                <w:sz w:val="16"/>
              </w:rPr>
              <w:t>Store model cache, repo, adapters, benchmark outputs</w:t>
            </w:r>
          </w:p>
        </w:tc>
      </w:tr>
      <w:tr>
        <w:tc>
          <w:tcPr>
            <w:tcW w:type="dxa" w:w="3389"/>
            <w:vAlign w:val="center"/>
          </w:tcPr>
          <w:p>
            <w:r>
              <w:rPr>
                <w:sz w:val="16"/>
              </w:rPr>
              <w:t>Model dtype</w:t>
            </w:r>
          </w:p>
        </w:tc>
        <w:tc>
          <w:tcPr>
            <w:tcW w:type="dxa" w:w="3389"/>
            <w:vAlign w:val="center"/>
          </w:tcPr>
          <w:p>
            <w:r>
              <w:rPr>
                <w:sz w:val="16"/>
              </w:rPr>
              <w:t>BF16</w:t>
            </w:r>
          </w:p>
        </w:tc>
        <w:tc>
          <w:tcPr>
            <w:tcW w:type="dxa" w:w="3389"/>
            <w:vAlign w:val="center"/>
          </w:tcPr>
          <w:p>
            <w:r>
              <w:rPr>
                <w:sz w:val="16"/>
              </w:rPr>
              <w:t>Clean quality baseline before quantization</w:t>
            </w:r>
          </w:p>
        </w:tc>
      </w:tr>
      <w:tr>
        <w:tc>
          <w:tcPr>
            <w:tcW w:type="dxa" w:w="3389"/>
            <w:vAlign w:val="center"/>
          </w:tcPr>
          <w:p>
            <w:r>
              <w:rPr>
                <w:sz w:val="16"/>
              </w:rPr>
              <w:t>Initial max model length</w:t>
            </w:r>
          </w:p>
        </w:tc>
        <w:tc>
          <w:tcPr>
            <w:tcW w:type="dxa" w:w="3389"/>
            <w:vAlign w:val="center"/>
          </w:tcPr>
          <w:p>
            <w:r>
              <w:rPr>
                <w:sz w:val="16"/>
              </w:rPr>
              <w:t>4096</w:t>
            </w:r>
          </w:p>
        </w:tc>
        <w:tc>
          <w:tcPr>
            <w:tcW w:type="dxa" w:w="3389"/>
            <w:vAlign w:val="center"/>
          </w:tcPr>
          <w:p>
            <w:r>
              <w:rPr>
                <w:sz w:val="16"/>
              </w:rPr>
              <w:t>Safer initial capacity baseline</w:t>
            </w:r>
          </w:p>
        </w:tc>
      </w:tr>
      <w:tr>
        <w:tc>
          <w:tcPr>
            <w:tcW w:type="dxa" w:w="3389"/>
            <w:vAlign w:val="center"/>
          </w:tcPr>
          <w:p>
            <w:r>
              <w:rPr>
                <w:sz w:val="16"/>
              </w:rPr>
              <w:t>Later V1 max model length</w:t>
            </w:r>
          </w:p>
        </w:tc>
        <w:tc>
          <w:tcPr>
            <w:tcW w:type="dxa" w:w="3389"/>
            <w:vAlign w:val="center"/>
          </w:tcPr>
          <w:p>
            <w:r>
              <w:rPr>
                <w:sz w:val="16"/>
              </w:rPr>
              <w:t>8192</w:t>
            </w:r>
          </w:p>
        </w:tc>
        <w:tc>
          <w:tcPr>
            <w:tcW w:type="dxa" w:w="3389"/>
            <w:vAlign w:val="center"/>
          </w:tcPr>
          <w:p>
            <w:r>
              <w:rPr>
                <w:sz w:val="16"/>
              </w:rPr>
              <w:t>Move only after stable 4K benchmarking</w:t>
            </w:r>
          </w:p>
        </w:tc>
      </w:tr>
      <w:tr>
        <w:tc>
          <w:tcPr>
            <w:tcW w:type="dxa" w:w="3389"/>
            <w:vAlign w:val="center"/>
          </w:tcPr>
          <w:p>
            <w:r>
              <w:rPr>
                <w:sz w:val="16"/>
              </w:rPr>
              <w:t>GPU memory utilization</w:t>
            </w:r>
          </w:p>
        </w:tc>
        <w:tc>
          <w:tcPr>
            <w:tcW w:type="dxa" w:w="3389"/>
            <w:vAlign w:val="center"/>
          </w:tcPr>
          <w:p>
            <w:r>
              <w:rPr>
                <w:sz w:val="16"/>
              </w:rPr>
              <w:t>0.85 initially</w:t>
            </w:r>
          </w:p>
        </w:tc>
        <w:tc>
          <w:tcPr>
            <w:tcW w:type="dxa" w:w="3389"/>
            <w:vAlign w:val="center"/>
          </w:tcPr>
          <w:p>
            <w:r>
              <w:rPr>
                <w:sz w:val="16"/>
              </w:rPr>
              <w:t>Operational headroom during first boot</w:t>
            </w:r>
          </w:p>
        </w:tc>
      </w:tr>
    </w:tbl>
    <w:p>
      <w:r>
        <w:rPr>
          <w:rFonts w:ascii="Courier New" w:hAnsi="Courier New"/>
          <w:sz w:val="16"/>
        </w:rPr>
        <w:t>nvidia-smi</w:t>
      </w:r>
      <w:r>
        <w:br/>
      </w:r>
      <w:r>
        <w:rPr>
          <w:rFonts w:ascii="Courier New" w:hAnsi="Courier New"/>
          <w:sz w:val="16"/>
        </w:rPr>
      </w:r>
      <w:r>
        <w:br/>
      </w:r>
      <w:r>
        <w:rPr>
          <w:rFonts w:ascii="Courier New" w:hAnsi="Courier New"/>
          <w:sz w:val="16"/>
        </w:rPr>
        <w:t>python --version</w:t>
      </w:r>
      <w:r>
        <w:br/>
      </w:r>
      <w:r>
        <w:rPr>
          <w:rFonts w:ascii="Courier New" w:hAnsi="Courier New"/>
          <w:sz w:val="16"/>
        </w:rPr>
      </w:r>
      <w:r>
        <w:br/>
      </w:r>
      <w:r>
        <w:rPr>
          <w:rFonts w:ascii="Courier New" w:hAnsi="Courier New"/>
          <w:sz w:val="16"/>
        </w:rPr>
        <w:t>python -c "import torch; print('PyTorch:', torch.__version__); print('CUDA:', torch.cuda.is_available()); print('GPU:', torch.cuda.get_device_name(0)); print('VRAM GB:', torch.cuda.get_device_properties(0).total_memory / 1024**3)"</w:t>
      </w:r>
      <w:r>
        <w:br/>
      </w:r>
      <w:r>
        <w:rPr>
          <w:rFonts w:ascii="Courier New" w:hAnsi="Courier New"/>
          <w:sz w:val="16"/>
        </w:rPr>
      </w:r>
      <w:r>
        <w:br/>
      </w:r>
      <w:r>
        <w:rPr>
          <w:rFonts w:ascii="Courier New" w:hAnsi="Courier New"/>
          <w:sz w:val="16"/>
        </w:rPr>
        <w:t>df -h</w:t>
      </w:r>
      <w:r>
        <w:br/>
      </w:r>
      <w:r>
        <w:rPr>
          <w:rFonts w:ascii="Courier New" w:hAnsi="Courier New"/>
          <w:sz w:val="16"/>
        </w:rPr>
        <w:t>ls -lah /workspace</w:t>
      </w:r>
    </w:p>
    <w:p>
      <w:pPr>
        <w:pStyle w:val="Heading2"/>
      </w:pPr>
      <w:r>
        <w:t>3.3 Immediate Validation Commands</w:t>
      </w:r>
    </w:p>
    <w:p>
      <w:pPr>
        <w:pStyle w:val="ListBullet"/>
      </w:pPr>
      <w:r>
        <w:t>Explicitly download Qwen/Qwen3-4B into /workspace/models/Qwen3-4B, verify the files and disk usage, then serve that local model path through vLLM.</w:t>
      </w:r>
    </w:p>
    <w:p>
      <w:pPr>
        <w:pStyle w:val="ListBullet"/>
      </w:pPr>
      <w:r>
        <w:t>Set HF_HOME=/workspace/huggingface-cache so Hugging Face cache data is kept on persistent storage.</w:t>
      </w:r>
    </w:p>
    <w:p>
      <w:pPr>
        <w:pStyle w:val="ListBullet"/>
      </w:pPr>
      <w:r>
        <w:t>Create /workspace/vllm-env, activate it, install vLLM, and record the exact working vLLM version.</w:t>
      </w:r>
    </w:p>
    <w:p>
      <w:pPr>
        <w:pStyle w:val="ListBullet"/>
      </w:pPr>
      <w:r>
        <w:t>Create the persistent project/cache/model/adapter/benchmark/log directories under /workspace.</w:t>
      </w:r>
    </w:p>
    <w:p>
      <w:pPr>
        <w:pStyle w:val="ListBullet"/>
      </w:pPr>
      <w:r>
        <w:t>Inspect df -h and /workspace before installing or downloading anything important.</w:t>
      </w:r>
    </w:p>
    <w:p>
      <w:pPr>
        <w:pStyle w:val="ListBullet"/>
      </w:pPr>
      <w:r>
        <w:t>Verify Python, PyTorch, CUDA availability, and the CUDA device name.</w:t>
      </w:r>
    </w:p>
    <w:p>
      <w:pPr>
        <w:pStyle w:val="ListBullet"/>
      </w:pPr>
      <w:r>
        <w:t>Run nvidia-smi and verify that the GPU is NVIDIA L4 with approximately 24 GB VRAM.</w:t>
      </w:r>
    </w:p>
    <w:p>
      <w:pPr>
        <w:pStyle w:val="ListBullet"/>
      </w:pPr>
      <w:r>
        <w:t>SSH into the running RunPod Pod using the already-configured SSH key.</w:t>
      </w:r>
    </w:p>
    <w:p>
      <w:pPr>
        <w:pStyle w:val="Heading2"/>
      </w:pPr>
      <w:r>
        <w:t>3.2 Resume-From-Here Checklist</w:t>
      </w:r>
    </w:p>
    <w:p>
      <w:r>
        <w:t>Current status: the RunPod L4 Pod has been provisioned successfully and SSH access from the development machine has been verified using an SSH key and passphrase. The next work starts with GPU/runtime validation; there is no need to repeat Pod provisioning.</w:t>
      </w:r>
    </w:p>
    <w:p>
      <w:pPr>
        <w:pStyle w:val="Heading2"/>
      </w:pPr>
      <w:r>
        <w:t>3.1 Current POC Status - RunPod Provisioning Complete</w:t>
      </w:r>
    </w:p>
    <w:p>
      <w:pPr>
        <w:pStyle w:val="Heading1"/>
      </w:pPr>
      <w:r>
        <w:t>4. Storage Layout</w:t>
      </w:r>
    </w:p>
    <w:p>
      <w:r>
        <w:t>Treat the GPU Pod as replaceable compute. Place all important artifacts under the persistent /workspace mount. Do not rely on temporary container storage for model caches, source code, adapters, or benchmark results.</w:t>
      </w:r>
    </w:p>
    <w:p>
      <w:pPr>
        <w:ind w:left="360" w:right="216"/>
      </w:pPr>
      <w:r>
        <w:rPr>
          <w:rFonts w:ascii="Courier New" w:hAnsi="Courier New"/>
          <w:sz w:val="16"/>
        </w:rPr>
        <w:t xml:space="preserve"> /workspace/</w:t>
      </w:r>
      <w:r>
        <w:br/>
      </w:r>
      <w:r>
        <w:rPr>
          <w:rFonts w:ascii="Courier New" w:hAnsi="Courier New"/>
          <w:sz w:val="16"/>
        </w:rPr>
        <w:t xml:space="preserve"> ├── inference-platform/</w:t>
      </w:r>
      <w:r>
        <w:br/>
      </w:r>
      <w:r>
        <w:rPr>
          <w:rFonts w:ascii="Courier New" w:hAnsi="Courier New"/>
          <w:sz w:val="16"/>
        </w:rPr>
        <w:t xml:space="preserve"> │   ├── apps/</w:t>
      </w:r>
      <w:r>
        <w:br/>
      </w:r>
      <w:r>
        <w:rPr>
          <w:rFonts w:ascii="Courier New" w:hAnsi="Courier New"/>
          <w:sz w:val="16"/>
        </w:rPr>
        <w:t xml:space="preserve"> │   ├── tests/</w:t>
      </w:r>
      <w:r>
        <w:br/>
      </w:r>
      <w:r>
        <w:rPr>
          <w:rFonts w:ascii="Courier New" w:hAnsi="Courier New"/>
          <w:sz w:val="16"/>
        </w:rPr>
        <w:t xml:space="preserve"> │   ├── scripts/</w:t>
      </w:r>
      <w:r>
        <w:br/>
      </w:r>
      <w:r>
        <w:rPr>
          <w:rFonts w:ascii="Courier New" w:hAnsi="Courier New"/>
          <w:sz w:val="16"/>
        </w:rPr>
        <w:t xml:space="preserve"> │   └── docs/</w:t>
      </w:r>
      <w:r>
        <w:br/>
      </w:r>
      <w:r>
        <w:rPr>
          <w:rFonts w:ascii="Courier New" w:hAnsi="Courier New"/>
          <w:sz w:val="16"/>
        </w:rPr>
        <w:t xml:space="preserve"> ├── huggingface-cache/</w:t>
      </w:r>
      <w:r>
        <w:br/>
      </w:r>
      <w:r>
        <w:rPr>
          <w:rFonts w:ascii="Courier New" w:hAnsi="Courier New"/>
          <w:sz w:val="16"/>
        </w:rPr>
        <w:t xml:space="preserve"> ├── models/</w:t>
      </w:r>
      <w:r>
        <w:br/>
      </w:r>
      <w:r>
        <w:rPr>
          <w:rFonts w:ascii="Courier New" w:hAnsi="Courier New"/>
          <w:sz w:val="16"/>
        </w:rPr>
        <w:t xml:space="preserve"> ├── adapters/</w:t>
      </w:r>
      <w:r>
        <w:br/>
      </w:r>
      <w:r>
        <w:rPr>
          <w:rFonts w:ascii="Courier New" w:hAnsi="Courier New"/>
          <w:sz w:val="16"/>
        </w:rPr>
        <w:t xml:space="preserve"> │   ├── test/</w:t>
      </w:r>
      <w:r>
        <w:br/>
      </w:r>
      <w:r>
        <w:rPr>
          <w:rFonts w:ascii="Courier New" w:hAnsi="Courier New"/>
          <w:sz w:val="16"/>
        </w:rPr>
        <w:t xml:space="preserve"> │   └── tenant-specific/</w:t>
      </w:r>
      <w:r>
        <w:br/>
      </w:r>
      <w:r>
        <w:rPr>
          <w:rFonts w:ascii="Courier New" w:hAnsi="Courier New"/>
          <w:sz w:val="16"/>
        </w:rPr>
        <w:t xml:space="preserve"> ├── benchmarks/</w:t>
      </w:r>
      <w:r>
        <w:br/>
      </w:r>
      <w:r>
        <w:rPr>
          <w:rFonts w:ascii="Courier New" w:hAnsi="Courier New"/>
          <w:sz w:val="16"/>
        </w:rPr>
        <w:t xml:space="preserve"> └── logs/</w:t>
      </w:r>
    </w:p>
    <w:p>
      <w:pPr>
        <w:pStyle w:val="Heading1"/>
      </w:pPr>
      <w:r>
        <w:t>5. Deployment Sequence</w:t>
      </w:r>
    </w:p>
    <w:p>
      <w:r>
        <w:t>Implement the POC in strict stages. Do not introduce the V1 control plane until raw model serving is proven.</w:t>
      </w:r>
    </w:p>
    <w:p>
      <w:pPr>
        <w:pStyle w:val="Heading2"/>
      </w:pPr>
      <w:r>
        <w:t>5.1 Stage A - Provision and Validate the GPU</w:t>
      </w:r>
    </w:p>
    <w:p>
      <w:pPr>
        <w:pStyle w:val="ListNumber"/>
      </w:pPr>
      <w:r>
        <w:t>Deploy one RunPod L4 24 GB Pod using the configuration above.</w:t>
      </w:r>
    </w:p>
    <w:p>
      <w:pPr>
        <w:pStyle w:val="ListNumber"/>
      </w:pPr>
      <w:r>
        <w:t>Open the RunPod terminal.</w:t>
      </w:r>
    </w:p>
    <w:p>
      <w:pPr>
        <w:pStyle w:val="ListNumber"/>
      </w:pPr>
      <w:r>
        <w:t>Verify GPU visibility:</w:t>
      </w:r>
    </w:p>
    <w:p>
      <w:pPr>
        <w:ind w:left="360" w:right="216"/>
      </w:pPr>
      <w:r>
        <w:rPr>
          <w:rFonts w:ascii="Courier New" w:hAnsi="Courier New"/>
          <w:sz w:val="16"/>
        </w:rPr>
        <w:t>nvidia-smi</w:t>
      </w:r>
    </w:p>
    <w:p>
      <w:r>
        <w:t>Expected: NVIDIA L4 with approximately 24 GB of VRAM.</w:t>
      </w:r>
    </w:p>
    <w:p>
      <w:pPr>
        <w:pStyle w:val="ListNumber"/>
      </w:pPr>
      <w:r>
        <w:t>Verify Python and CUDA-backed PyTorch:</w:t>
      </w:r>
    </w:p>
    <w:p>
      <w:pPr>
        <w:ind w:left="360" w:right="216"/>
      </w:pPr>
      <w:r>
        <w:rPr>
          <w:rFonts w:ascii="Courier New" w:hAnsi="Courier New"/>
          <w:sz w:val="16"/>
        </w:rPr>
        <w:t>python --version</w:t>
      </w:r>
      <w:r>
        <w:br/>
      </w:r>
      <w:r>
        <w:rPr>
          <w:rFonts w:ascii="Courier New" w:hAnsi="Courier New"/>
          <w:sz w:val="16"/>
        </w:rPr>
      </w:r>
      <w:r>
        <w:br/>
      </w:r>
      <w:r>
        <w:rPr>
          <w:rFonts w:ascii="Courier New" w:hAnsi="Courier New"/>
          <w:sz w:val="16"/>
        </w:rPr>
        <w:t>python -c "import torch; print(torch.__version__); print(torch.cuda.is_available()); print(torch.cuda.get_device_name(0))"</w:t>
      </w:r>
    </w:p>
    <w:p>
      <w:r>
        <w:t>Acceptance criteria: torch.cuda.is_available() returns True and the device name is NVIDIA L4.</w:t>
      </w:r>
    </w:p>
    <w:p>
      <w:pPr>
        <w:pStyle w:val="Heading2"/>
      </w:pPr>
      <w:r>
        <w:t>5.2 Stage B - Create the Python/vLLM Environment</w:t>
      </w:r>
    </w:p>
    <w:p>
      <w:pPr>
        <w:ind w:left="360" w:right="216"/>
      </w:pPr>
      <w:r>
        <w:rPr>
          <w:rFonts w:ascii="Courier New" w:hAnsi="Courier New"/>
          <w:sz w:val="16"/>
        </w:rPr>
        <w:t>cd /workspace</w:t>
      </w:r>
      <w:r>
        <w:br/>
      </w:r>
      <w:r>
        <w:rPr>
          <w:rFonts w:ascii="Courier New" w:hAnsi="Courier New"/>
          <w:sz w:val="16"/>
        </w:rPr>
      </w:r>
      <w:r>
        <w:br/>
      </w:r>
      <w:r>
        <w:rPr>
          <w:rFonts w:ascii="Courier New" w:hAnsi="Courier New"/>
          <w:sz w:val="16"/>
        </w:rPr>
        <w:t>python -m venv vllm-env</w:t>
      </w:r>
      <w:r>
        <w:br/>
      </w:r>
      <w:r>
        <w:rPr>
          <w:rFonts w:ascii="Courier New" w:hAnsi="Courier New"/>
          <w:sz w:val="16"/>
        </w:rPr>
        <w:t>source vllm-env/bin/activate</w:t>
      </w:r>
      <w:r>
        <w:br/>
      </w:r>
      <w:r>
        <w:rPr>
          <w:rFonts w:ascii="Courier New" w:hAnsi="Courier New"/>
          <w:sz w:val="16"/>
        </w:rPr>
      </w:r>
      <w:r>
        <w:br/>
      </w:r>
      <w:r>
        <w:rPr>
          <w:rFonts w:ascii="Courier New" w:hAnsi="Courier New"/>
          <w:sz w:val="16"/>
        </w:rPr>
        <w:t>pip install --upgrade pip</w:t>
      </w:r>
      <w:r>
        <w:br/>
      </w:r>
      <w:r>
        <w:rPr>
          <w:rFonts w:ascii="Courier New" w:hAnsi="Courier New"/>
          <w:sz w:val="16"/>
        </w:rPr>
        <w:t>pip install vllm</w:t>
      </w:r>
      <w:r>
        <w:br/>
      </w:r>
      <w:r>
        <w:rPr>
          <w:rFonts w:ascii="Courier New" w:hAnsi="Courier New"/>
          <w:sz w:val="16"/>
        </w:rPr>
      </w:r>
      <w:r>
        <w:br/>
      </w:r>
      <w:r>
        <w:rPr>
          <w:rFonts w:ascii="Courier New" w:hAnsi="Courier New"/>
          <w:sz w:val="16"/>
        </w:rPr>
        <w:t>vllm --version</w:t>
      </w:r>
    </w:p>
    <w:p>
      <w:r>
        <w:t>Pin the exact working vLLM version in the repository once the baseline succeeds. The runtime version becomes part of the deployment configuration because CLI flags and runtime behavior evolve over time.</w:t>
      </w:r>
    </w:p>
    <w:p>
      <w:pPr>
        <w:pStyle w:val="Heading2"/>
      </w:pPr>
      <w:r>
        <w:t>5.3 Stage C - Configure Persistent Hugging Face Cache</w:t>
      </w:r>
    </w:p>
    <w:p>
      <w:pPr>
        <w:ind w:left="360" w:right="216"/>
      </w:pPr>
      <w:r>
        <w:rPr>
          <w:rFonts w:ascii="Courier New" w:hAnsi="Courier New"/>
          <w:sz w:val="16"/>
        </w:rPr>
        <w:t>mkdir -p /workspace/huggingface-cache</w:t>
      </w:r>
      <w:r>
        <w:br/>
      </w:r>
      <w:r>
        <w:rPr>
          <w:rFonts w:ascii="Courier New" w:hAnsi="Courier New"/>
          <w:sz w:val="16"/>
        </w:rPr>
        <w:t>export HF_HOME=/workspace/huggingface-cache</w:t>
      </w:r>
    </w:p>
    <w:p>
      <w:r>
        <w:t>Persist HF_HOME in the shell profile, environment file, or runtime configuration after validation. This prevents repeated model downloads when the compute Pod is recreated while the persistent volume remains available.</w:t>
      </w:r>
    </w:p>
    <w:p>
      <w:r>
        <w:t>Expected artifacts include config/tokenizer files and one or more .safetensors model-weight files. Keep at least 15-20 GB free on /workspace before the download so the model, cache metadata, temporary download state, adapters, and benchmark outputs have headroom.</w:t>
      </w:r>
    </w:p>
    <w:p>
      <w:r>
        <w:rPr>
          <w:rFonts w:ascii="Courier New" w:hAnsi="Courier New"/>
          <w:sz w:val="16"/>
        </w:rPr>
        <w:t>pip install -U "huggingface_hub[cli]"</w:t>
      </w:r>
      <w:r>
        <w:br/>
      </w:r>
      <w:r>
        <w:rPr>
          <w:rFonts w:ascii="Courier New" w:hAnsi="Courier New"/>
          <w:sz w:val="16"/>
        </w:rPr>
      </w:r>
      <w:r>
        <w:br/>
      </w:r>
      <w:r>
        <w:rPr>
          <w:rFonts w:ascii="Courier New" w:hAnsi="Courier New"/>
          <w:sz w:val="16"/>
        </w:rPr>
        <w:t>hf download Qwen/Qwen3-4B --local-dir /workspace/models/Qwen3-4B</w:t>
      </w:r>
      <w:r>
        <w:br/>
      </w:r>
      <w:r>
        <w:rPr>
          <w:rFonts w:ascii="Courier New" w:hAnsi="Courier New"/>
          <w:sz w:val="16"/>
        </w:rPr>
      </w:r>
      <w:r>
        <w:br/>
      </w:r>
      <w:r>
        <w:rPr>
          <w:rFonts w:ascii="Courier New" w:hAnsi="Courier New"/>
          <w:sz w:val="16"/>
        </w:rPr>
        <w:t># If the installed CLI exposes the legacy command instead:</w:t>
      </w:r>
      <w:r>
        <w:br/>
      </w:r>
      <w:r>
        <w:rPr>
          <w:rFonts w:ascii="Courier New" w:hAnsi="Courier New"/>
          <w:sz w:val="16"/>
        </w:rPr>
        <w:t># huggingface-cli download Qwen/Qwen3-4B --local-dir /workspace/models/Qwen3-4B</w:t>
      </w:r>
      <w:r>
        <w:br/>
      </w:r>
      <w:r>
        <w:rPr>
          <w:rFonts w:ascii="Courier New" w:hAnsi="Courier New"/>
          <w:sz w:val="16"/>
        </w:rPr>
      </w:r>
      <w:r>
        <w:br/>
      </w:r>
      <w:r>
        <w:rPr>
          <w:rFonts w:ascii="Courier New" w:hAnsi="Courier New"/>
          <w:sz w:val="16"/>
        </w:rPr>
        <w:t>du -sh /workspace/models/Qwen3-4B</w:t>
      </w:r>
      <w:r>
        <w:br/>
      </w:r>
      <w:r>
        <w:rPr>
          <w:rFonts w:ascii="Courier New" w:hAnsi="Courier New"/>
          <w:sz w:val="16"/>
        </w:rPr>
        <w:t>ls -lah /workspace/models/Qwen3-4B</w:t>
      </w:r>
    </w:p>
    <w:p>
      <w:r>
        <w:t>For this POC, prefer an explicit model download before starting vLLM. This makes the physical model artifact location deterministic and lets us verify storage usage independently of the runtime.</w:t>
      </w:r>
    </w:p>
    <w:p>
      <w:pPr>
        <w:pStyle w:val="Heading2"/>
      </w:pPr>
      <w:r>
        <w:t>5.3.1 Explicitly Download and Verify Qwen3-4B</w:t>
      </w:r>
    </w:p>
    <w:p>
      <w:pPr>
        <w:pStyle w:val="Heading2"/>
      </w:pPr>
      <w:r>
        <w:t>5.3.2 Capture Idle GPU Baseline</w:t>
      </w:r>
    </w:p>
    <w:p>
      <w:r>
        <w:t>Before loading the model, save an idle GPU snapshot so later VRAM measurements can be compared against a clean baseline.</w:t>
      </w:r>
    </w:p>
    <w:p>
      <w:r>
        <w:rPr>
          <w:rFonts w:ascii="Courier New" w:hAnsi="Courier New"/>
          <w:sz w:val="16"/>
        </w:rPr>
        <w:t>nvidia-smi</w:t>
        <w:br/>
        <w:t>nvidia-smi &gt; /workspace/benchmarks/gpu-before-vllm.txt</w:t>
      </w:r>
    </w:p>
    <w:p>
      <w:pPr>
        <w:pStyle w:val="Heading2"/>
      </w:pPr>
      <w:r>
        <w:t>5.4 Stage D - Start the First Qwen3-4B Baseline</w:t>
      </w:r>
    </w:p>
    <w:p>
      <w:r>
        <w:t>Use the simplest possible vLLM configuration first:</w:t>
      </w:r>
    </w:p>
    <w:p>
      <w:pPr>
        <w:ind w:left="360" w:right="216"/>
      </w:pPr>
      <w:r>
        <w:rPr>
          <w:rFonts w:ascii="Courier New" w:hAnsi="Courier New"/>
          <w:sz w:val="16"/>
        </w:rPr>
        <w:t>vllm serve /workspace/models/Qwen3-4B \</w:t>
        <w:br/>
        <w:t xml:space="preserve">  --served-model-name Qwen/Qwen3-4B \</w:t>
        <w:br/>
        <w:t xml:space="preserve">  --dtype bfloat16 \</w:t>
        <w:br/>
        <w:t xml:space="preserve">  --max-model-len 4096 \</w:t>
        <w:br/>
        <w:t xml:space="preserve">  --gpu-memory-utilization 0.85</w:t>
      </w:r>
    </w:p>
    <w:p>
      <w:r>
        <w:t>Do not enable LoRA, FP8 KV cache, or aggressive memory settings in the first run. The goal is to establish a clean BF16 + 4K reference point.</w:t>
      </w:r>
    </w:p>
    <w:p>
      <w:pPr>
        <w:pStyle w:val="Heading2"/>
      </w:pPr>
      <w:r>
        <w:t>5.5 Stage E - Validate the OpenAI-Compatible API</w:t>
      </w:r>
    </w:p>
    <w:p>
      <w:pPr>
        <w:ind w:left="360" w:right="216"/>
      </w:pPr>
      <w:r>
        <w:rPr>
          <w:rFonts w:ascii="Courier New" w:hAnsi="Courier New"/>
          <w:sz w:val="16"/>
        </w:rPr>
        <w:t>curl http://localhost:8000/v1/models</w:t>
      </w:r>
    </w:p>
    <w:p>
      <w:r>
        <w:t>Then test a chat completion:</w:t>
      </w:r>
    </w:p>
    <w:p>
      <w:pPr>
        <w:ind w:left="360" w:right="216"/>
      </w:pPr>
      <w:r>
        <w:rPr>
          <w:rFonts w:ascii="Courier New" w:hAnsi="Courier New"/>
          <w:sz w:val="16"/>
        </w:rPr>
        <w:t>curl http://localhost:8000/v1/chat/completions \</w:t>
      </w:r>
      <w:r>
        <w:br/>
      </w:r>
      <w:r>
        <w:rPr>
          <w:rFonts w:ascii="Courier New" w:hAnsi="Courier New"/>
          <w:sz w:val="16"/>
        </w:rPr>
        <w:t xml:space="preserve">  -H "Content-Type: application/json" \</w:t>
      </w:r>
      <w:r>
        <w:br/>
      </w:r>
      <w:r>
        <w:rPr>
          <w:rFonts w:ascii="Courier New" w:hAnsi="Courier New"/>
          <w:sz w:val="16"/>
        </w:rPr>
        <w:t xml:space="preserve">  -d '{</w:t>
      </w:r>
      <w:r>
        <w:br/>
      </w:r>
      <w:r>
        <w:rPr>
          <w:rFonts w:ascii="Courier New" w:hAnsi="Courier New"/>
          <w:sz w:val="16"/>
        </w:rPr>
        <w:t xml:space="preserve">    "model": "Qwen/Qwen3-4B",</w:t>
      </w:r>
      <w:r>
        <w:br/>
      </w:r>
      <w:r>
        <w:rPr>
          <w:rFonts w:ascii="Courier New" w:hAnsi="Courier New"/>
          <w:sz w:val="16"/>
        </w:rPr>
        <w:t xml:space="preserve">    "messages": [</w:t>
      </w:r>
      <w:r>
        <w:br/>
      </w:r>
      <w:r>
        <w:rPr>
          <w:rFonts w:ascii="Courier New" w:hAnsi="Courier New"/>
          <w:sz w:val="16"/>
        </w:rPr>
        <w:t xml:space="preserve">      {</w:t>
      </w:r>
      <w:r>
        <w:br/>
      </w:r>
      <w:r>
        <w:rPr>
          <w:rFonts w:ascii="Courier New" w:hAnsi="Courier New"/>
          <w:sz w:val="16"/>
        </w:rPr>
        <w:t xml:space="preserve">        "role": "user",</w:t>
      </w:r>
      <w:r>
        <w:br/>
      </w:r>
      <w:r>
        <w:rPr>
          <w:rFonts w:ascii="Courier New" w:hAnsi="Courier New"/>
          <w:sz w:val="16"/>
        </w:rPr>
        <w:t xml:space="preserve">        "content": "Explain KV cache in simple terms."</w:t>
      </w:r>
      <w:r>
        <w:br/>
      </w:r>
      <w:r>
        <w:rPr>
          <w:rFonts w:ascii="Courier New" w:hAnsi="Courier New"/>
          <w:sz w:val="16"/>
        </w:rPr>
        <w:t xml:space="preserve">      }</w:t>
      </w:r>
      <w:r>
        <w:br/>
      </w:r>
      <w:r>
        <w:rPr>
          <w:rFonts w:ascii="Courier New" w:hAnsi="Courier New"/>
          <w:sz w:val="16"/>
        </w:rPr>
        <w:t xml:space="preserve">    ],</w:t>
      </w:r>
      <w:r>
        <w:br/>
      </w:r>
      <w:r>
        <w:rPr>
          <w:rFonts w:ascii="Courier New" w:hAnsi="Courier New"/>
          <w:sz w:val="16"/>
        </w:rPr>
        <w:t xml:space="preserve">    "temperature": 0.6,</w:t>
      </w:r>
      <w:r>
        <w:br/>
      </w:r>
      <w:r>
        <w:rPr>
          <w:rFonts w:ascii="Courier New" w:hAnsi="Courier New"/>
          <w:sz w:val="16"/>
        </w:rPr>
        <w:t xml:space="preserve">    "max_tokens": 256</w:t>
      </w:r>
      <w:r>
        <w:br/>
      </w:r>
      <w:r>
        <w:rPr>
          <w:rFonts w:ascii="Courier New" w:hAnsi="Courier New"/>
          <w:sz w:val="16"/>
        </w:rPr>
        <w:t xml:space="preserve">  }'</w:t>
      </w:r>
    </w:p>
    <w:p>
      <w:r>
        <w:t>Acceptance criteria: the model responds successfully, the response is coherent, vLLM remains healthy, and there is no CUDA OOM.</w:t>
      </w:r>
    </w:p>
    <w:p>
      <w:pPr>
        <w:pStyle w:val="Heading2"/>
      </w:pPr>
      <w:r>
        <w:t>5.6 Stage F - Validate Streaming</w:t>
      </w:r>
    </w:p>
    <w:p>
      <w:pPr>
        <w:ind w:left="360" w:right="216"/>
      </w:pPr>
      <w:r>
        <w:rPr>
          <w:rFonts w:ascii="Courier New" w:hAnsi="Courier New"/>
          <w:sz w:val="16"/>
        </w:rPr>
        <w:t>curl -N http://localhost:8000/v1/chat/completions \</w:t>
      </w:r>
      <w:r>
        <w:br/>
      </w:r>
      <w:r>
        <w:rPr>
          <w:rFonts w:ascii="Courier New" w:hAnsi="Courier New"/>
          <w:sz w:val="16"/>
        </w:rPr>
        <w:t xml:space="preserve">  -H "Content-Type: application/json" \</w:t>
      </w:r>
      <w:r>
        <w:br/>
      </w:r>
      <w:r>
        <w:rPr>
          <w:rFonts w:ascii="Courier New" w:hAnsi="Courier New"/>
          <w:sz w:val="16"/>
        </w:rPr>
        <w:t xml:space="preserve">  -d '{</w:t>
      </w:r>
      <w:r>
        <w:br/>
      </w:r>
      <w:r>
        <w:rPr>
          <w:rFonts w:ascii="Courier New" w:hAnsi="Courier New"/>
          <w:sz w:val="16"/>
        </w:rPr>
        <w:t xml:space="preserve">    "model": "Qwen/Qwen3-4B",</w:t>
      </w:r>
      <w:r>
        <w:br/>
      </w:r>
      <w:r>
        <w:rPr>
          <w:rFonts w:ascii="Courier New" w:hAnsi="Courier New"/>
          <w:sz w:val="16"/>
        </w:rPr>
        <w:t xml:space="preserve">    "messages": [</w:t>
      </w:r>
      <w:r>
        <w:br/>
      </w:r>
      <w:r>
        <w:rPr>
          <w:rFonts w:ascii="Courier New" w:hAnsi="Courier New"/>
          <w:sz w:val="16"/>
        </w:rPr>
        <w:t xml:space="preserve">      {"role": "user", "content": "Explain how transformer attention works."}</w:t>
      </w:r>
      <w:r>
        <w:br/>
      </w:r>
      <w:r>
        <w:rPr>
          <w:rFonts w:ascii="Courier New" w:hAnsi="Courier New"/>
          <w:sz w:val="16"/>
        </w:rPr>
        <w:t xml:space="preserve">    ],</w:t>
      </w:r>
      <w:r>
        <w:br/>
      </w:r>
      <w:r>
        <w:rPr>
          <w:rFonts w:ascii="Courier New" w:hAnsi="Courier New"/>
          <w:sz w:val="16"/>
        </w:rPr>
        <w:t xml:space="preserve">    "stream": true,</w:t>
      </w:r>
      <w:r>
        <w:br/>
      </w:r>
      <w:r>
        <w:rPr>
          <w:rFonts w:ascii="Courier New" w:hAnsi="Courier New"/>
          <w:sz w:val="16"/>
        </w:rPr>
        <w:t xml:space="preserve">    "max_tokens": 256</w:t>
      </w:r>
      <w:r>
        <w:br/>
      </w:r>
      <w:r>
        <w:rPr>
          <w:rFonts w:ascii="Courier New" w:hAnsi="Courier New"/>
          <w:sz w:val="16"/>
        </w:rPr>
        <w:t xml:space="preserve">  }'</w:t>
      </w:r>
    </w:p>
    <w:p>
      <w:r>
        <w:t>Acceptance criteria: output arrives incrementally rather than only after the full completion is generated.</w:t>
      </w:r>
    </w:p>
    <w:p>
      <w:pPr>
        <w:pStyle w:val="Heading1"/>
      </w:pPr>
      <w:r>
        <w:t>6. Baseline Metrics to Capture Before Building the Gateway</w:t>
      </w:r>
    </w:p>
    <w:p>
      <w:r>
        <w:t>The first working runtime becomes the benchmark reference for every later control-plane feature. Capture both system and request-level metrics.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7"/>
              </w:rPr>
              <w:t>Metric</w:t>
            </w:r>
          </w:p>
        </w:tc>
        <w:tc>
          <w:tcPr>
            <w:tcW w:type="dxa" w:w="5083"/>
            <w:vAlign w:val="center"/>
          </w:tcPr>
          <w:p>
            <w:r>
              <w:rPr>
                <w:b/>
                <w:sz w:val="17"/>
              </w:rPr>
              <w:t>Why It Matters</w:t>
            </w:r>
          </w:p>
        </w:tc>
      </w:tr>
      <w:tr>
        <w:tc>
          <w:tcPr>
            <w:tcW w:type="dxa" w:w="5083"/>
            <w:vAlign w:val="center"/>
          </w:tcPr>
          <w:p>
            <w:r>
              <w:rPr>
                <w:sz w:val="16"/>
              </w:rPr>
              <w:t>GPU VRAM after model load</w:t>
            </w:r>
          </w:p>
        </w:tc>
        <w:tc>
          <w:tcPr>
            <w:tcW w:type="dxa" w:w="5083"/>
            <w:vAlign w:val="center"/>
          </w:tcPr>
          <w:p>
            <w:r>
              <w:rPr>
                <w:sz w:val="16"/>
              </w:rPr>
              <w:t>Shows weight/runtime footprint and remaining KV-cache headroom</w:t>
            </w:r>
          </w:p>
        </w:tc>
      </w:tr>
      <w:tr>
        <w:tc>
          <w:tcPr>
            <w:tcW w:type="dxa" w:w="5083"/>
            <w:vAlign w:val="center"/>
          </w:tcPr>
          <w:p>
            <w:r>
              <w:rPr>
                <w:sz w:val="16"/>
              </w:rPr>
              <w:t>GPU utilization</w:t>
            </w:r>
          </w:p>
        </w:tc>
        <w:tc>
          <w:tcPr>
            <w:tcW w:type="dxa" w:w="5083"/>
            <w:vAlign w:val="center"/>
          </w:tcPr>
          <w:p>
            <w:r>
              <w:rPr>
                <w:sz w:val="16"/>
              </w:rPr>
              <w:t>Identifies whether requests are actually exercising the GPU</w:t>
            </w:r>
          </w:p>
        </w:tc>
      </w:tr>
      <w:tr>
        <w:tc>
          <w:tcPr>
            <w:tcW w:type="dxa" w:w="5083"/>
            <w:vAlign w:val="center"/>
          </w:tcPr>
          <w:p>
            <w:r>
              <w:rPr>
                <w:sz w:val="16"/>
              </w:rPr>
              <w:t>Prompt token count</w:t>
            </w:r>
          </w:p>
        </w:tc>
        <w:tc>
          <w:tcPr>
            <w:tcW w:type="dxa" w:w="5083"/>
            <w:vAlign w:val="center"/>
          </w:tcPr>
          <w:p>
            <w:r>
              <w:rPr>
                <w:sz w:val="16"/>
              </w:rPr>
              <w:t>Needed to compare prefill workloads</w:t>
            </w:r>
          </w:p>
        </w:tc>
      </w:tr>
      <w:tr>
        <w:tc>
          <w:tcPr>
            <w:tcW w:type="dxa" w:w="5083"/>
            <w:vAlign w:val="center"/>
          </w:tcPr>
          <w:p>
            <w:r>
              <w:rPr>
                <w:sz w:val="16"/>
              </w:rPr>
              <w:t>Completion token count</w:t>
            </w:r>
          </w:p>
        </w:tc>
        <w:tc>
          <w:tcPr>
            <w:tcW w:type="dxa" w:w="5083"/>
            <w:vAlign w:val="center"/>
          </w:tcPr>
          <w:p>
            <w:r>
              <w:rPr>
                <w:sz w:val="16"/>
              </w:rPr>
              <w:t>Needed to normalize generation latency</w:t>
            </w:r>
          </w:p>
        </w:tc>
      </w:tr>
      <w:tr>
        <w:tc>
          <w:tcPr>
            <w:tcW w:type="dxa" w:w="5083"/>
            <w:vAlign w:val="center"/>
          </w:tcPr>
          <w:p>
            <w:r>
              <w:rPr>
                <w:sz w:val="16"/>
              </w:rPr>
              <w:t>TTFT</w:t>
            </w:r>
          </w:p>
        </w:tc>
        <w:tc>
          <w:tcPr>
            <w:tcW w:type="dxa" w:w="5083"/>
            <w:vAlign w:val="center"/>
          </w:tcPr>
          <w:p>
            <w:r>
              <w:rPr>
                <w:sz w:val="16"/>
              </w:rPr>
              <w:t>Captures queue + prefill + first decode latency</w:t>
            </w:r>
          </w:p>
        </w:tc>
      </w:tr>
      <w:tr>
        <w:tc>
          <w:tcPr>
            <w:tcW w:type="dxa" w:w="5083"/>
            <w:vAlign w:val="center"/>
          </w:tcPr>
          <w:p>
            <w:r>
              <w:rPr>
                <w:sz w:val="16"/>
              </w:rPr>
              <w:t>Total latency</w:t>
            </w:r>
          </w:p>
        </w:tc>
        <w:tc>
          <w:tcPr>
            <w:tcW w:type="dxa" w:w="5083"/>
            <w:vAlign w:val="center"/>
          </w:tcPr>
          <w:p>
            <w:r>
              <w:rPr>
                <w:sz w:val="16"/>
              </w:rPr>
              <w:t>End-to-end request response time</w:t>
            </w:r>
          </w:p>
        </w:tc>
      </w:tr>
      <w:tr>
        <w:tc>
          <w:tcPr>
            <w:tcW w:type="dxa" w:w="5083"/>
            <w:vAlign w:val="center"/>
          </w:tcPr>
          <w:p>
            <w:r>
              <w:rPr>
                <w:sz w:val="16"/>
              </w:rPr>
              <w:t>Decode time</w:t>
            </w:r>
          </w:p>
        </w:tc>
        <w:tc>
          <w:tcPr>
            <w:tcW w:type="dxa" w:w="5083"/>
            <w:vAlign w:val="center"/>
          </w:tcPr>
          <w:p>
            <w:r>
              <w:rPr>
                <w:sz w:val="16"/>
              </w:rPr>
              <w:t>Time spent producing completion tokens after first token</w:t>
            </w:r>
          </w:p>
        </w:tc>
      </w:tr>
      <w:tr>
        <w:tc>
          <w:tcPr>
            <w:tcW w:type="dxa" w:w="5083"/>
            <w:vAlign w:val="center"/>
          </w:tcPr>
          <w:p>
            <w:r>
              <w:rPr>
                <w:sz w:val="16"/>
              </w:rPr>
              <w:t>Output tokens/sec</w:t>
            </w:r>
          </w:p>
        </w:tc>
        <w:tc>
          <w:tcPr>
            <w:tcW w:type="dxa" w:w="5083"/>
            <w:vAlign w:val="center"/>
          </w:tcPr>
          <w:p>
            <w:r>
              <w:rPr>
                <w:sz w:val="16"/>
              </w:rPr>
              <w:t>Primary generation-rate metric</w:t>
            </w:r>
          </w:p>
        </w:tc>
      </w:tr>
      <w:tr>
        <w:tc>
          <w:tcPr>
            <w:tcW w:type="dxa" w:w="5083"/>
            <w:vAlign w:val="center"/>
          </w:tcPr>
          <w:p>
            <w:r>
              <w:rPr>
                <w:sz w:val="16"/>
              </w:rPr>
              <w:t>Queue wait</w:t>
            </w:r>
          </w:p>
        </w:tc>
        <w:tc>
          <w:tcPr>
            <w:tcW w:type="dxa" w:w="5083"/>
            <w:vAlign w:val="center"/>
          </w:tcPr>
          <w:p>
            <w:r>
              <w:rPr>
                <w:sz w:val="16"/>
              </w:rPr>
              <w:t>Becomes important under concurrency</w:t>
            </w:r>
          </w:p>
        </w:tc>
      </w:tr>
      <w:tr>
        <w:tc>
          <w:tcPr>
            <w:tcW w:type="dxa" w:w="5083"/>
            <w:vAlign w:val="center"/>
          </w:tcPr>
          <w:p>
            <w:r>
              <w:rPr>
                <w:sz w:val="16"/>
              </w:rPr>
              <w:t>Error/OOM count</w:t>
            </w:r>
          </w:p>
        </w:tc>
        <w:tc>
          <w:tcPr>
            <w:tcW w:type="dxa" w:w="5083"/>
            <w:vAlign w:val="center"/>
          </w:tcPr>
          <w:p>
            <w:r>
              <w:rPr>
                <w:sz w:val="16"/>
              </w:rPr>
              <w:t>Defines stability boundary</w:t>
            </w:r>
          </w:p>
        </w:tc>
      </w:tr>
      <w:tr>
        <w:tc>
          <w:tcPr>
            <w:tcW w:type="dxa" w:w="5083"/>
            <w:vAlign w:val="center"/>
          </w:tcPr>
          <w:p>
            <w:r>
              <w:rPr>
                <w:sz w:val="16"/>
              </w:rPr>
              <w:t>Context length</w:t>
            </w:r>
          </w:p>
        </w:tc>
        <w:tc>
          <w:tcPr>
            <w:tcW w:type="dxa" w:w="5083"/>
            <w:vAlign w:val="center"/>
          </w:tcPr>
          <w:p>
            <w:r>
              <w:rPr>
                <w:sz w:val="16"/>
              </w:rPr>
              <w:t>Required for meaningful capacity comparisons</w:t>
            </w:r>
          </w:p>
        </w:tc>
      </w:tr>
    </w:tbl>
    <w:p>
      <w:pPr>
        <w:pStyle w:val="Heading1"/>
      </w:pPr>
      <w:r>
        <w:t>7. Initial Benchmark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7"/>
              </w:rPr>
              <w:t>Concurrency</w:t>
            </w:r>
          </w:p>
        </w:tc>
        <w:tc>
          <w:tcPr>
            <w:tcW w:type="dxa" w:w="2541"/>
            <w:vAlign w:val="center"/>
          </w:tcPr>
          <w:p>
            <w:r>
              <w:rPr>
                <w:b/>
                <w:sz w:val="17"/>
              </w:rPr>
              <w:t>Prompt Profile</w:t>
            </w:r>
          </w:p>
        </w:tc>
        <w:tc>
          <w:tcPr>
            <w:tcW w:type="dxa" w:w="2541"/>
            <w:vAlign w:val="center"/>
          </w:tcPr>
          <w:p>
            <w:r>
              <w:rPr>
                <w:b/>
                <w:sz w:val="17"/>
              </w:rPr>
              <w:t>Output</w:t>
            </w:r>
          </w:p>
        </w:tc>
        <w:tc>
          <w:tcPr>
            <w:tcW w:type="dxa" w:w="2541"/>
            <w:vAlign w:val="center"/>
          </w:tcPr>
          <w:p>
            <w:r>
              <w:rPr>
                <w:b/>
                <w:sz w:val="17"/>
              </w:rPr>
              <w:t>Purpose</w:t>
            </w:r>
          </w:p>
        </w:tc>
      </w:tr>
      <w:tr>
        <w:tc>
          <w:tcPr>
            <w:tcW w:type="dxa" w:w="2541"/>
            <w:vAlign w:val="center"/>
          </w:tcPr>
          <w:p>
            <w:r>
              <w:rPr>
                <w:sz w:val="16"/>
              </w:rPr>
              <w:t>1</w:t>
            </w:r>
          </w:p>
        </w:tc>
        <w:tc>
          <w:tcPr>
            <w:tcW w:type="dxa" w:w="2541"/>
            <w:vAlign w:val="center"/>
          </w:tcPr>
          <w:p>
            <w:r>
              <w:rPr>
                <w:sz w:val="16"/>
              </w:rPr>
              <w:t>256-512 tokens</w:t>
            </w:r>
          </w:p>
        </w:tc>
        <w:tc>
          <w:tcPr>
            <w:tcW w:type="dxa" w:w="2541"/>
            <w:vAlign w:val="center"/>
          </w:tcPr>
          <w:p>
            <w:r>
              <w:rPr>
                <w:sz w:val="16"/>
              </w:rPr>
              <w:t>128</w:t>
            </w:r>
          </w:p>
        </w:tc>
        <w:tc>
          <w:tcPr>
            <w:tcW w:type="dxa" w:w="2541"/>
            <w:vAlign w:val="center"/>
          </w:tcPr>
          <w:p>
            <w:r>
              <w:rPr>
                <w:sz w:val="16"/>
              </w:rPr>
              <w:t>Single-request latency baseline</w:t>
            </w:r>
          </w:p>
        </w:tc>
      </w:tr>
      <w:tr>
        <w:tc>
          <w:tcPr>
            <w:tcW w:type="dxa" w:w="2541"/>
            <w:vAlign w:val="center"/>
          </w:tcPr>
          <w:p>
            <w:r>
              <w:rPr>
                <w:sz w:val="16"/>
              </w:rPr>
              <w:t>1</w:t>
            </w:r>
          </w:p>
        </w:tc>
        <w:tc>
          <w:tcPr>
            <w:tcW w:type="dxa" w:w="2541"/>
            <w:vAlign w:val="center"/>
          </w:tcPr>
          <w:p>
            <w:r>
              <w:rPr>
                <w:sz w:val="16"/>
              </w:rPr>
              <w:t>~1K tokens</w:t>
            </w:r>
          </w:p>
        </w:tc>
        <w:tc>
          <w:tcPr>
            <w:tcW w:type="dxa" w:w="2541"/>
            <w:vAlign w:val="center"/>
          </w:tcPr>
          <w:p>
            <w:r>
              <w:rPr>
                <w:sz w:val="16"/>
              </w:rPr>
              <w:t>256</w:t>
            </w:r>
          </w:p>
        </w:tc>
        <w:tc>
          <w:tcPr>
            <w:tcW w:type="dxa" w:w="2541"/>
            <w:vAlign w:val="center"/>
          </w:tcPr>
          <w:p>
            <w:r>
              <w:rPr>
                <w:sz w:val="16"/>
              </w:rPr>
              <w:t>Typical assistant request</w:t>
            </w:r>
          </w:p>
        </w:tc>
      </w:tr>
      <w:tr>
        <w:tc>
          <w:tcPr>
            <w:tcW w:type="dxa" w:w="2541"/>
            <w:vAlign w:val="center"/>
          </w:tcPr>
          <w:p>
            <w:r>
              <w:rPr>
                <w:sz w:val="16"/>
              </w:rPr>
              <w:t>1</w:t>
            </w:r>
          </w:p>
        </w:tc>
        <w:tc>
          <w:tcPr>
            <w:tcW w:type="dxa" w:w="2541"/>
            <w:vAlign w:val="center"/>
          </w:tcPr>
          <w:p>
            <w:r>
              <w:rPr>
                <w:sz w:val="16"/>
              </w:rPr>
              <w:t>~4K tokens</w:t>
            </w:r>
          </w:p>
        </w:tc>
        <w:tc>
          <w:tcPr>
            <w:tcW w:type="dxa" w:w="2541"/>
            <w:vAlign w:val="center"/>
          </w:tcPr>
          <w:p>
            <w:r>
              <w:rPr>
                <w:sz w:val="16"/>
              </w:rPr>
              <w:t>256</w:t>
            </w:r>
          </w:p>
        </w:tc>
        <w:tc>
          <w:tcPr>
            <w:tcW w:type="dxa" w:w="2541"/>
            <w:vAlign w:val="center"/>
          </w:tcPr>
          <w:p>
            <w:r>
              <w:rPr>
                <w:sz w:val="16"/>
              </w:rPr>
              <w:t>Prefill + KV pressure baseline</w:t>
            </w:r>
          </w:p>
        </w:tc>
      </w:tr>
      <w:tr>
        <w:tc>
          <w:tcPr>
            <w:tcW w:type="dxa" w:w="2541"/>
            <w:vAlign w:val="center"/>
          </w:tcPr>
          <w:p>
            <w:r>
              <w:rPr>
                <w:sz w:val="16"/>
              </w:rPr>
              <w:t>2</w:t>
            </w:r>
          </w:p>
        </w:tc>
        <w:tc>
          <w:tcPr>
            <w:tcW w:type="dxa" w:w="2541"/>
            <w:vAlign w:val="center"/>
          </w:tcPr>
          <w:p>
            <w:r>
              <w:rPr>
                <w:sz w:val="16"/>
              </w:rPr>
              <w:t>~1K tokens each</w:t>
            </w:r>
          </w:p>
        </w:tc>
        <w:tc>
          <w:tcPr>
            <w:tcW w:type="dxa" w:w="2541"/>
            <w:vAlign w:val="center"/>
          </w:tcPr>
          <w:p>
            <w:r>
              <w:rPr>
                <w:sz w:val="16"/>
              </w:rPr>
              <w:t>256</w:t>
            </w:r>
          </w:p>
        </w:tc>
        <w:tc>
          <w:tcPr>
            <w:tcW w:type="dxa" w:w="2541"/>
            <w:vAlign w:val="center"/>
          </w:tcPr>
          <w:p>
            <w:r>
              <w:rPr>
                <w:sz w:val="16"/>
              </w:rPr>
              <w:t>Initial continuous-batching behavior</w:t>
            </w:r>
          </w:p>
        </w:tc>
      </w:tr>
      <w:tr>
        <w:tc>
          <w:tcPr>
            <w:tcW w:type="dxa" w:w="2541"/>
            <w:vAlign w:val="center"/>
          </w:tcPr>
          <w:p>
            <w:r>
              <w:rPr>
                <w:sz w:val="16"/>
              </w:rPr>
              <w:t>4</w:t>
            </w:r>
          </w:p>
        </w:tc>
        <w:tc>
          <w:tcPr>
            <w:tcW w:type="dxa" w:w="2541"/>
            <w:vAlign w:val="center"/>
          </w:tcPr>
          <w:p>
            <w:r>
              <w:rPr>
                <w:sz w:val="16"/>
              </w:rPr>
              <w:t>~1K tokens each</w:t>
            </w:r>
          </w:p>
        </w:tc>
        <w:tc>
          <w:tcPr>
            <w:tcW w:type="dxa" w:w="2541"/>
            <w:vAlign w:val="center"/>
          </w:tcPr>
          <w:p>
            <w:r>
              <w:rPr>
                <w:sz w:val="16"/>
              </w:rPr>
              <w:t>256</w:t>
            </w:r>
          </w:p>
        </w:tc>
        <w:tc>
          <w:tcPr>
            <w:tcW w:type="dxa" w:w="2541"/>
            <w:vAlign w:val="center"/>
          </w:tcPr>
          <w:p>
            <w:r>
              <w:rPr>
                <w:sz w:val="16"/>
              </w:rPr>
              <w:t>Early multi-user service test</w:t>
            </w:r>
          </w:p>
        </w:tc>
      </w:tr>
      <w:tr>
        <w:tc>
          <w:tcPr>
            <w:tcW w:type="dxa" w:w="2541"/>
            <w:vAlign w:val="center"/>
          </w:tcPr>
          <w:p>
            <w:r>
              <w:rPr>
                <w:sz w:val="16"/>
              </w:rPr>
              <w:t>8</w:t>
            </w:r>
          </w:p>
        </w:tc>
        <w:tc>
          <w:tcPr>
            <w:tcW w:type="dxa" w:w="2541"/>
            <w:vAlign w:val="center"/>
          </w:tcPr>
          <w:p>
            <w:r>
              <w:rPr>
                <w:sz w:val="16"/>
              </w:rPr>
              <w:t>Mixed 1K/2K</w:t>
            </w:r>
          </w:p>
        </w:tc>
        <w:tc>
          <w:tcPr>
            <w:tcW w:type="dxa" w:w="2541"/>
            <w:vAlign w:val="center"/>
          </w:tcPr>
          <w:p>
            <w:r>
              <w:rPr>
                <w:sz w:val="16"/>
              </w:rPr>
              <w:t>128-256</w:t>
            </w:r>
          </w:p>
        </w:tc>
        <w:tc>
          <w:tcPr>
            <w:tcW w:type="dxa" w:w="2541"/>
            <w:vAlign w:val="center"/>
          </w:tcPr>
          <w:p>
            <w:r>
              <w:rPr>
                <w:sz w:val="16"/>
              </w:rPr>
              <w:t>Only after 1/2/4 are stable</w:t>
            </w:r>
          </w:p>
        </w:tc>
      </w:tr>
    </w:tbl>
    <w:p>
      <w:r>
        <w:t>Do not publish a concurrency claim before measuring it. Connected users, queued requests, active prefill work, active decode sequences, and long-context requests are different capacity states.</w:t>
      </w:r>
    </w:p>
    <w:p>
      <w:pPr>
        <w:pStyle w:val="Heading1"/>
      </w:pPr>
      <w:r>
        <w:t>8. Move from Baseline to V1 Runtime Configuration</w:t>
      </w:r>
    </w:p>
    <w:p>
      <w:r>
        <w:t>After the 4K baseline is stable and its memory/latency profile is recorded, test the V1 runtime settings:</w:t>
      </w:r>
    </w:p>
    <w:p>
      <w:pPr>
        <w:ind w:left="360" w:right="216"/>
      </w:pPr>
      <w:r>
        <w:rPr>
          <w:rFonts w:ascii="Courier New" w:hAnsi="Courier New"/>
          <w:sz w:val="16"/>
        </w:rPr>
        <w:t>vllm serve Qwen/Qwen3-4B \</w:t>
      </w:r>
      <w:r>
        <w:br/>
      </w:r>
      <w:r>
        <w:rPr>
          <w:rFonts w:ascii="Courier New" w:hAnsi="Courier New"/>
          <w:sz w:val="16"/>
        </w:rPr>
        <w:t xml:space="preserve">  --dtype bfloat16 \</w:t>
      </w:r>
      <w:r>
        <w:br/>
      </w:r>
      <w:r>
        <w:rPr>
          <w:rFonts w:ascii="Courier New" w:hAnsi="Courier New"/>
          <w:sz w:val="16"/>
        </w:rPr>
        <w:t xml:space="preserve">  --max-model-len 8192 \</w:t>
      </w:r>
      <w:r>
        <w:br/>
      </w:r>
      <w:r>
        <w:rPr>
          <w:rFonts w:ascii="Courier New" w:hAnsi="Courier New"/>
          <w:sz w:val="16"/>
        </w:rPr>
        <w:t xml:space="preserve">  --gpu-memory-utilization 0.90 \</w:t>
      </w:r>
      <w:r>
        <w:br/>
      </w:r>
      <w:r>
        <w:rPr>
          <w:rFonts w:ascii="Courier New" w:hAnsi="Courier New"/>
          <w:sz w:val="16"/>
        </w:rPr>
        <w:t xml:space="preserve">  --enable-lora \</w:t>
      </w:r>
      <w:r>
        <w:br/>
      </w:r>
      <w:r>
        <w:rPr>
          <w:rFonts w:ascii="Courier New" w:hAnsi="Courier New"/>
          <w:sz w:val="16"/>
        </w:rPr>
        <w:t xml:space="preserve">  --max-lora-rank 16 \</w:t>
      </w:r>
      <w:r>
        <w:br/>
      </w:r>
      <w:r>
        <w:rPr>
          <w:rFonts w:ascii="Courier New" w:hAnsi="Courier New"/>
          <w:sz w:val="16"/>
        </w:rPr>
        <w:t xml:space="preserve">  --max-loras 4</w:t>
      </w:r>
    </w:p>
    <w:p>
      <w:r>
        <w:t>Before using these exact flags, run `vllm serve --help` against the installed version. Record the working command and vLLM version in source control.</w:t>
      </w:r>
    </w:p>
    <w:p>
      <w:pPr>
        <w:pStyle w:val="Heading1"/>
      </w:pPr>
      <w:r>
        <w:t>9. V1 Product Architecture to Implement in Cursor</w:t>
      </w:r>
    </w:p>
    <w:p>
      <w:pPr>
        <w:ind w:left="360" w:right="216"/>
      </w:pPr>
      <w:r>
        <w:rPr>
          <w:rFonts w:ascii="Courier New" w:hAnsi="Courier New"/>
          <w:sz w:val="16"/>
        </w:rPr>
        <w:t>Client / SDK</w:t>
      </w:r>
      <w:r>
        <w:br/>
      </w:r>
      <w:r>
        <w:rPr>
          <w:rFonts w:ascii="Courier New" w:hAnsi="Courier New"/>
          <w:sz w:val="16"/>
        </w:rPr>
        <w:t xml:space="preserve">    |</w:t>
      </w:r>
      <w:r>
        <w:br/>
      </w:r>
      <w:r>
        <w:rPr>
          <w:rFonts w:ascii="Courier New" w:hAnsi="Courier New"/>
          <w:sz w:val="16"/>
        </w:rPr>
        <w:t xml:space="preserve">    v</w:t>
      </w:r>
      <w:r>
        <w:br/>
      </w:r>
      <w:r>
        <w:rPr>
          <w:rFonts w:ascii="Courier New" w:hAnsi="Courier New"/>
          <w:sz w:val="16"/>
        </w:rPr>
        <w:t>FastAPI API Gateway</w:t>
      </w:r>
      <w:r>
        <w:br/>
      </w:r>
      <w:r>
        <w:rPr>
          <w:rFonts w:ascii="Courier New" w:hAnsi="Courier New"/>
          <w:sz w:val="16"/>
        </w:rPr>
        <w:t xml:space="preserve">    |</w:t>
      </w:r>
      <w:r>
        <w:br/>
      </w:r>
      <w:r>
        <w:rPr>
          <w:rFonts w:ascii="Courier New" w:hAnsi="Courier New"/>
          <w:sz w:val="16"/>
        </w:rPr>
        <w:t xml:space="preserve">    +-- Authentication / API keys</w:t>
      </w:r>
      <w:r>
        <w:br/>
      </w:r>
      <w:r>
        <w:rPr>
          <w:rFonts w:ascii="Courier New" w:hAnsi="Courier New"/>
          <w:sz w:val="16"/>
        </w:rPr>
        <w:t xml:space="preserve">    +-- Tenant resolution</w:t>
      </w:r>
      <w:r>
        <w:br/>
      </w:r>
      <w:r>
        <w:rPr>
          <w:rFonts w:ascii="Courier New" w:hAnsi="Courier New"/>
          <w:sz w:val="16"/>
        </w:rPr>
        <w:t xml:space="preserve">    +-- Request validation</w:t>
      </w:r>
      <w:r>
        <w:br/>
      </w:r>
      <w:r>
        <w:rPr>
          <w:rFonts w:ascii="Courier New" w:hAnsi="Courier New"/>
          <w:sz w:val="16"/>
        </w:rPr>
        <w:t xml:space="preserve">    +-- Rate limits / quotas</w:t>
      </w:r>
      <w:r>
        <w:br/>
      </w:r>
      <w:r>
        <w:rPr>
          <w:rFonts w:ascii="Courier New" w:hAnsi="Courier New"/>
          <w:sz w:val="16"/>
        </w:rPr>
        <w:t xml:space="preserve">    +-- Logical model alias resolution</w:t>
      </w:r>
      <w:r>
        <w:br/>
      </w:r>
      <w:r>
        <w:rPr>
          <w:rFonts w:ascii="Courier New" w:hAnsi="Courier New"/>
          <w:sz w:val="16"/>
        </w:rPr>
        <w:t xml:space="preserve">    +-- Request IDs / tracing</w:t>
      </w:r>
      <w:r>
        <w:br/>
      </w:r>
      <w:r>
        <w:rPr>
          <w:rFonts w:ascii="Courier New" w:hAnsi="Courier New"/>
          <w:sz w:val="16"/>
        </w:rPr>
        <w:t xml:space="preserve">    +-- Usage metering</w:t>
      </w:r>
      <w:r>
        <w:br/>
      </w:r>
      <w:r>
        <w:rPr>
          <w:rFonts w:ascii="Courier New" w:hAnsi="Courier New"/>
          <w:sz w:val="16"/>
        </w:rPr>
        <w:t xml:space="preserve">    |</w:t>
      </w:r>
      <w:r>
        <w:br/>
      </w:r>
      <w:r>
        <w:rPr>
          <w:rFonts w:ascii="Courier New" w:hAnsi="Courier New"/>
          <w:sz w:val="16"/>
        </w:rPr>
        <w:t xml:space="preserve">    v</w:t>
      </w:r>
      <w:r>
        <w:br/>
      </w:r>
      <w:r>
        <w:rPr>
          <w:rFonts w:ascii="Courier New" w:hAnsi="Courier New"/>
          <w:sz w:val="16"/>
        </w:rPr>
        <w:t>Inference Router</w:t>
      </w:r>
      <w:r>
        <w:br/>
      </w:r>
      <w:r>
        <w:rPr>
          <w:rFonts w:ascii="Courier New" w:hAnsi="Courier New"/>
          <w:sz w:val="16"/>
        </w:rPr>
        <w:t xml:space="preserve">    |</w:t>
      </w:r>
      <w:r>
        <w:br/>
      </w:r>
      <w:r>
        <w:rPr>
          <w:rFonts w:ascii="Courier New" w:hAnsi="Courier New"/>
          <w:sz w:val="16"/>
        </w:rPr>
        <w:t xml:space="preserve">    v</w:t>
      </w:r>
      <w:r>
        <w:br/>
      </w:r>
      <w:r>
        <w:rPr>
          <w:rFonts w:ascii="Courier New" w:hAnsi="Courier New"/>
          <w:sz w:val="16"/>
        </w:rPr>
        <w:t>vLLM</w:t>
      </w:r>
      <w:r>
        <w:br/>
      </w:r>
      <w:r>
        <w:rPr>
          <w:rFonts w:ascii="Courier New" w:hAnsi="Courier New"/>
          <w:sz w:val="16"/>
        </w:rPr>
        <w:t xml:space="preserve">    |</w:t>
      </w:r>
      <w:r>
        <w:br/>
      </w:r>
      <w:r>
        <w:rPr>
          <w:rFonts w:ascii="Courier New" w:hAnsi="Courier New"/>
          <w:sz w:val="16"/>
        </w:rPr>
        <w:t xml:space="preserve">    +-- Qwen3-4B</w:t>
      </w:r>
      <w:r>
        <w:br/>
      </w:r>
      <w:r>
        <w:rPr>
          <w:rFonts w:ascii="Courier New" w:hAnsi="Courier New"/>
          <w:sz w:val="16"/>
        </w:rPr>
        <w:t xml:space="preserve">    +-- Prefill / Decode scheduling</w:t>
      </w:r>
      <w:r>
        <w:br/>
      </w:r>
      <w:r>
        <w:rPr>
          <w:rFonts w:ascii="Courier New" w:hAnsi="Courier New"/>
          <w:sz w:val="16"/>
        </w:rPr>
        <w:t xml:space="preserve">    +-- Continuous batching</w:t>
      </w:r>
      <w:r>
        <w:br/>
      </w:r>
      <w:r>
        <w:rPr>
          <w:rFonts w:ascii="Courier New" w:hAnsi="Courier New"/>
          <w:sz w:val="16"/>
        </w:rPr>
        <w:t xml:space="preserve">    +-- Paged KV cache</w:t>
      </w:r>
      <w:r>
        <w:br/>
      </w:r>
      <w:r>
        <w:rPr>
          <w:rFonts w:ascii="Courier New" w:hAnsi="Courier New"/>
          <w:sz w:val="16"/>
        </w:rPr>
        <w:t xml:space="preserve">    +-- Prefix caching</w:t>
      </w:r>
      <w:r>
        <w:br/>
      </w:r>
      <w:r>
        <w:rPr>
          <w:rFonts w:ascii="Courier New" w:hAnsi="Courier New"/>
          <w:sz w:val="16"/>
        </w:rPr>
        <w:t xml:space="preserve">    +-- LoRA execution</w:t>
      </w:r>
      <w:r>
        <w:br/>
      </w:r>
      <w:r>
        <w:rPr>
          <w:rFonts w:ascii="Courier New" w:hAnsi="Courier New"/>
          <w:sz w:val="16"/>
        </w:rPr>
        <w:t xml:space="preserve">    |</w:t>
      </w:r>
      <w:r>
        <w:br/>
      </w:r>
      <w:r>
        <w:rPr>
          <w:rFonts w:ascii="Courier New" w:hAnsi="Courier New"/>
          <w:sz w:val="16"/>
        </w:rPr>
        <w:t xml:space="preserve">    v</w:t>
      </w:r>
      <w:r>
        <w:br/>
      </w:r>
      <w:r>
        <w:rPr>
          <w:rFonts w:ascii="Courier New" w:hAnsi="Courier New"/>
          <w:sz w:val="16"/>
        </w:rPr>
        <w:t>NVIDIA L4 24 GB</w:t>
      </w:r>
    </w:p>
    <w:p>
      <w:r>
        <w:t>The platform is a control plane around vLLM. Do not reimplement the transformer runtime, token scheduler, PagedAttention, KV-cache allocator, continuous batching, or CUDA kernels.</w:t>
      </w:r>
    </w:p>
    <w:p>
      <w:pPr>
        <w:pStyle w:val="Heading1"/>
      </w:pPr>
      <w:r>
        <w:t>10. Recommended Cursor Repository Structure</w:t>
      </w:r>
    </w:p>
    <w:p>
      <w:pPr>
        <w:ind w:left="360" w:right="216"/>
      </w:pPr>
      <w:r>
        <w:rPr>
          <w:rFonts w:ascii="Courier New" w:hAnsi="Courier New"/>
          <w:sz w:val="16"/>
        </w:rPr>
        <w:t>inference-platform/</w:t>
      </w:r>
      <w:r>
        <w:br/>
      </w:r>
      <w:r>
        <w:rPr>
          <w:rFonts w:ascii="Courier New" w:hAnsi="Courier New"/>
          <w:sz w:val="16"/>
        </w:rPr>
        <w:t>├── apps/</w:t>
      </w:r>
      <w:r>
        <w:br/>
      </w:r>
      <w:r>
        <w:rPr>
          <w:rFonts w:ascii="Courier New" w:hAnsi="Courier New"/>
          <w:sz w:val="16"/>
        </w:rPr>
        <w:t>│   └── api/</w:t>
      </w:r>
      <w:r>
        <w:br/>
      </w:r>
      <w:r>
        <w:rPr>
          <w:rFonts w:ascii="Courier New" w:hAnsi="Courier New"/>
          <w:sz w:val="16"/>
        </w:rPr>
        <w:t>│       ├── main.py</w:t>
      </w:r>
      <w:r>
        <w:br/>
      </w:r>
      <w:r>
        <w:rPr>
          <w:rFonts w:ascii="Courier New" w:hAnsi="Courier New"/>
          <w:sz w:val="16"/>
        </w:rPr>
        <w:t>│       ├── routes/</w:t>
      </w:r>
      <w:r>
        <w:br/>
      </w:r>
      <w:r>
        <w:rPr>
          <w:rFonts w:ascii="Courier New" w:hAnsi="Courier New"/>
          <w:sz w:val="16"/>
        </w:rPr>
        <w:t>│       │   ├── chat.py</w:t>
      </w:r>
      <w:r>
        <w:br/>
      </w:r>
      <w:r>
        <w:rPr>
          <w:rFonts w:ascii="Courier New" w:hAnsi="Courier New"/>
          <w:sz w:val="16"/>
        </w:rPr>
        <w:t>│       │   ├── models.py</w:t>
      </w:r>
      <w:r>
        <w:br/>
      </w:r>
      <w:r>
        <w:rPr>
          <w:rFonts w:ascii="Courier New" w:hAnsi="Courier New"/>
          <w:sz w:val="16"/>
        </w:rPr>
        <w:t>│       │   ├── adapters.py</w:t>
      </w:r>
      <w:r>
        <w:br/>
      </w:r>
      <w:r>
        <w:rPr>
          <w:rFonts w:ascii="Courier New" w:hAnsi="Courier New"/>
          <w:sz w:val="16"/>
        </w:rPr>
        <w:t>│       │   ├── usage.py</w:t>
      </w:r>
      <w:r>
        <w:br/>
      </w:r>
      <w:r>
        <w:rPr>
          <w:rFonts w:ascii="Courier New" w:hAnsi="Courier New"/>
          <w:sz w:val="16"/>
        </w:rPr>
        <w:t>│       │   └── health.py</w:t>
      </w:r>
      <w:r>
        <w:br/>
      </w:r>
      <w:r>
        <w:rPr>
          <w:rFonts w:ascii="Courier New" w:hAnsi="Courier New"/>
          <w:sz w:val="16"/>
        </w:rPr>
        <w:t>│       ├── middleware/</w:t>
      </w:r>
      <w:r>
        <w:br/>
      </w:r>
      <w:r>
        <w:rPr>
          <w:rFonts w:ascii="Courier New" w:hAnsi="Courier New"/>
          <w:sz w:val="16"/>
        </w:rPr>
        <w:t>│       │   ├── auth.py</w:t>
      </w:r>
      <w:r>
        <w:br/>
      </w:r>
      <w:r>
        <w:rPr>
          <w:rFonts w:ascii="Courier New" w:hAnsi="Courier New"/>
          <w:sz w:val="16"/>
        </w:rPr>
        <w:t>│       │   ├── request_id.py</w:t>
      </w:r>
      <w:r>
        <w:br/>
      </w:r>
      <w:r>
        <w:rPr>
          <w:rFonts w:ascii="Courier New" w:hAnsi="Courier New"/>
          <w:sz w:val="16"/>
        </w:rPr>
        <w:t>│       │   └── telemetry.py</w:t>
      </w:r>
      <w:r>
        <w:br/>
      </w:r>
      <w:r>
        <w:rPr>
          <w:rFonts w:ascii="Courier New" w:hAnsi="Courier New"/>
          <w:sz w:val="16"/>
        </w:rPr>
        <w:t>│       └── schemas/</w:t>
      </w:r>
      <w:r>
        <w:br/>
      </w:r>
      <w:r>
        <w:rPr>
          <w:rFonts w:ascii="Courier New" w:hAnsi="Courier New"/>
          <w:sz w:val="16"/>
        </w:rPr>
        <w:t>├── services/</w:t>
      </w:r>
      <w:r>
        <w:br/>
      </w:r>
      <w:r>
        <w:rPr>
          <w:rFonts w:ascii="Courier New" w:hAnsi="Courier New"/>
          <w:sz w:val="16"/>
        </w:rPr>
        <w:t>│   ├── auth/</w:t>
      </w:r>
      <w:r>
        <w:br/>
      </w:r>
      <w:r>
        <w:rPr>
          <w:rFonts w:ascii="Courier New" w:hAnsi="Courier New"/>
          <w:sz w:val="16"/>
        </w:rPr>
        <w:t>│   ├── routing/</w:t>
      </w:r>
      <w:r>
        <w:br/>
      </w:r>
      <w:r>
        <w:rPr>
          <w:rFonts w:ascii="Courier New" w:hAnsi="Courier New"/>
          <w:sz w:val="16"/>
        </w:rPr>
        <w:t>│   ├── inference/</w:t>
      </w:r>
      <w:r>
        <w:br/>
      </w:r>
      <w:r>
        <w:rPr>
          <w:rFonts w:ascii="Courier New" w:hAnsi="Courier New"/>
          <w:sz w:val="16"/>
        </w:rPr>
        <w:t>│   ├── adapters/</w:t>
      </w:r>
      <w:r>
        <w:br/>
      </w:r>
      <w:r>
        <w:rPr>
          <w:rFonts w:ascii="Courier New" w:hAnsi="Courier New"/>
          <w:sz w:val="16"/>
        </w:rPr>
        <w:t>│   ├── usage/</w:t>
      </w:r>
      <w:r>
        <w:br/>
      </w:r>
      <w:r>
        <w:rPr>
          <w:rFonts w:ascii="Courier New" w:hAnsi="Courier New"/>
          <w:sz w:val="16"/>
        </w:rPr>
        <w:t>│   ├── limits/</w:t>
      </w:r>
      <w:r>
        <w:br/>
      </w:r>
      <w:r>
        <w:rPr>
          <w:rFonts w:ascii="Courier New" w:hAnsi="Courier New"/>
          <w:sz w:val="16"/>
        </w:rPr>
        <w:t>│   └── observability/</w:t>
      </w:r>
      <w:r>
        <w:br/>
      </w:r>
      <w:r>
        <w:rPr>
          <w:rFonts w:ascii="Courier New" w:hAnsi="Courier New"/>
          <w:sz w:val="16"/>
        </w:rPr>
        <w:t>├── db/</w:t>
      </w:r>
      <w:r>
        <w:br/>
      </w:r>
      <w:r>
        <w:rPr>
          <w:rFonts w:ascii="Courier New" w:hAnsi="Courier New"/>
          <w:sz w:val="16"/>
        </w:rPr>
        <w:t>│   ├── models/</w:t>
      </w:r>
      <w:r>
        <w:br/>
      </w:r>
      <w:r>
        <w:rPr>
          <w:rFonts w:ascii="Courier New" w:hAnsi="Courier New"/>
          <w:sz w:val="16"/>
        </w:rPr>
        <w:t>│   └── migrations/</w:t>
      </w:r>
      <w:r>
        <w:br/>
      </w:r>
      <w:r>
        <w:rPr>
          <w:rFonts w:ascii="Courier New" w:hAnsi="Courier New"/>
          <w:sz w:val="16"/>
        </w:rPr>
        <w:t>├── infra/</w:t>
      </w:r>
      <w:r>
        <w:br/>
      </w:r>
      <w:r>
        <w:rPr>
          <w:rFonts w:ascii="Courier New" w:hAnsi="Courier New"/>
          <w:sz w:val="16"/>
        </w:rPr>
        <w:t>│   ├── docker/</w:t>
      </w:r>
      <w:r>
        <w:br/>
      </w:r>
      <w:r>
        <w:rPr>
          <w:rFonts w:ascii="Courier New" w:hAnsi="Courier New"/>
          <w:sz w:val="16"/>
        </w:rPr>
        <w:t>│   ├── prometheus/</w:t>
      </w:r>
      <w:r>
        <w:br/>
      </w:r>
      <w:r>
        <w:rPr>
          <w:rFonts w:ascii="Courier New" w:hAnsi="Courier New"/>
          <w:sz w:val="16"/>
        </w:rPr>
        <w:t>│   └── grafana/</w:t>
      </w:r>
      <w:r>
        <w:br/>
      </w:r>
      <w:r>
        <w:rPr>
          <w:rFonts w:ascii="Courier New" w:hAnsi="Courier New"/>
          <w:sz w:val="16"/>
        </w:rPr>
        <w:t>├── tests/</w:t>
      </w:r>
      <w:r>
        <w:br/>
      </w:r>
      <w:r>
        <w:rPr>
          <w:rFonts w:ascii="Courier New" w:hAnsi="Courier New"/>
          <w:sz w:val="16"/>
        </w:rPr>
        <w:t>│   ├── unit/</w:t>
      </w:r>
      <w:r>
        <w:br/>
      </w:r>
      <w:r>
        <w:rPr>
          <w:rFonts w:ascii="Courier New" w:hAnsi="Courier New"/>
          <w:sz w:val="16"/>
        </w:rPr>
        <w:t>│   ├── integration/</w:t>
      </w:r>
      <w:r>
        <w:br/>
      </w:r>
      <w:r>
        <w:rPr>
          <w:rFonts w:ascii="Courier New" w:hAnsi="Courier New"/>
          <w:sz w:val="16"/>
        </w:rPr>
        <w:t>│   └── load/</w:t>
      </w:r>
      <w:r>
        <w:br/>
      </w:r>
      <w:r>
        <w:rPr>
          <w:rFonts w:ascii="Courier New" w:hAnsi="Courier New"/>
          <w:sz w:val="16"/>
        </w:rPr>
        <w:t>├── scripts/</w:t>
      </w:r>
      <w:r>
        <w:br/>
      </w:r>
      <w:r>
        <w:rPr>
          <w:rFonts w:ascii="Courier New" w:hAnsi="Courier New"/>
          <w:sz w:val="16"/>
        </w:rPr>
        <w:t>│   ├── benchmark/</w:t>
      </w:r>
      <w:r>
        <w:br/>
      </w:r>
      <w:r>
        <w:rPr>
          <w:rFonts w:ascii="Courier New" w:hAnsi="Courier New"/>
          <w:sz w:val="16"/>
        </w:rPr>
        <w:t>│   └── adapters/</w:t>
      </w:r>
      <w:r>
        <w:br/>
      </w:r>
      <w:r>
        <w:rPr>
          <w:rFonts w:ascii="Courier New" w:hAnsi="Courier New"/>
          <w:sz w:val="16"/>
        </w:rPr>
        <w:t>├── docs/</w:t>
      </w:r>
      <w:r>
        <w:br/>
      </w:r>
      <w:r>
        <w:rPr>
          <w:rFonts w:ascii="Courier New" w:hAnsi="Courier New"/>
          <w:sz w:val="16"/>
        </w:rPr>
        <w:t>└── .env.example</w:t>
      </w:r>
    </w:p>
    <w:p>
      <w:pPr>
        <w:pStyle w:val="Heading1"/>
      </w:pPr>
      <w:r>
        <w:t>11. V1 Implementation Milestones in Cursor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7"/>
              </w:rPr>
              <w:t>Milestone</w:t>
            </w:r>
          </w:p>
        </w:tc>
        <w:tc>
          <w:tcPr>
            <w:tcW w:type="dxa" w:w="3389"/>
            <w:vAlign w:val="center"/>
          </w:tcPr>
          <w:p>
            <w:r>
              <w:rPr>
                <w:b/>
                <w:sz w:val="17"/>
              </w:rPr>
              <w:t>Implementation</w:t>
            </w:r>
          </w:p>
        </w:tc>
        <w:tc>
          <w:tcPr>
            <w:tcW w:type="dxa" w:w="3389"/>
            <w:vAlign w:val="center"/>
          </w:tcPr>
          <w:p>
            <w:r>
              <w:rPr>
                <w:b/>
                <w:sz w:val="17"/>
              </w:rPr>
              <w:t>Exit Criterion</w:t>
            </w:r>
          </w:p>
        </w:tc>
      </w:tr>
      <w:tr>
        <w:tc>
          <w:tcPr>
            <w:tcW w:type="dxa" w:w="3389"/>
            <w:vAlign w:val="center"/>
          </w:tcPr>
          <w:p>
            <w:r>
              <w:rPr>
                <w:sz w:val="16"/>
              </w:rPr>
              <w:t>M1 - Raw runtime</w:t>
            </w:r>
          </w:p>
        </w:tc>
        <w:tc>
          <w:tcPr>
            <w:tcW w:type="dxa" w:w="3389"/>
            <w:vAlign w:val="center"/>
          </w:tcPr>
          <w:p>
            <w:r>
              <w:rPr>
                <w:sz w:val="16"/>
              </w:rPr>
              <w:t>Qwen3-4B under vLLM on L4</w:t>
            </w:r>
          </w:p>
        </w:tc>
        <w:tc>
          <w:tcPr>
            <w:tcW w:type="dxa" w:w="3389"/>
            <w:vAlign w:val="center"/>
          </w:tcPr>
          <w:p>
            <w:r>
              <w:rPr>
                <w:sz w:val="16"/>
              </w:rPr>
              <w:t>Stable local chat completion and streaming</w:t>
            </w:r>
          </w:p>
        </w:tc>
      </w:tr>
      <w:tr>
        <w:tc>
          <w:tcPr>
            <w:tcW w:type="dxa" w:w="3389"/>
            <w:vAlign w:val="center"/>
          </w:tcPr>
          <w:p>
            <w:r>
              <w:rPr>
                <w:sz w:val="16"/>
              </w:rPr>
              <w:t>M2 - Gateway</w:t>
            </w:r>
          </w:p>
        </w:tc>
        <w:tc>
          <w:tcPr>
            <w:tcW w:type="dxa" w:w="3389"/>
            <w:vAlign w:val="center"/>
          </w:tcPr>
          <w:p>
            <w:r>
              <w:rPr>
                <w:sz w:val="16"/>
              </w:rPr>
              <w:t>FastAPI proxy over vLLM</w:t>
            </w:r>
          </w:p>
        </w:tc>
        <w:tc>
          <w:tcPr>
            <w:tcW w:type="dxa" w:w="3389"/>
            <w:vAlign w:val="center"/>
          </w:tcPr>
          <w:p>
            <w:r>
              <w:rPr>
                <w:sz w:val="16"/>
              </w:rPr>
              <w:t>Client no longer accesses vLLM directly</w:t>
            </w:r>
          </w:p>
        </w:tc>
      </w:tr>
      <w:tr>
        <w:tc>
          <w:tcPr>
            <w:tcW w:type="dxa" w:w="3389"/>
            <w:vAlign w:val="center"/>
          </w:tcPr>
          <w:p>
            <w:r>
              <w:rPr>
                <w:sz w:val="16"/>
              </w:rPr>
              <w:t>M3 - Identity</w:t>
            </w:r>
          </w:p>
        </w:tc>
        <w:tc>
          <w:tcPr>
            <w:tcW w:type="dxa" w:w="3389"/>
            <w:vAlign w:val="center"/>
          </w:tcPr>
          <w:p>
            <w:r>
              <w:rPr>
                <w:sz w:val="16"/>
              </w:rPr>
              <w:t>Organizations + API keys</w:t>
            </w:r>
          </w:p>
        </w:tc>
        <w:tc>
          <w:tcPr>
            <w:tcW w:type="dxa" w:w="3389"/>
            <w:vAlign w:val="center"/>
          </w:tcPr>
          <w:p>
            <w:r>
              <w:rPr>
                <w:sz w:val="16"/>
              </w:rPr>
              <w:t>Authenticated tenant-scoped request</w:t>
            </w:r>
          </w:p>
        </w:tc>
      </w:tr>
      <w:tr>
        <w:tc>
          <w:tcPr>
            <w:tcW w:type="dxa" w:w="3389"/>
            <w:vAlign w:val="center"/>
          </w:tcPr>
          <w:p>
            <w:r>
              <w:rPr>
                <w:sz w:val="16"/>
              </w:rPr>
              <w:t>M4 - Usage</w:t>
            </w:r>
          </w:p>
        </w:tc>
        <w:tc>
          <w:tcPr>
            <w:tcW w:type="dxa" w:w="3389"/>
            <w:vAlign w:val="center"/>
          </w:tcPr>
          <w:p>
            <w:r>
              <w:rPr>
                <w:sz w:val="16"/>
              </w:rPr>
              <w:t>Request/tokens/latency persistence</w:t>
            </w:r>
          </w:p>
        </w:tc>
        <w:tc>
          <w:tcPr>
            <w:tcW w:type="dxa" w:w="3389"/>
            <w:vAlign w:val="center"/>
          </w:tcPr>
          <w:p>
            <w:r>
              <w:rPr>
                <w:sz w:val="16"/>
              </w:rPr>
              <w:t>Every request creates a durable usage event</w:t>
            </w:r>
          </w:p>
        </w:tc>
      </w:tr>
      <w:tr>
        <w:tc>
          <w:tcPr>
            <w:tcW w:type="dxa" w:w="3389"/>
            <w:vAlign w:val="center"/>
          </w:tcPr>
          <w:p>
            <w:r>
              <w:rPr>
                <w:sz w:val="16"/>
              </w:rPr>
              <w:t>M5 - Aliases</w:t>
            </w:r>
          </w:p>
        </w:tc>
        <w:tc>
          <w:tcPr>
            <w:tcW w:type="dxa" w:w="3389"/>
            <w:vAlign w:val="center"/>
          </w:tcPr>
          <w:p>
            <w:r>
              <w:rPr>
                <w:sz w:val="16"/>
              </w:rPr>
              <w:t>Logical model alias -&gt; deployment/adapter</w:t>
            </w:r>
          </w:p>
        </w:tc>
        <w:tc>
          <w:tcPr>
            <w:tcW w:type="dxa" w:w="3389"/>
            <w:vAlign w:val="center"/>
          </w:tcPr>
          <w:p>
            <w:r>
              <w:rPr>
                <w:sz w:val="16"/>
              </w:rPr>
              <w:t>Client never needs internal HF/runtime identity</w:t>
            </w:r>
          </w:p>
        </w:tc>
      </w:tr>
      <w:tr>
        <w:tc>
          <w:tcPr>
            <w:tcW w:type="dxa" w:w="3389"/>
            <w:vAlign w:val="center"/>
          </w:tcPr>
          <w:p>
            <w:r>
              <w:rPr>
                <w:sz w:val="16"/>
              </w:rPr>
              <w:t>M6 - LoRA</w:t>
            </w:r>
          </w:p>
        </w:tc>
        <w:tc>
          <w:tcPr>
            <w:tcW w:type="dxa" w:w="3389"/>
            <w:vAlign w:val="center"/>
          </w:tcPr>
          <w:p>
            <w:r>
              <w:rPr>
                <w:sz w:val="16"/>
              </w:rPr>
              <w:t>Adapter registry + routing</w:t>
            </w:r>
          </w:p>
        </w:tc>
        <w:tc>
          <w:tcPr>
            <w:tcW w:type="dxa" w:w="3389"/>
            <w:vAlign w:val="center"/>
          </w:tcPr>
          <w:p>
            <w:r>
              <w:rPr>
                <w:sz w:val="16"/>
              </w:rPr>
              <w:t>Base + multiple logical LoRA aliases work</w:t>
            </w:r>
          </w:p>
        </w:tc>
      </w:tr>
      <w:tr>
        <w:tc>
          <w:tcPr>
            <w:tcW w:type="dxa" w:w="3389"/>
            <w:vAlign w:val="center"/>
          </w:tcPr>
          <w:p>
            <w:r>
              <w:rPr>
                <w:sz w:val="16"/>
              </w:rPr>
              <w:t>M7 - Limits</w:t>
            </w:r>
          </w:p>
        </w:tc>
        <w:tc>
          <w:tcPr>
            <w:tcW w:type="dxa" w:w="3389"/>
            <w:vAlign w:val="center"/>
          </w:tcPr>
          <w:p>
            <w:r>
              <w:rPr>
                <w:sz w:val="16"/>
              </w:rPr>
              <w:t>RPM/concurrency/token/queue controls</w:t>
            </w:r>
          </w:p>
        </w:tc>
        <w:tc>
          <w:tcPr>
            <w:tcW w:type="dxa" w:w="3389"/>
            <w:vAlign w:val="center"/>
          </w:tcPr>
          <w:p>
            <w:r>
              <w:rPr>
                <w:sz w:val="16"/>
              </w:rPr>
              <w:t>Overload fails predictably</w:t>
            </w:r>
          </w:p>
        </w:tc>
      </w:tr>
      <w:tr>
        <w:tc>
          <w:tcPr>
            <w:tcW w:type="dxa" w:w="3389"/>
            <w:vAlign w:val="center"/>
          </w:tcPr>
          <w:p>
            <w:r>
              <w:rPr>
                <w:sz w:val="16"/>
              </w:rPr>
              <w:t>M8 - Observability</w:t>
            </w:r>
          </w:p>
        </w:tc>
        <w:tc>
          <w:tcPr>
            <w:tcW w:type="dxa" w:w="3389"/>
            <w:vAlign w:val="center"/>
          </w:tcPr>
          <w:p>
            <w:r>
              <w:rPr>
                <w:sz w:val="16"/>
              </w:rPr>
              <w:t>Prometheus/Grafana/OpenTelemetry</w:t>
            </w:r>
          </w:p>
        </w:tc>
        <w:tc>
          <w:tcPr>
            <w:tcW w:type="dxa" w:w="3389"/>
            <w:vAlign w:val="center"/>
          </w:tcPr>
          <w:p>
            <w:r>
              <w:rPr>
                <w:sz w:val="16"/>
              </w:rPr>
              <w:t>TTFT/P95/GPU/KV/queue are visible</w:t>
            </w:r>
          </w:p>
        </w:tc>
      </w:tr>
      <w:tr>
        <w:tc>
          <w:tcPr>
            <w:tcW w:type="dxa" w:w="3389"/>
            <w:vAlign w:val="center"/>
          </w:tcPr>
          <w:p>
            <w:r>
              <w:rPr>
                <w:sz w:val="16"/>
              </w:rPr>
              <w:t>M9 - Load test</w:t>
            </w:r>
          </w:p>
        </w:tc>
        <w:tc>
          <w:tcPr>
            <w:tcW w:type="dxa" w:w="3389"/>
            <w:vAlign w:val="center"/>
          </w:tcPr>
          <w:p>
            <w:r>
              <w:rPr>
                <w:sz w:val="16"/>
              </w:rPr>
              <w:t>4K/8K + concurrency suite</w:t>
            </w:r>
          </w:p>
        </w:tc>
        <w:tc>
          <w:tcPr>
            <w:tcW w:type="dxa" w:w="3389"/>
            <w:vAlign w:val="center"/>
          </w:tcPr>
          <w:p>
            <w:r>
              <w:rPr>
                <w:sz w:val="16"/>
              </w:rPr>
              <w:t>Safe operating envelope documented</w:t>
            </w:r>
          </w:p>
        </w:tc>
      </w:tr>
    </w:tbl>
    <w:p>
      <w:pPr>
        <w:pStyle w:val="Heading1"/>
      </w:pPr>
      <w:r>
        <w:t>12. Minimum FastAPI API Surface</w:t>
      </w:r>
    </w:p>
    <w:p>
      <w:pPr>
        <w:ind w:left="360" w:right="216"/>
      </w:pPr>
      <w:r>
        <w:rPr>
          <w:rFonts w:ascii="Courier New" w:hAnsi="Courier New"/>
          <w:sz w:val="16"/>
        </w:rPr>
        <w:t>POST /v1/chat/completions</w:t>
      </w:r>
      <w:r>
        <w:br/>
      </w:r>
      <w:r>
        <w:rPr>
          <w:rFonts w:ascii="Courier New" w:hAnsi="Courier New"/>
          <w:sz w:val="16"/>
        </w:rPr>
        <w:t>GET  /v1/models</w:t>
      </w:r>
      <w:r>
        <w:br/>
      </w:r>
      <w:r>
        <w:rPr>
          <w:rFonts w:ascii="Courier New" w:hAnsi="Courier New"/>
          <w:sz w:val="16"/>
        </w:rPr>
      </w:r>
      <w:r>
        <w:br/>
      </w:r>
      <w:r>
        <w:rPr>
          <w:rFonts w:ascii="Courier New" w:hAnsi="Courier New"/>
          <w:sz w:val="16"/>
        </w:rPr>
        <w:t>POST /v1/api-keys</w:t>
      </w:r>
      <w:r>
        <w:br/>
      </w:r>
      <w:r>
        <w:rPr>
          <w:rFonts w:ascii="Courier New" w:hAnsi="Courier New"/>
          <w:sz w:val="16"/>
        </w:rPr>
        <w:t>GET  /v1/usage</w:t>
      </w:r>
      <w:r>
        <w:br/>
      </w:r>
      <w:r>
        <w:rPr>
          <w:rFonts w:ascii="Courier New" w:hAnsi="Courier New"/>
          <w:sz w:val="16"/>
        </w:rPr>
      </w:r>
      <w:r>
        <w:br/>
      </w:r>
      <w:r>
        <w:rPr>
          <w:rFonts w:ascii="Courier New" w:hAnsi="Courier New"/>
          <w:sz w:val="16"/>
        </w:rPr>
        <w:t>POST /v1/adapters</w:t>
      </w:r>
      <w:r>
        <w:br/>
      </w:r>
      <w:r>
        <w:rPr>
          <w:rFonts w:ascii="Courier New" w:hAnsi="Courier New"/>
          <w:sz w:val="16"/>
        </w:rPr>
        <w:t>GET  /v1/adapters</w:t>
      </w:r>
      <w:r>
        <w:br/>
      </w:r>
      <w:r>
        <w:rPr>
          <w:rFonts w:ascii="Courier New" w:hAnsi="Courier New"/>
          <w:sz w:val="16"/>
        </w:rPr>
        <w:t>GET  /v1/adapters/{id}</w:t>
      </w:r>
      <w:r>
        <w:br/>
      </w:r>
      <w:r>
        <w:rPr>
          <w:rFonts w:ascii="Courier New" w:hAnsi="Courier New"/>
          <w:sz w:val="16"/>
        </w:rPr>
        <w:t>DELETE /v1/adapters/{id}</w:t>
      </w:r>
      <w:r>
        <w:br/>
      </w:r>
      <w:r>
        <w:rPr>
          <w:rFonts w:ascii="Courier New" w:hAnsi="Courier New"/>
          <w:sz w:val="16"/>
        </w:rPr>
      </w:r>
      <w:r>
        <w:br/>
      </w:r>
      <w:r>
        <w:rPr>
          <w:rFonts w:ascii="Courier New" w:hAnsi="Courier New"/>
          <w:sz w:val="16"/>
        </w:rPr>
        <w:t>GET /v1/deployments</w:t>
      </w:r>
      <w:r>
        <w:br/>
      </w:r>
      <w:r>
        <w:rPr>
          <w:rFonts w:ascii="Courier New" w:hAnsi="Courier New"/>
          <w:sz w:val="16"/>
        </w:rPr>
        <w:t>GET /v1/workers</w:t>
      </w:r>
      <w:r>
        <w:br/>
      </w:r>
      <w:r>
        <w:rPr>
          <w:rFonts w:ascii="Courier New" w:hAnsi="Courier New"/>
          <w:sz w:val="16"/>
        </w:rPr>
        <w:t>GET /health</w:t>
      </w:r>
      <w:r>
        <w:br/>
      </w:r>
      <w:r>
        <w:rPr>
          <w:rFonts w:ascii="Courier New" w:hAnsi="Courier New"/>
          <w:sz w:val="16"/>
        </w:rPr>
        <w:t>GET /metrics</w:t>
      </w:r>
    </w:p>
    <w:p>
      <w:r>
        <w:t>External inference behavior should remain OpenAI-compatible where practical. Internal vLLM-specific details should be hidden behind the platform API.</w:t>
      </w:r>
    </w:p>
    <w:p>
      <w:pPr>
        <w:pStyle w:val="Heading1"/>
      </w:pPr>
      <w:r>
        <w:t>13. Suggested Data Model for the POC</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7"/>
              </w:rPr>
              <w:t>Entity</w:t>
            </w:r>
          </w:p>
        </w:tc>
        <w:tc>
          <w:tcPr>
            <w:tcW w:type="dxa" w:w="5083"/>
            <w:vAlign w:val="center"/>
          </w:tcPr>
          <w:p>
            <w:r>
              <w:rPr>
                <w:b/>
                <w:sz w:val="17"/>
              </w:rPr>
              <w:t>Minimum Fields</w:t>
            </w:r>
          </w:p>
        </w:tc>
      </w:tr>
      <w:tr>
        <w:tc>
          <w:tcPr>
            <w:tcW w:type="dxa" w:w="5083"/>
            <w:vAlign w:val="center"/>
          </w:tcPr>
          <w:p>
            <w:r>
              <w:rPr>
                <w:sz w:val="16"/>
              </w:rPr>
              <w:t>organizations</w:t>
            </w:r>
          </w:p>
        </w:tc>
        <w:tc>
          <w:tcPr>
            <w:tcW w:type="dxa" w:w="5083"/>
            <w:vAlign w:val="center"/>
          </w:tcPr>
          <w:p>
            <w:r>
              <w:rPr>
                <w:sz w:val="16"/>
              </w:rPr>
              <w:t>id, name, status, created_at</w:t>
            </w:r>
          </w:p>
        </w:tc>
      </w:tr>
      <w:tr>
        <w:tc>
          <w:tcPr>
            <w:tcW w:type="dxa" w:w="5083"/>
            <w:vAlign w:val="center"/>
          </w:tcPr>
          <w:p>
            <w:r>
              <w:rPr>
                <w:sz w:val="16"/>
              </w:rPr>
              <w:t>api_keys</w:t>
            </w:r>
          </w:p>
        </w:tc>
        <w:tc>
          <w:tcPr>
            <w:tcW w:type="dxa" w:w="5083"/>
            <w:vAlign w:val="center"/>
          </w:tcPr>
          <w:p>
            <w:r>
              <w:rPr>
                <w:sz w:val="16"/>
              </w:rPr>
              <w:t>id, organization_id, key_hash, name, status, expires_at, created_at</w:t>
            </w:r>
          </w:p>
        </w:tc>
      </w:tr>
      <w:tr>
        <w:tc>
          <w:tcPr>
            <w:tcW w:type="dxa" w:w="5083"/>
            <w:vAlign w:val="center"/>
          </w:tcPr>
          <w:p>
            <w:r>
              <w:rPr>
                <w:sz w:val="16"/>
              </w:rPr>
              <w:t>models</w:t>
            </w:r>
          </w:p>
        </w:tc>
        <w:tc>
          <w:tcPr>
            <w:tcW w:type="dxa" w:w="5083"/>
            <w:vAlign w:val="center"/>
          </w:tcPr>
          <w:p>
            <w:r>
              <w:rPr>
                <w:sz w:val="16"/>
              </w:rPr>
              <w:t>id, name, hf_repo, dtype, context_length, status</w:t>
            </w:r>
          </w:p>
        </w:tc>
      </w:tr>
      <w:tr>
        <w:tc>
          <w:tcPr>
            <w:tcW w:type="dxa" w:w="5083"/>
            <w:vAlign w:val="center"/>
          </w:tcPr>
          <w:p>
            <w:r>
              <w:rPr>
                <w:sz w:val="16"/>
              </w:rPr>
              <w:t>deployments</w:t>
            </w:r>
          </w:p>
        </w:tc>
        <w:tc>
          <w:tcPr>
            <w:tcW w:type="dxa" w:w="5083"/>
            <w:vAlign w:val="center"/>
          </w:tcPr>
          <w:p>
            <w:r>
              <w:rPr>
                <w:sz w:val="16"/>
              </w:rPr>
              <w:t>id, model_id, worker_id, endpoint, config_json, status, started_at</w:t>
            </w:r>
          </w:p>
        </w:tc>
      </w:tr>
      <w:tr>
        <w:tc>
          <w:tcPr>
            <w:tcW w:type="dxa" w:w="5083"/>
            <w:vAlign w:val="center"/>
          </w:tcPr>
          <w:p>
            <w:r>
              <w:rPr>
                <w:sz w:val="16"/>
              </w:rPr>
              <w:t>adapters</w:t>
            </w:r>
          </w:p>
        </w:tc>
        <w:tc>
          <w:tcPr>
            <w:tcW w:type="dxa" w:w="5083"/>
            <w:vAlign w:val="center"/>
          </w:tcPr>
          <w:p>
            <w:r>
              <w:rPr>
                <w:sz w:val="16"/>
              </w:rPr>
              <w:t>id, organization_id, base_model_id, name, storage_uri, rank, status, created_at</w:t>
            </w:r>
          </w:p>
        </w:tc>
      </w:tr>
      <w:tr>
        <w:tc>
          <w:tcPr>
            <w:tcW w:type="dxa" w:w="5083"/>
            <w:vAlign w:val="center"/>
          </w:tcPr>
          <w:p>
            <w:r>
              <w:rPr>
                <w:sz w:val="16"/>
              </w:rPr>
              <w:t>requests</w:t>
            </w:r>
          </w:p>
        </w:tc>
        <w:tc>
          <w:tcPr>
            <w:tcW w:type="dxa" w:w="5083"/>
            <w:vAlign w:val="center"/>
          </w:tcPr>
          <w:p>
            <w:r>
              <w:rPr>
                <w:sz w:val="16"/>
              </w:rPr>
              <w:t>id, organization_id, api_key_id, deployment_id, adapter_id, status, timestamps</w:t>
            </w:r>
          </w:p>
        </w:tc>
      </w:tr>
      <w:tr>
        <w:tc>
          <w:tcPr>
            <w:tcW w:type="dxa" w:w="5083"/>
            <w:vAlign w:val="center"/>
          </w:tcPr>
          <w:p>
            <w:r>
              <w:rPr>
                <w:sz w:val="16"/>
              </w:rPr>
              <w:t>usage_metrics</w:t>
            </w:r>
          </w:p>
        </w:tc>
        <w:tc>
          <w:tcPr>
            <w:tcW w:type="dxa" w:w="5083"/>
            <w:vAlign w:val="center"/>
          </w:tcPr>
          <w:p>
            <w:r>
              <w:rPr>
                <w:sz w:val="16"/>
              </w:rPr>
              <w:t>request_id, prompt_tokens, completion_tokens, queue_ms, ttft_ms, decode_ms, total_ms, tokens_per_sec</w:t>
            </w:r>
          </w:p>
        </w:tc>
      </w:tr>
      <w:tr>
        <w:tc>
          <w:tcPr>
            <w:tcW w:type="dxa" w:w="5083"/>
            <w:vAlign w:val="center"/>
          </w:tcPr>
          <w:p>
            <w:r>
              <w:rPr>
                <w:sz w:val="16"/>
              </w:rPr>
              <w:t>workers</w:t>
            </w:r>
          </w:p>
        </w:tc>
        <w:tc>
          <w:tcPr>
            <w:tcW w:type="dxa" w:w="5083"/>
            <w:vAlign w:val="center"/>
          </w:tcPr>
          <w:p>
            <w:r>
              <w:rPr>
                <w:sz w:val="16"/>
              </w:rPr>
              <w:t>id, hostname, gpu_type, gpu_vram_mb, endpoint, status, last_heartbeat</w:t>
            </w:r>
          </w:p>
        </w:tc>
      </w:tr>
    </w:tbl>
    <w:p>
      <w:pPr>
        <w:pStyle w:val="Heading1"/>
      </w:pPr>
      <w:r>
        <w:t>14. Runtime Request Lifecycle</w:t>
      </w:r>
    </w:p>
    <w:p>
      <w:pPr>
        <w:pStyle w:val="ListNumber"/>
      </w:pPr>
      <w:r>
        <w:t>Client sends POST /v1/chat/completions with a platform API key.</w:t>
      </w:r>
    </w:p>
    <w:p>
      <w:pPr>
        <w:pStyle w:val="ListNumber"/>
      </w:pPr>
      <w:r>
        <w:t>FastAPI assigns a globally unique request_id.</w:t>
      </w:r>
    </w:p>
    <w:p>
      <w:pPr>
        <w:pStyle w:val="ListNumber"/>
      </w:pPr>
      <w:r>
        <w:t>Gateway hashes/validates the API key and resolves the tenant.</w:t>
      </w:r>
    </w:p>
    <w:p>
      <w:pPr>
        <w:pStyle w:val="ListNumber"/>
      </w:pPr>
      <w:r>
        <w:t>Rate-limit, concurrency, input-token, output-token, and quota policies are checked.</w:t>
      </w:r>
    </w:p>
    <w:p>
      <w:pPr>
        <w:pStyle w:val="ListNumber"/>
      </w:pPr>
      <w:r>
        <w:t>Logical model alias resolves to Qwen3-4B and optionally a tenant-owned LoRA adapter.</w:t>
      </w:r>
    </w:p>
    <w:p>
      <w:pPr>
        <w:pStyle w:val="ListNumber"/>
      </w:pPr>
      <w:r>
        <w:t>Router selects the healthy V1 deployment (normally exactly one worker).</w:t>
      </w:r>
    </w:p>
    <w:p>
      <w:pPr>
        <w:pStyle w:val="ListNumber"/>
      </w:pPr>
      <w:r>
        <w:t>Gateway forwards the normalized request to vLLM.</w:t>
      </w:r>
    </w:p>
    <w:p>
      <w:pPr>
        <w:pStyle w:val="ListNumber"/>
      </w:pPr>
      <w:r>
        <w:t>vLLM tokenizes the prompt, runs prefill, allocates KV-cache blocks, continuously batches work, decodes, samples, and streams tokens.</w:t>
      </w:r>
    </w:p>
    <w:p>
      <w:pPr>
        <w:pStyle w:val="ListNumber"/>
      </w:pPr>
      <w:r>
        <w:t>Gateway proxies the stream while recording timing information.</w:t>
      </w:r>
    </w:p>
    <w:p>
      <w:pPr>
        <w:pStyle w:val="ListNumber"/>
      </w:pPr>
      <w:r>
        <w:t>At completion, prompt/completion tokens and latency metrics are persisted.</w:t>
      </w:r>
    </w:p>
    <w:p>
      <w:pPr>
        <w:pStyle w:val="ListNumber"/>
      </w:pPr>
      <w:r>
        <w:t>Prometheus/OpenTelemetry metrics are emitted for dashboards.</w:t>
      </w:r>
    </w:p>
    <w:p>
      <w:pPr>
        <w:pStyle w:val="Heading1"/>
      </w:pPr>
      <w:r>
        <w:t>15. What vLLM Owns vs What the Product Owns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7"/>
              </w:rPr>
              <w:t>vLLM / Data Plane</w:t>
            </w:r>
          </w:p>
        </w:tc>
        <w:tc>
          <w:tcPr>
            <w:tcW w:type="dxa" w:w="5083"/>
            <w:vAlign w:val="center"/>
          </w:tcPr>
          <w:p>
            <w:r>
              <w:rPr>
                <w:b/>
                <w:sz w:val="17"/>
              </w:rPr>
              <w:t>Our V1 Product / Control Plane</w:t>
            </w:r>
          </w:p>
        </w:tc>
      </w:tr>
      <w:tr>
        <w:tc>
          <w:tcPr>
            <w:tcW w:type="dxa" w:w="5083"/>
            <w:vAlign w:val="center"/>
          </w:tcPr>
          <w:p>
            <w:r>
              <w:rPr>
                <w:sz w:val="16"/>
              </w:rPr>
              <w:t>Model loading</w:t>
            </w:r>
          </w:p>
        </w:tc>
        <w:tc>
          <w:tcPr>
            <w:tcW w:type="dxa" w:w="5083"/>
            <w:vAlign w:val="center"/>
          </w:tcPr>
          <w:p>
            <w:r>
              <w:rPr>
                <w:sz w:val="16"/>
              </w:rPr>
              <w:t>Organizations / tenants</w:t>
            </w:r>
          </w:p>
        </w:tc>
      </w:tr>
      <w:tr>
        <w:tc>
          <w:tcPr>
            <w:tcW w:type="dxa" w:w="5083"/>
            <w:vAlign w:val="center"/>
          </w:tcPr>
          <w:p>
            <w:r>
              <w:rPr>
                <w:sz w:val="16"/>
              </w:rPr>
              <w:t>Tokenization/runtime execution</w:t>
            </w:r>
          </w:p>
        </w:tc>
        <w:tc>
          <w:tcPr>
            <w:tcW w:type="dxa" w:w="5083"/>
            <w:vAlign w:val="center"/>
          </w:tcPr>
          <w:p>
            <w:r>
              <w:rPr>
                <w:sz w:val="16"/>
              </w:rPr>
              <w:t>API key lifecycle</w:t>
            </w:r>
          </w:p>
        </w:tc>
      </w:tr>
      <w:tr>
        <w:tc>
          <w:tcPr>
            <w:tcW w:type="dxa" w:w="5083"/>
            <w:vAlign w:val="center"/>
          </w:tcPr>
          <w:p>
            <w:r>
              <w:rPr>
                <w:sz w:val="16"/>
              </w:rPr>
              <w:t>Prefill and decode scheduling</w:t>
            </w:r>
          </w:p>
        </w:tc>
        <w:tc>
          <w:tcPr>
            <w:tcW w:type="dxa" w:w="5083"/>
            <w:vAlign w:val="center"/>
          </w:tcPr>
          <w:p>
            <w:r>
              <w:rPr>
                <w:sz w:val="16"/>
              </w:rPr>
              <w:t>Logical model aliases</w:t>
            </w:r>
          </w:p>
        </w:tc>
      </w:tr>
      <w:tr>
        <w:tc>
          <w:tcPr>
            <w:tcW w:type="dxa" w:w="5083"/>
            <w:vAlign w:val="center"/>
          </w:tcPr>
          <w:p>
            <w:r>
              <w:rPr>
                <w:sz w:val="16"/>
              </w:rPr>
              <w:t>Continuous batching</w:t>
            </w:r>
          </w:p>
        </w:tc>
        <w:tc>
          <w:tcPr>
            <w:tcW w:type="dxa" w:w="5083"/>
            <w:vAlign w:val="center"/>
          </w:tcPr>
          <w:p>
            <w:r>
              <w:rPr>
                <w:sz w:val="16"/>
              </w:rPr>
              <w:t>Request routing</w:t>
            </w:r>
          </w:p>
        </w:tc>
      </w:tr>
      <w:tr>
        <w:tc>
          <w:tcPr>
            <w:tcW w:type="dxa" w:w="5083"/>
            <w:vAlign w:val="center"/>
          </w:tcPr>
          <w:p>
            <w:r>
              <w:rPr>
                <w:sz w:val="16"/>
              </w:rPr>
              <w:t>Paged KV-cache allocation</w:t>
            </w:r>
          </w:p>
        </w:tc>
        <w:tc>
          <w:tcPr>
            <w:tcW w:type="dxa" w:w="5083"/>
            <w:vAlign w:val="center"/>
          </w:tcPr>
          <w:p>
            <w:r>
              <w:rPr>
                <w:sz w:val="16"/>
              </w:rPr>
              <w:t>Quotas and rate limits</w:t>
            </w:r>
          </w:p>
        </w:tc>
      </w:tr>
      <w:tr>
        <w:tc>
          <w:tcPr>
            <w:tcW w:type="dxa" w:w="5083"/>
            <w:vAlign w:val="center"/>
          </w:tcPr>
          <w:p>
            <w:r>
              <w:rPr>
                <w:sz w:val="16"/>
              </w:rPr>
              <w:t>Prefix-cache reuse</w:t>
            </w:r>
          </w:p>
        </w:tc>
        <w:tc>
          <w:tcPr>
            <w:tcW w:type="dxa" w:w="5083"/>
            <w:vAlign w:val="center"/>
          </w:tcPr>
          <w:p>
            <w:r>
              <w:rPr>
                <w:sz w:val="16"/>
              </w:rPr>
              <w:t>Usage metering</w:t>
            </w:r>
          </w:p>
        </w:tc>
      </w:tr>
      <w:tr>
        <w:tc>
          <w:tcPr>
            <w:tcW w:type="dxa" w:w="5083"/>
            <w:vAlign w:val="center"/>
          </w:tcPr>
          <w:p>
            <w:r>
              <w:rPr>
                <w:sz w:val="16"/>
              </w:rPr>
              <w:t>LoRA execution</w:t>
            </w:r>
          </w:p>
        </w:tc>
        <w:tc>
          <w:tcPr>
            <w:tcW w:type="dxa" w:w="5083"/>
            <w:vAlign w:val="center"/>
          </w:tcPr>
          <w:p>
            <w:r>
              <w:rPr>
                <w:sz w:val="16"/>
              </w:rPr>
              <w:t>Adapter registry/ownership</w:t>
            </w:r>
          </w:p>
        </w:tc>
      </w:tr>
      <w:tr>
        <w:tc>
          <w:tcPr>
            <w:tcW w:type="dxa" w:w="5083"/>
            <w:vAlign w:val="center"/>
          </w:tcPr>
          <w:p>
            <w:r>
              <w:rPr>
                <w:sz w:val="16"/>
              </w:rPr>
              <w:t>Sampling and token streaming</w:t>
            </w:r>
          </w:p>
        </w:tc>
        <w:tc>
          <w:tcPr>
            <w:tcW w:type="dxa" w:w="5083"/>
            <w:vAlign w:val="center"/>
          </w:tcPr>
          <w:p>
            <w:r>
              <w:rPr>
                <w:sz w:val="16"/>
              </w:rPr>
              <w:t>Tracing, dashboards, admin</w:t>
            </w:r>
          </w:p>
        </w:tc>
      </w:tr>
    </w:tbl>
    <w:p>
      <w:pPr>
        <w:pStyle w:val="Heading1"/>
      </w:pPr>
      <w:r>
        <w:t>16. Security Rules for the POC</w:t>
      </w:r>
    </w:p>
    <w:p>
      <w:pPr>
        <w:pStyle w:val="ListBullet"/>
      </w:pPr>
      <w:r>
        <w:t>Never persist plaintext API keys after creation; store only a secure hash.</w:t>
      </w:r>
    </w:p>
    <w:p>
      <w:pPr>
        <w:pStyle w:val="ListBullet"/>
      </w:pPr>
      <w:r>
        <w:t>Display the secret only once when a key is created.</w:t>
      </w:r>
    </w:p>
    <w:p>
      <w:pPr>
        <w:pStyle w:val="ListBullet"/>
      </w:pPr>
      <w:r>
        <w:t>Support immediate key revocation.</w:t>
      </w:r>
    </w:p>
    <w:p>
      <w:pPr>
        <w:pStyle w:val="ListBullet"/>
      </w:pPr>
      <w:r>
        <w:t>Tenant A must never resolve or invoke Tenant B's private adapter.</w:t>
      </w:r>
    </w:p>
    <w:p>
      <w:pPr>
        <w:pStyle w:val="ListBullet"/>
      </w:pPr>
      <w:r>
        <w:t>Do not place API secrets in source control.</w:t>
      </w:r>
    </w:p>
    <w:p>
      <w:pPr>
        <w:pStyle w:val="ListBullet"/>
      </w:pPr>
      <w:r>
        <w:t>Use environment variables or a secret store for runtime credentials.</w:t>
      </w:r>
    </w:p>
    <w:p>
      <w:pPr>
        <w:pStyle w:val="ListBullet"/>
      </w:pPr>
      <w:r>
        <w:t>Do not log raw prompts by default.</w:t>
      </w:r>
    </w:p>
    <w:p>
      <w:pPr>
        <w:pStyle w:val="ListBullet"/>
      </w:pPr>
      <w:r>
        <w:t>Do not expose adapter filesystem/storage paths directly to clients.</w:t>
      </w:r>
    </w:p>
    <w:p>
      <w:pPr>
        <w:pStyle w:val="ListBullet"/>
      </w:pPr>
      <w:r>
        <w:t>Validate LoRA compatibility and rank before runtime load.</w:t>
      </w:r>
    </w:p>
    <w:p>
      <w:pPr>
        <w:pStyle w:val="Heading1"/>
      </w:pPr>
      <w:r>
        <w:t>17. Failure and Overload Behavior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7"/>
              </w:rPr>
              <w:t>Failure</w:t>
            </w:r>
          </w:p>
        </w:tc>
        <w:tc>
          <w:tcPr>
            <w:tcW w:type="dxa" w:w="5083"/>
            <w:vAlign w:val="center"/>
          </w:tcPr>
          <w:p>
            <w:r>
              <w:rPr>
                <w:b/>
                <w:sz w:val="17"/>
              </w:rPr>
              <w:t>Expected Behavior</w:t>
            </w:r>
          </w:p>
        </w:tc>
      </w:tr>
      <w:tr>
        <w:tc>
          <w:tcPr>
            <w:tcW w:type="dxa" w:w="5083"/>
            <w:vAlign w:val="center"/>
          </w:tcPr>
          <w:p>
            <w:r>
              <w:rPr>
                <w:sz w:val="16"/>
              </w:rPr>
              <w:t>vLLM not ready</w:t>
            </w:r>
          </w:p>
        </w:tc>
        <w:tc>
          <w:tcPr>
            <w:tcW w:type="dxa" w:w="5083"/>
            <w:vAlign w:val="center"/>
          </w:tcPr>
          <w:p>
            <w:r>
              <w:rPr>
                <w:sz w:val="16"/>
              </w:rPr>
              <w:t>Health becomes degraded; inference returns 503</w:t>
            </w:r>
          </w:p>
        </w:tc>
      </w:tr>
      <w:tr>
        <w:tc>
          <w:tcPr>
            <w:tcW w:type="dxa" w:w="5083"/>
            <w:vAlign w:val="center"/>
          </w:tcPr>
          <w:p>
            <w:r>
              <w:rPr>
                <w:sz w:val="16"/>
              </w:rPr>
              <w:t>GPU OOM</w:t>
            </w:r>
          </w:p>
        </w:tc>
        <w:tc>
          <w:tcPr>
            <w:tcW w:type="dxa" w:w="5083"/>
            <w:vAlign w:val="center"/>
          </w:tcPr>
          <w:p>
            <w:r>
              <w:rPr>
                <w:sz w:val="16"/>
              </w:rPr>
              <w:t>Request fails explicitly; log/alert; revisit context/concurrency policy</w:t>
            </w:r>
          </w:p>
        </w:tc>
      </w:tr>
      <w:tr>
        <w:tc>
          <w:tcPr>
            <w:tcW w:type="dxa" w:w="5083"/>
            <w:vAlign w:val="center"/>
          </w:tcPr>
          <w:p>
            <w:r>
              <w:rPr>
                <w:sz w:val="16"/>
              </w:rPr>
              <w:t>Adapter unavailable</w:t>
            </w:r>
          </w:p>
        </w:tc>
        <w:tc>
          <w:tcPr>
            <w:tcW w:type="dxa" w:w="5083"/>
            <w:vAlign w:val="center"/>
          </w:tcPr>
          <w:p>
            <w:r>
              <w:rPr>
                <w:sz w:val="16"/>
              </w:rPr>
              <w:t>Explicit adapter error; never silently substitute another adapter</w:t>
            </w:r>
          </w:p>
        </w:tc>
      </w:tr>
      <w:tr>
        <w:tc>
          <w:tcPr>
            <w:tcW w:type="dxa" w:w="5083"/>
            <w:vAlign w:val="center"/>
          </w:tcPr>
          <w:p>
            <w:r>
              <w:rPr>
                <w:sz w:val="16"/>
              </w:rPr>
              <w:t>Client disconnect</w:t>
            </w:r>
          </w:p>
        </w:tc>
        <w:tc>
          <w:tcPr>
            <w:tcW w:type="dxa" w:w="5083"/>
            <w:vAlign w:val="center"/>
          </w:tcPr>
          <w:p>
            <w:r>
              <w:rPr>
                <w:sz w:val="16"/>
              </w:rPr>
              <w:t>Cancel generation when safe and account usage consistently</w:t>
            </w:r>
          </w:p>
        </w:tc>
      </w:tr>
      <w:tr>
        <w:tc>
          <w:tcPr>
            <w:tcW w:type="dxa" w:w="5083"/>
            <w:vAlign w:val="center"/>
          </w:tcPr>
          <w:p>
            <w:r>
              <w:rPr>
                <w:sz w:val="16"/>
              </w:rPr>
              <w:t>Queue saturation</w:t>
            </w:r>
          </w:p>
        </w:tc>
        <w:tc>
          <w:tcPr>
            <w:tcW w:type="dxa" w:w="5083"/>
            <w:vAlign w:val="center"/>
          </w:tcPr>
          <w:p>
            <w:r>
              <w:rPr>
                <w:sz w:val="16"/>
              </w:rPr>
              <w:t>Return 429/503 according to admission policy; do not allow unbounded queue growth</w:t>
            </w:r>
          </w:p>
        </w:tc>
      </w:tr>
      <w:tr>
        <w:tc>
          <w:tcPr>
            <w:tcW w:type="dxa" w:w="5083"/>
            <w:vAlign w:val="center"/>
          </w:tcPr>
          <w:p>
            <w:r>
              <w:rPr>
                <w:sz w:val="16"/>
              </w:rPr>
              <w:t>Database unavailable</w:t>
            </w:r>
          </w:p>
        </w:tc>
        <w:tc>
          <w:tcPr>
            <w:tcW w:type="dxa" w:w="5083"/>
            <w:vAlign w:val="center"/>
          </w:tcPr>
          <w:p>
            <w:r>
              <w:rPr>
                <w:sz w:val="16"/>
              </w:rPr>
              <w:t>Fail closed for auth/control operations</w:t>
            </w:r>
          </w:p>
        </w:tc>
      </w:tr>
      <w:tr>
        <w:tc>
          <w:tcPr>
            <w:tcW w:type="dxa" w:w="5083"/>
            <w:vAlign w:val="center"/>
          </w:tcPr>
          <w:p>
            <w:r>
              <w:rPr>
                <w:sz w:val="16"/>
              </w:rPr>
              <w:t>Redis unavailable</w:t>
            </w:r>
          </w:p>
        </w:tc>
        <w:tc>
          <w:tcPr>
            <w:tcW w:type="dxa" w:w="5083"/>
            <w:vAlign w:val="center"/>
          </w:tcPr>
          <w:p>
            <w:r>
              <w:rPr>
                <w:sz w:val="16"/>
              </w:rPr>
              <w:t>Use an explicit degraded policy; never silently bypass critical quotas</w:t>
            </w:r>
          </w:p>
        </w:tc>
      </w:tr>
    </w:tbl>
    <w:p>
      <w:pPr>
        <w:pStyle w:val="Heading1"/>
      </w:pPr>
      <w:r>
        <w:t>18. Definition of Done for the RunPod POC</w:t>
      </w:r>
    </w:p>
    <w:p>
      <w:pPr>
        <w:pStyle w:val="ListBullet"/>
      </w:pPr>
      <w:r>
        <w:t>L4 is visible through nvidia-smi and PyTorch CUDA checks.</w:t>
      </w:r>
    </w:p>
    <w:p>
      <w:pPr>
        <w:pStyle w:val="ListBullet"/>
      </w:pPr>
      <w:r>
        <w:t>Qwen3-4B loads successfully in BF16.</w:t>
      </w:r>
    </w:p>
    <w:p>
      <w:pPr>
        <w:pStyle w:val="ListBullet"/>
      </w:pPr>
      <w:r>
        <w:t>vLLM serves /v1/models and /v1/chat/completions.</w:t>
      </w:r>
    </w:p>
    <w:p>
      <w:pPr>
        <w:pStyle w:val="ListBullet"/>
      </w:pPr>
      <w:r>
        <w:t>Streaming responses work.</w:t>
      </w:r>
    </w:p>
    <w:p>
      <w:pPr>
        <w:pStyle w:val="ListBullet"/>
      </w:pPr>
      <w:r>
        <w:t>4K baseline completes without OOM.</w:t>
      </w:r>
    </w:p>
    <w:p>
      <w:pPr>
        <w:pStyle w:val="ListBullet"/>
      </w:pPr>
      <w:r>
        <w:t>Baseline VRAM, TTFT, total latency, and output tokens/sec are recorded.</w:t>
      </w:r>
    </w:p>
    <w:p>
      <w:pPr>
        <w:pStyle w:val="ListBullet"/>
      </w:pPr>
      <w:r>
        <w:t>Concurrency 1/2/4 tests are completed.</w:t>
      </w:r>
    </w:p>
    <w:p>
      <w:pPr>
        <w:pStyle w:val="ListBullet"/>
      </w:pPr>
      <w:r>
        <w:t>8K configuration is tested only after 4K baseline stability.</w:t>
      </w:r>
    </w:p>
    <w:p>
      <w:pPr>
        <w:pStyle w:val="ListBullet"/>
      </w:pPr>
      <w:r>
        <w:t>The exact vLLM version and launch configuration are committed to the repository.</w:t>
      </w:r>
    </w:p>
    <w:p>
      <w:pPr>
        <w:pStyle w:val="ListBullet"/>
      </w:pPr>
      <w:r>
        <w:t>The Pod can be stopped/recreated without losing source code or model cache stored on persistent storage.</w:t>
      </w:r>
    </w:p>
    <w:p>
      <w:pPr>
        <w:pStyle w:val="Heading1"/>
      </w:pPr>
      <w:r>
        <w:t>19. Definition of Done for V1 POC</w:t>
      </w:r>
    </w:p>
    <w:p>
      <w:pPr>
        <w:pStyle w:val="ListBullet"/>
      </w:pPr>
      <w:r>
        <w:t>External client uses the FastAPI platform endpoint rather than vLLM directly.</w:t>
      </w:r>
    </w:p>
    <w:p>
      <w:pPr>
        <w:pStyle w:val="ListBullet"/>
      </w:pPr>
      <w:r>
        <w:t>API-key authentication and tenant resolution work.</w:t>
      </w:r>
    </w:p>
    <w:p>
      <w:pPr>
        <w:pStyle w:val="ListBullet"/>
      </w:pPr>
      <w:r>
        <w:t>Every request has request_id, token counts, TTFT, total latency, and status.</w:t>
      </w:r>
    </w:p>
    <w:p>
      <w:pPr>
        <w:pStyle w:val="ListBullet"/>
      </w:pPr>
      <w:r>
        <w:t>Logical model aliases resolve without exposing internal runtime paths.</w:t>
      </w:r>
    </w:p>
    <w:p>
      <w:pPr>
        <w:pStyle w:val="ListBullet"/>
      </w:pPr>
      <w:r>
        <w:t>Rate limits/admission control produce predictable overload behavior.</w:t>
      </w:r>
    </w:p>
    <w:p>
      <w:pPr>
        <w:pStyle w:val="ListBullet"/>
      </w:pPr>
      <w:r>
        <w:t>At least one test LoRA adapter can be registered and invoked through an alias.</w:t>
      </w:r>
    </w:p>
    <w:p>
      <w:pPr>
        <w:pStyle w:val="ListBullet"/>
      </w:pPr>
      <w:r>
        <w:t>GPU, VRAM, KV/queue/request metrics are visible in an operational dashboard.</w:t>
      </w:r>
    </w:p>
    <w:p>
      <w:pPr>
        <w:pStyle w:val="ListBullet"/>
      </w:pPr>
      <w:r>
        <w:t>A benchmark report documents the safe operating envelope of the single L4.</w:t>
      </w:r>
    </w:p>
    <w:p>
      <w:pPr>
        <w:pStyle w:val="Heading1"/>
      </w:pPr>
      <w:r>
        <w:t>20. Cursor Implementation Rules</w:t>
      </w:r>
    </w:p>
    <w:p>
      <w:r>
        <w:t>Use Cursor to implement one milestone at a time. Keep vLLM behind a narrow inference-client interface so the control plane can be tested without a GPU.</w:t>
      </w:r>
    </w:p>
    <w:p>
      <w:pPr>
        <w:pStyle w:val="ListBullet"/>
      </w:pPr>
      <w:r>
        <w:t>Prefer small modules with explicit interfaces over a monolithic FastAPI application.</w:t>
      </w:r>
    </w:p>
    <w:p>
      <w:pPr>
        <w:pStyle w:val="ListBullet"/>
      </w:pPr>
      <w:r>
        <w:t>Create a VLLMClient abstraction responsible only for health, model discovery, chat completion, streaming, and adapter-facing runtime calls.</w:t>
      </w:r>
    </w:p>
    <w:p>
      <w:pPr>
        <w:pStyle w:val="ListBullet"/>
      </w:pPr>
      <w:r>
        <w:t>Keep routing logic independent from HTTP handlers.</w:t>
      </w:r>
    </w:p>
    <w:p>
      <w:pPr>
        <w:pStyle w:val="ListBullet"/>
      </w:pPr>
      <w:r>
        <w:t>Keep auth/tenant policy independent from inference-client code.</w:t>
      </w:r>
    </w:p>
    <w:p>
      <w:pPr>
        <w:pStyle w:val="ListBullet"/>
      </w:pPr>
      <w:r>
        <w:t>Persist a request record before forwarding inference when possible; finalize it on completion/failure.</w:t>
      </w:r>
    </w:p>
    <w:p>
      <w:pPr>
        <w:pStyle w:val="ListBullet"/>
      </w:pPr>
      <w:r>
        <w:t>Use structured JSON logging with request_id in every relevant event.</w:t>
      </w:r>
    </w:p>
    <w:p>
      <w:pPr>
        <w:pStyle w:val="ListBullet"/>
      </w:pPr>
      <w:r>
        <w:t>Create unit tests with a mocked vLLM client before integration tests against the GPU.</w:t>
      </w:r>
    </w:p>
    <w:p>
      <w:pPr>
        <w:pStyle w:val="ListBullet"/>
      </w:pPr>
      <w:r>
        <w:t>Do not introduce Kubernetes, multi-GPU routing, distributed inference, autoscaling, or fine-tuning orchestration in V1.</w:t>
      </w:r>
    </w:p>
    <w:p>
      <w:pPr>
        <w:pStyle w:val="Heading1"/>
      </w:pPr>
      <w:r>
        <w:t>21. Cursor Bootstrap Prompt</w:t>
      </w:r>
    </w:p>
    <w:p>
      <w:r>
        <w:t>A suitable first prompt to give Cursor after creating the repository is:</w:t>
      </w:r>
    </w:p>
    <w:p>
      <w:pPr>
        <w:ind w:left="360" w:right="216"/>
      </w:pPr>
      <w:r>
        <w:rPr>
          <w:rFonts w:ascii="Courier New" w:hAnsi="Courier New"/>
          <w:sz w:val="16"/>
        </w:rPr>
        <w:t>We are building V1 of a lightweight managed LLM inference platform.</w:t>
      </w:r>
      <w:r>
        <w:br/>
      </w:r>
      <w:r>
        <w:rPr>
          <w:rFonts w:ascii="Courier New" w:hAnsi="Courier New"/>
          <w:sz w:val="16"/>
        </w:rPr>
      </w:r>
      <w:r>
        <w:br/>
      </w:r>
      <w:r>
        <w:rPr>
          <w:rFonts w:ascii="Courier New" w:hAnsi="Courier New"/>
          <w:sz w:val="16"/>
        </w:rPr>
        <w:t>Architecture:</w:t>
      </w:r>
      <w:r>
        <w:br/>
      </w:r>
      <w:r>
        <w:rPr>
          <w:rFonts w:ascii="Courier New" w:hAnsi="Courier New"/>
          <w:sz w:val="16"/>
        </w:rPr>
        <w:t>- Python + FastAPI control plane</w:t>
      </w:r>
      <w:r>
        <w:br/>
      </w:r>
      <w:r>
        <w:rPr>
          <w:rFonts w:ascii="Courier New" w:hAnsi="Courier New"/>
          <w:sz w:val="16"/>
        </w:rPr>
        <w:t>- vLLM is the inference data plane</w:t>
      </w:r>
      <w:r>
        <w:br/>
      </w:r>
      <w:r>
        <w:rPr>
          <w:rFonts w:ascii="Courier New" w:hAnsi="Courier New"/>
          <w:sz w:val="16"/>
        </w:rPr>
        <w:t>- Qwen/Qwen3-4B is the only base model</w:t>
      </w:r>
      <w:r>
        <w:br/>
      </w:r>
      <w:r>
        <w:rPr>
          <w:rFonts w:ascii="Courier New" w:hAnsi="Courier New"/>
          <w:sz w:val="16"/>
        </w:rPr>
        <w:t>- Single NVIDIA L4 24 GB worker</w:t>
      </w:r>
      <w:r>
        <w:br/>
      </w:r>
      <w:r>
        <w:rPr>
          <w:rFonts w:ascii="Courier New" w:hAnsi="Courier New"/>
          <w:sz w:val="16"/>
        </w:rPr>
        <w:t>- OpenAI-compatible POST /v1/chat/completions and GET /v1/models</w:t>
      </w:r>
      <w:r>
        <w:br/>
      </w:r>
      <w:r>
        <w:rPr>
          <w:rFonts w:ascii="Courier New" w:hAnsi="Courier New"/>
          <w:sz w:val="16"/>
        </w:rPr>
        <w:t>- PostgreSQL for durable metadata/usage</w:t>
      </w:r>
      <w:r>
        <w:br/>
      </w:r>
      <w:r>
        <w:rPr>
          <w:rFonts w:ascii="Courier New" w:hAnsi="Courier New"/>
          <w:sz w:val="16"/>
        </w:rPr>
        <w:t>- Redis for rate limits/hot state later</w:t>
      </w:r>
      <w:r>
        <w:br/>
      </w:r>
      <w:r>
        <w:rPr>
          <w:rFonts w:ascii="Courier New" w:hAnsi="Courier New"/>
          <w:sz w:val="16"/>
        </w:rPr>
        <w:t>- LoRA registry/routing later</w:t>
      </w:r>
      <w:r>
        <w:br/>
      </w:r>
      <w:r>
        <w:rPr>
          <w:rFonts w:ascii="Courier New" w:hAnsi="Courier New"/>
          <w:sz w:val="16"/>
        </w:rPr>
        <w:t>- Prometheus/OpenTelemetry observability later</w:t>
      </w:r>
      <w:r>
        <w:br/>
      </w:r>
      <w:r>
        <w:rPr>
          <w:rFonts w:ascii="Courier New" w:hAnsi="Courier New"/>
          <w:sz w:val="16"/>
        </w:rPr>
      </w:r>
      <w:r>
        <w:br/>
      </w:r>
      <w:r>
        <w:rPr>
          <w:rFonts w:ascii="Courier New" w:hAnsi="Courier New"/>
          <w:sz w:val="16"/>
        </w:rPr>
        <w:t>Important boundaries:</w:t>
      </w:r>
      <w:r>
        <w:br/>
      </w:r>
      <w:r>
        <w:rPr>
          <w:rFonts w:ascii="Courier New" w:hAnsi="Courier New"/>
          <w:sz w:val="16"/>
        </w:rPr>
        <w:t>- Do NOT implement transformer inference, batching, PagedAttention, KV-cache allocation, or token sampling. vLLM owns these.</w:t>
      </w:r>
      <w:r>
        <w:br/>
      </w:r>
      <w:r>
        <w:rPr>
          <w:rFonts w:ascii="Courier New" w:hAnsi="Courier New"/>
          <w:sz w:val="16"/>
        </w:rPr>
        <w:t>- Do NOT add Kubernetes, multi-GPU scheduling, autoscaling, or training.</w:t>
      </w:r>
      <w:r>
        <w:br/>
      </w:r>
      <w:r>
        <w:rPr>
          <w:rFonts w:ascii="Courier New" w:hAnsi="Courier New"/>
          <w:sz w:val="16"/>
        </w:rPr>
        <w:t>- Keep the vLLM integration behind a VLLMClient interface.</w:t>
      </w:r>
      <w:r>
        <w:br/>
      </w:r>
      <w:r>
        <w:rPr>
          <w:rFonts w:ascii="Courier New" w:hAnsi="Courier New"/>
          <w:sz w:val="16"/>
        </w:rPr>
        <w:t>- The first milestone is a thin FastAPI gateway that proxies normal and streaming chat-completion requests to an already-running local vLLM server.</w:t>
      </w:r>
      <w:r>
        <w:br/>
      </w:r>
      <w:r>
        <w:rPr>
          <w:rFonts w:ascii="Courier New" w:hAnsi="Courier New"/>
          <w:sz w:val="16"/>
        </w:rPr>
        <w:t>- Add /health.</w:t>
      </w:r>
      <w:r>
        <w:br/>
      </w:r>
      <w:r>
        <w:rPr>
          <w:rFonts w:ascii="Courier New" w:hAnsi="Courier New"/>
          <w:sz w:val="16"/>
        </w:rPr>
        <w:t>- Add typed Pydantic request/response schemas.</w:t>
      </w:r>
      <w:r>
        <w:br/>
      </w:r>
      <w:r>
        <w:rPr>
          <w:rFonts w:ascii="Courier New" w:hAnsi="Courier New"/>
          <w:sz w:val="16"/>
        </w:rPr>
        <w:t>- Add request_id middleware and structured logging.</w:t>
      </w:r>
      <w:r>
        <w:br/>
      </w:r>
      <w:r>
        <w:rPr>
          <w:rFonts w:ascii="Courier New" w:hAnsi="Courier New"/>
          <w:sz w:val="16"/>
        </w:rPr>
        <w:t>- Add unit tests using a mocked vLLM client.</w:t>
      </w:r>
      <w:r>
        <w:br/>
      </w:r>
      <w:r>
        <w:rPr>
          <w:rFonts w:ascii="Courier New" w:hAnsi="Courier New"/>
          <w:sz w:val="16"/>
        </w:rPr>
        <w:t>- Keep code production-structured but deliberately minimal.</w:t>
      </w:r>
      <w:r>
        <w:br/>
      </w:r>
      <w:r>
        <w:rPr>
          <w:rFonts w:ascii="Courier New" w:hAnsi="Courier New"/>
          <w:sz w:val="16"/>
        </w:rPr>
      </w:r>
      <w:r>
        <w:br/>
      </w:r>
      <w:r>
        <w:rPr>
          <w:rFonts w:ascii="Courier New" w:hAnsi="Courier New"/>
          <w:sz w:val="16"/>
        </w:rPr>
        <w:t>First:</w:t>
      </w:r>
      <w:r>
        <w:br/>
      </w:r>
      <w:r>
        <w:rPr>
          <w:rFonts w:ascii="Courier New" w:hAnsi="Courier New"/>
          <w:sz w:val="16"/>
        </w:rPr>
        <w:t>1. Propose the repository structure.</w:t>
      </w:r>
      <w:r>
        <w:br/>
      </w:r>
      <w:r>
        <w:rPr>
          <w:rFonts w:ascii="Courier New" w:hAnsi="Courier New"/>
          <w:sz w:val="16"/>
        </w:rPr>
        <w:t>2. Create the minimum files for milestone M2 (Gateway).</w:t>
      </w:r>
      <w:r>
        <w:br/>
      </w:r>
      <w:r>
        <w:rPr>
          <w:rFonts w:ascii="Courier New" w:hAnsi="Courier New"/>
          <w:sz w:val="16"/>
        </w:rPr>
        <w:t>3. Implement the vLLM client.</w:t>
      </w:r>
      <w:r>
        <w:br/>
      </w:r>
      <w:r>
        <w:rPr>
          <w:rFonts w:ascii="Courier New" w:hAnsi="Courier New"/>
          <w:sz w:val="16"/>
        </w:rPr>
        <w:t>4. Implement /v1/chat/completions with streaming passthrough.</w:t>
      </w:r>
      <w:r>
        <w:br/>
      </w:r>
      <w:r>
        <w:rPr>
          <w:rFonts w:ascii="Courier New" w:hAnsi="Courier New"/>
          <w:sz w:val="16"/>
        </w:rPr>
        <w:t>5. Implement /v1/models and /health.</w:t>
      </w:r>
      <w:r>
        <w:br/>
      </w:r>
      <w:r>
        <w:rPr>
          <w:rFonts w:ascii="Courier New" w:hAnsi="Courier New"/>
          <w:sz w:val="16"/>
        </w:rPr>
        <w:t>6. Add tests.</w:t>
      </w:r>
      <w:r>
        <w:br/>
      </w:r>
      <w:r>
        <w:rPr>
          <w:rFonts w:ascii="Courier New" w:hAnsi="Courier New"/>
          <w:sz w:val="16"/>
        </w:rPr>
        <w:t>7. Provide commands to run locally against vLLM at http://localhost:8000.</w:t>
      </w:r>
    </w:p>
    <w:p>
      <w:pPr>
        <w:pStyle w:val="Heading1"/>
      </w:pPr>
      <w:r>
        <w:t>22. Immediate Execution Order</w:t>
      </w:r>
    </w:p>
    <w:p>
      <w:pPr>
        <w:pStyle w:val="ListNumber"/>
      </w:pPr>
      <w:r>
        <w:t>Deploy the L4 Pod.</w:t>
      </w:r>
    </w:p>
    <w:p>
      <w:pPr>
        <w:pStyle w:val="ListNumber"/>
      </w:pPr>
      <w:r>
        <w:t>Run nvidia-smi and CUDA/PyTorch checks.</w:t>
      </w:r>
    </w:p>
    <w:p>
      <w:pPr>
        <w:pStyle w:val="ListNumber"/>
      </w:pPr>
      <w:r>
        <w:t>Create /workspace/vllm-env and install vLLM.</w:t>
      </w:r>
    </w:p>
    <w:p>
      <w:pPr>
        <w:pStyle w:val="ListNumber"/>
      </w:pPr>
      <w:r>
        <w:t>Set persistent HF_HOME.</w:t>
      </w:r>
    </w:p>
    <w:p>
      <w:pPr>
        <w:pStyle w:val="ListNumber"/>
      </w:pPr>
      <w:r>
        <w:t>Serve Qwen3-4B at 4K/BF16/0.85 GPU utilization.</w:t>
      </w:r>
    </w:p>
    <w:p>
      <w:pPr>
        <w:pStyle w:val="ListNumber"/>
      </w:pPr>
      <w:r>
        <w:t>Test non-streaming and streaming chat completions.</w:t>
      </w:r>
    </w:p>
    <w:p>
      <w:pPr>
        <w:pStyle w:val="ListNumber"/>
      </w:pPr>
      <w:r>
        <w:t>Capture the first baseline metrics.</w:t>
      </w:r>
    </w:p>
    <w:p>
      <w:pPr>
        <w:pStyle w:val="ListNumber"/>
      </w:pPr>
      <w:r>
        <w:t>Create the Cursor repository and implement the thin FastAPI gateway.</w:t>
      </w:r>
    </w:p>
    <w:p>
      <w:pPr>
        <w:pStyle w:val="ListNumber"/>
      </w:pPr>
      <w:r>
        <w:t>Only then move into auth, usage, aliases, LoRA, limits, observability, and systematic load testing.</w:t>
      </w:r>
    </w:p>
    <w:p>
      <w:pPr>
        <w:pStyle w:val="Heading1"/>
      </w:pPr>
      <w:r>
        <w:t>23. Final POC Boundary</w:t>
      </w:r>
    </w:p>
    <w:p>
      <w:r>
        <w:t>The POC is successful when a user can call a stable FastAPI endpoint, the request is authenticated and metered, the gateway routes it to a single vLLM/Qwen3-4B deployment on the L4, tokens stream back correctly, and the platform can explain where time and GPU memory are being spent. Everything beyond this boundary should be driven by measured bottlenecks or product feedback.</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Inference Platform V1 - RunPod L4 + Qwen3-4B + vLLM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