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Mini-Predibase Inference Platform</w:t>
      </w:r>
    </w:p>
    <w:p>
      <w:pPr>
        <w:jc w:val="center"/>
      </w:pPr>
      <w:r>
        <w:rPr>
          <w:i/>
          <w:sz w:val="22"/>
        </w:rPr>
        <w:t>V2 Architecture and Product Specification</w:t>
      </w:r>
    </w:p>
    <w:p>
      <w:pPr>
        <w:jc w:val="center"/>
      </w:pPr>
      <w:r>
        <w:rPr>
          <w:sz w:val="18"/>
        </w:rPr>
        <w:t>Evolution of the V1 control plane | Proposed Version 2.0 - 29 August 2026</w:t>
      </w:r>
    </w:p>
    <w:p/>
    <w:p>
      <w:r>
        <w:rPr>
          <w:b/>
        </w:rPr>
        <w:t>V2 principle: preserve the V1 client contract and vLLM data plane, then add horizontal scale, worker orchestration, richer adapter operations, model tiers, and service guarantees only where V1 measurements or customer demand justify them.</w:t>
      </w:r>
    </w:p>
    <w:p>
      <w:pPr>
        <w:pStyle w:val="Heading1"/>
      </w:pPr>
      <w:r>
        <w:t>1. Executive Summary</w:t>
      </w:r>
    </w:p>
    <w:p>
      <w:pPr>
        <w:spacing w:after="100"/>
      </w:pPr>
      <w:r>
        <w:t>V2 evolves the V1 single-worker inference platform into a horizontally scalable inference control plane. It is not a rewrite of V1. The OpenAI-compatible API, tenant/API-key model, logical model aliases, request telemetry, adapter ownership model, and vLLM-based data plane remain intact.</w:t>
      </w:r>
    </w:p>
    <w:p>
      <w:pPr>
        <w:spacing w:after="100"/>
      </w:pPr>
      <w:r>
        <w:t>The V1 specification explicitly defers Kubernetes, multi-GPU scheduling, distributed inference, training orchestration, a broader model catalog, and sophisticated autoscaling. Its feedback-driven V2 decision tree identifies the conditions under which those capabilities become justified. V2 therefore turns those deferred abstractions into operational platform capabilities.</w:t>
      </w:r>
    </w:p>
    <w:p>
      <w:pPr>
        <w:spacing w:after="100"/>
      </w:pPr>
      <w:r>
        <w:t>Primary V2 outcomes are: multiple replaceable GPU workers; health/capacity-aware routing; optional Kubernetes orchestration; adapter cache management; longer-context and KV-cache tiers; curated multi-model deployments; priority/SLO service classes; and, only when requested, a separate LoRA fine-tuning service.</w:t>
      </w:r>
    </w:p>
    <w:p>
      <w:pPr>
        <w:pStyle w:val="Heading1"/>
      </w:pPr>
      <w:r>
        <w:t>2. V2 Entry Conditions and Product Philosophy</w:t>
      </w:r>
    </w:p>
    <w:p>
      <w:pPr>
        <w:spacing w:after="100"/>
      </w:pPr>
      <w:r>
        <w:t>V2 begins only after V1 has a documented capacity envelope and real workload evidence. The trigger is not the existence of a more sophisticated architecture; the trigger is a measured bottleneck or customer requirement.</w:t>
      </w:r>
    </w:p>
    <w:p>
      <w:pPr>
        <w:spacing w:after="100"/>
      </w:pPr>
      <w:r>
        <w:t>Entry conditions include one or more of the following: GPU saturation at acceptable demand; sustained queue growth or TTFT degradation; need for guaranteed latency; hundreds of adapters or material adapter-load latency; long-context workloads dominating capacity; demand for tasks that need different base models; need for automatic GPU-node replacement; or strongly time-varying demand that makes autoscaling economically useful.</w:t>
      </w:r>
    </w:p>
    <w:p>
      <w:pPr>
        <w:spacing w:after="100"/>
      </w:pPr>
      <w:r>
        <w:t>Engineering philosophy remains: Measure -&gt; Optimize -&gt; Collect Feedback -&gt; Expand.</w:t>
      </w:r>
    </w:p>
    <w:p>
      <w:pPr>
        <w:pStyle w:val="Heading1"/>
      </w:pPr>
      <w:r>
        <w:t>3. V2 Goals</w:t>
      </w:r>
    </w:p>
    <w:p>
      <w:pPr>
        <w:pStyle w:val="ListBullet"/>
      </w:pPr>
      <w:r>
        <w:t>Scale inference horizontally across two or more GPU workers without changing the client-facing OpenAI-compatible inference contract.</w:t>
      </w:r>
    </w:p>
    <w:p>
      <w:pPr>
        <w:pStyle w:val="ListBullet"/>
      </w:pPr>
      <w:r>
        <w:t>Make workers and deployments replaceable, health-aware, and schedulable.</w:t>
      </w:r>
    </w:p>
    <w:p>
      <w:pPr>
        <w:pStyle w:val="ListBullet"/>
      </w:pPr>
      <w:r>
        <w:t>Support heterogeneous GPU/model deployments while preserving stable logical model aliases.</w:t>
      </w:r>
    </w:p>
    <w:p>
      <w:pPr>
        <w:pStyle w:val="ListBullet"/>
      </w:pPr>
      <w:r>
        <w:t>Route requests using model compatibility, context requirement, adapter locality, queue pressure, active sequences, GPU/KV pressure, health, and service class.</w:t>
      </w:r>
    </w:p>
    <w:p>
      <w:pPr>
        <w:pStyle w:val="ListBullet"/>
      </w:pPr>
      <w:r>
        <w:t>Support a larger LoRA fleet with durable storage, CPU/local cache, active runtime cache, eviction, and preloading policies.</w:t>
      </w:r>
    </w:p>
    <w:p>
      <w:pPr>
        <w:pStyle w:val="ListBullet"/>
      </w:pPr>
      <w:r>
        <w:t>Offer longer-context tiers through measured FP8 KV, larger-VRAM workers, and context-aware routing.</w:t>
      </w:r>
    </w:p>
    <w:p>
      <w:pPr>
        <w:pStyle w:val="ListBullet"/>
      </w:pPr>
      <w:r>
        <w:t>Introduce a curated model catalog only where different workloads require materially different capabilities or cost/latency envelopes.</w:t>
      </w:r>
    </w:p>
    <w:p>
      <w:pPr>
        <w:pStyle w:val="ListBullet"/>
      </w:pPr>
      <w:r>
        <w:t>Provide priority/reserved-capacity service classes and measurable SLOs when customers require them.</w:t>
      </w:r>
    </w:p>
    <w:p>
      <w:pPr>
        <w:pStyle w:val="ListBullet"/>
      </w:pPr>
      <w:r>
        <w:t>Optionally add a separate LoRA fine-tuning job service without coupling training load to serving workers.</w:t>
      </w:r>
    </w:p>
    <w:p>
      <w:pPr>
        <w:pStyle w:val="Heading1"/>
      </w:pPr>
      <w:r>
        <w:t>4. Explicit V2 Non-Goals</w:t>
      </w:r>
    </w:p>
    <w:p>
      <w:pPr>
        <w:pStyle w:val="ListBullet"/>
      </w:pPr>
      <w:r>
        <w:t>Do not replace vLLM or reimplement token scheduling, PagedAttention, KV-cache block management, model kernels, or token streaming.</w:t>
      </w:r>
    </w:p>
    <w:p>
      <w:pPr>
        <w:pStyle w:val="ListBullet"/>
      </w:pPr>
      <w:r>
        <w:t>Do not create an uncontrolled model marketplace; supported models remain curated and benchmarked.</w:t>
      </w:r>
    </w:p>
    <w:p>
      <w:pPr>
        <w:pStyle w:val="ListBullet"/>
      </w:pPr>
      <w:r>
        <w:t>Do not require tensor-parallel or distributed model execution unless a chosen model cannot fit or meet objectives on a single worker.</w:t>
      </w:r>
    </w:p>
    <w:p>
      <w:pPr>
        <w:pStyle w:val="ListBullet"/>
      </w:pPr>
      <w:r>
        <w:t>Do not add multi-region operation until latency, regulatory, resilience, or commercial requirements justify it.</w:t>
      </w:r>
    </w:p>
    <w:p>
      <w:pPr>
        <w:pStyle w:val="ListBullet"/>
      </w:pPr>
      <w:r>
        <w:t>Do not autoscale from a single GPU-utilization threshold; scaling decisions must use queue, latency, capacity, and warm-up behavior.</w:t>
      </w:r>
    </w:p>
    <w:p>
      <w:pPr>
        <w:pStyle w:val="Heading1"/>
      </w:pPr>
      <w:r>
        <w:t>5. V2 High-Level Architecture</w:t>
      </w:r>
    </w:p>
    <w:p>
      <w:pPr>
        <w:spacing w:after="100"/>
      </w:pPr>
      <w:r>
        <w:t>Client / SDK -&gt; FastAPI API Gateway -&gt; Auth / API Keys / Quotas -&gt; Inference Router / Worker Scheduler -&gt; Worker Pool -&gt; vLLM deployments -&gt; GPU fleet.</w:t>
      </w:r>
    </w:p>
    <w:p>
      <w:pPr>
        <w:spacing w:after="100"/>
      </w:pPr>
      <w:r>
        <w:t>PostgreSQL remains the durable metadata and usage store. Redis remains suitable for hot state, rate limits, short-lived scheduler state, and distributed coordination where required. S3-compatible object storage remains the durable model/adapter artifact store.</w:t>
      </w:r>
    </w:p>
    <w:p>
      <w:pPr>
        <w:spacing w:after="100"/>
      </w:pPr>
      <w:r>
        <w:t>Observability remains OpenTelemetry + Prometheus + Grafana, expanded with scheduler, worker-pool, cache, autoscaling, rollout, and SLO metrics.</w:t>
      </w:r>
    </w:p>
    <w:p>
      <w:pPr>
        <w:pStyle w:val="Heading1"/>
      </w:pPr>
      <w:r>
        <w:t>6. Control Plane vs Data Plane</w:t>
      </w:r>
    </w:p>
    <w:p>
      <w:pPr>
        <w:spacing w:after="100"/>
      </w:pPr>
      <w:r>
        <w:t>Control plane responsibilities expand to include worker registration, deployment reconciliation, health state, routing/scheduling, service classes, adapter cache policy, rollout state, capacity policy, model catalog policy, and optional job orchestration.</w:t>
      </w:r>
    </w:p>
    <w:p>
      <w:pPr>
        <w:spacing w:after="100"/>
      </w:pPr>
      <w:r>
        <w:t>vLLM remains the data plane and continues to own model execution, prefill/decode scheduling inside a worker, continuous batching, KV-cache allocation, prefix caching, LoRA execution, and token streaming.</w:t>
      </w:r>
    </w:p>
    <w:p>
      <w:pPr>
        <w:pStyle w:val="Heading1"/>
      </w:pPr>
      <w:r>
        <w:t>7. Worker and Deployment Model</w:t>
      </w:r>
    </w:p>
    <w:p>
      <w:pPr>
        <w:spacing w:after="100"/>
      </w:pPr>
      <w:r>
        <w:t>Each worker records: worker_id, hostname, GPU type, VRAM, runtime endpoint, vLLM/CUDA/model-runtime versions, health, last heartbeat, active deployments, active sequences, queue depth, KV-cache pressure, VRAM utilization, and supported capabilities.</w:t>
      </w:r>
    </w:p>
    <w:p>
      <w:pPr>
        <w:spacing w:after="100"/>
      </w:pPr>
      <w:r>
        <w:t>Each deployment records: model_id, worker_id, runtime configuration, dtype, KV dtype, max model length, GPU-memory policy, LoRA policy, status, revision, startup time, readiness, and rollout generation.</w:t>
      </w:r>
    </w:p>
    <w:p>
      <w:pPr>
        <w:spacing w:after="100"/>
      </w:pPr>
      <w:r>
        <w:t>A worker is routable only when worker health and deployment readiness are both healthy. A model alias never points directly to a machine; it resolves through deployment records.</w:t>
      </w:r>
    </w:p>
    <w:p>
      <w:pPr>
        <w:pStyle w:val="Heading1"/>
      </w:pPr>
      <w:r>
        <w:t>8. Worker Scheduler and Routing</w:t>
      </w:r>
    </w:p>
    <w:p>
      <w:pPr>
        <w:spacing w:after="100"/>
      </w:pPr>
      <w:r>
        <w:t>Step 1 - resolve tenant, logical model alias, base model, optional adapter, requested context, and service class.</w:t>
      </w:r>
    </w:p>
    <w:p>
      <w:pPr>
        <w:spacing w:after="100"/>
      </w:pPr>
      <w:r>
        <w:t>Step 2 - filter to healthy deployments compatible with the requested model, context ceiling, adapter policy, and tenant authorization.</w:t>
      </w:r>
    </w:p>
    <w:p>
      <w:pPr>
        <w:spacing w:after="100"/>
      </w:pPr>
      <w:r>
        <w:t>Step 3 - apply admission-control policy before consuming GPU capacity.</w:t>
      </w:r>
    </w:p>
    <w:p>
      <w:pPr>
        <w:spacing w:after="100"/>
      </w:pPr>
      <w:r>
        <w:t>Step 4 - prefer adapter locality when an adapter is already loaded or locally cached and doing so does not violate latency/capacity policy.</w:t>
      </w:r>
    </w:p>
    <w:p>
      <w:pPr>
        <w:spacing w:after="100"/>
      </w:pPr>
      <w:r>
        <w:t>Step 5 - score workers using queue depth, active sequences, recent TTFT, decode throughput, VRAM/KV pressure, and health.</w:t>
      </w:r>
    </w:p>
    <w:p>
      <w:pPr>
        <w:spacing w:after="100"/>
      </w:pPr>
      <w:r>
        <w:t>Step 6 - route to the best candidate and persist the scheduling decision and reason.</w:t>
      </w:r>
    </w:p>
    <w:p>
      <w:pPr>
        <w:spacing w:after="100"/>
      </w:pPr>
      <w:r>
        <w:t>Retries are permitted only when request semantics and streaming state make them safe. Once output has been streamed, transparent retry must not duplicate or corrupt the client response.</w:t>
      </w:r>
    </w:p>
    <w:p>
      <w:pPr>
        <w:pStyle w:val="Heading1"/>
      </w:pPr>
      <w:r>
        <w:t>9. Kubernetes and Orchestration</w:t>
      </w:r>
    </w:p>
    <w:p>
      <w:pPr>
        <w:spacing w:after="100"/>
      </w:pPr>
      <w:r>
        <w:t>Kubernetes becomes justified when two or more GPU workers must remain healthy and routable, workers require automated replacement/rollout, deployments need placement constraints, autoscaling is justified, or operational consistency becomes more valuable than Docker Compose simplicity.</w:t>
      </w:r>
    </w:p>
    <w:p>
      <w:pPr>
        <w:spacing w:after="100"/>
      </w:pPr>
      <w:r>
        <w:t>Initial V2 may start with a simple worker scheduler outside Kubernetes if only two workers exist. Kubernetes adoption is an operational decision, not a product requirement by itself.</w:t>
      </w:r>
    </w:p>
    <w:p>
      <w:pPr>
        <w:spacing w:after="100"/>
      </w:pPr>
      <w:r>
        <w:t>When introduced, orchestration should manage worker lifecycle, health probes, rollout/restart behavior, placement labels/constraints, secrets/config, metrics exporters, and controlled scaling.</w:t>
      </w:r>
    </w:p>
    <w:p>
      <w:pPr>
        <w:pStyle w:val="Heading1"/>
      </w:pPr>
      <w:r>
        <w:t>10. Curated Model Catalog</w:t>
      </w:r>
    </w:p>
    <w:p>
      <w:pPr>
        <w:spacing w:after="100"/>
      </w:pPr>
      <w:r>
        <w:t>V1 has one production base model: Qwen3-4B. V2 may add models only when workload evidence requires different capability, latency, context, or cost characteristics.</w:t>
      </w:r>
    </w:p>
    <w:p>
      <w:pPr>
        <w:spacing w:after="100"/>
      </w:pPr>
      <w:r>
        <w:t>Model records should include architecture, parameter count, artifact/revision, dtype/quantization, supported context, GPU requirements, LoRA compatibility, benchmark envelope, and status.</w:t>
      </w:r>
    </w:p>
    <w:p>
      <w:pPr>
        <w:spacing w:after="100"/>
      </w:pPr>
      <w:r>
        <w:t>Logical aliases remain the client abstraction. An alias can map to a fixed model or to a capability-routing policy, but the selected physical model and deployment must always be traceable.</w:t>
      </w:r>
    </w:p>
    <w:p>
      <w:pPr>
        <w:pStyle w:val="Heading1"/>
      </w:pPr>
      <w:r>
        <w:t>11. Context and KV-Cache Tiers</w:t>
      </w:r>
    </w:p>
    <w:p>
      <w:pPr>
        <w:spacing w:after="100"/>
      </w:pPr>
      <w:r>
        <w:t>V2 introduces context-aware routing rather than globally increasing max_model_len. Short interactive traffic should not be forced onto a worker configured for expensive long-context workloads.</w:t>
      </w:r>
    </w:p>
    <w:p>
      <w:pPr>
        <w:spacing w:after="100"/>
      </w:pPr>
      <w:r>
        <w:t>Possible tiers include: standard context workers; long-context workers with larger VRAM; FP8-KV experimental/validated workers; and future KV-offload experiments if measurements justify them.</w:t>
      </w:r>
    </w:p>
    <w:p>
      <w:pPr>
        <w:spacing w:after="100"/>
      </w:pPr>
      <w:r>
        <w:t>FP8 KV must be benchmarked against BF16 for quality, TTFT, decode throughput, effective cache capacity, stability, and operational complexity before becoming a default.</w:t>
      </w:r>
    </w:p>
    <w:p>
      <w:pPr>
        <w:pStyle w:val="Heading1"/>
      </w:pPr>
      <w:r>
        <w:t>12. LoRA Adapter Fleet and Cache Manager</w:t>
      </w:r>
    </w:p>
    <w:p>
      <w:pPr>
        <w:spacing w:after="100"/>
      </w:pPr>
      <w:r>
        <w:t>V2 operationalizes the three-level hierarchy anticipated in V1: S3/MinIO durable adapter store -&gt; CPU/local worker cache -&gt; active vLLM/runtime adapter set -&gt; GPU execution.</w:t>
      </w:r>
    </w:p>
    <w:p>
      <w:pPr>
        <w:spacing w:after="100"/>
      </w:pPr>
      <w:r>
        <w:t>Adapter states remain explicit and should be extended with cache location, last-used timestamp, load latency, failure reason, pinning policy, and compatibility metadata.</w:t>
      </w:r>
    </w:p>
    <w:p>
      <w:pPr>
        <w:spacing w:after="100"/>
      </w:pPr>
      <w:r>
        <w:t>Eviction policies may include LRU, LFU, pinned adapters for premium/latency-sensitive tenants, and predictive preloading based on recent or scheduled traffic.</w:t>
      </w:r>
    </w:p>
    <w:p>
      <w:pPr>
        <w:spacing w:after="100"/>
      </w:pPr>
      <w:r>
        <w:t>Adapter locality becomes a scheduler input. Cache optimization must never bypass tenant ownership or adapter compatibility checks.</w:t>
      </w:r>
    </w:p>
    <w:p>
      <w:pPr>
        <w:pStyle w:val="Heading1"/>
      </w:pPr>
      <w:r>
        <w:t>13. Multi-Tenancy, Quotas, and Service Classes</w:t>
      </w:r>
    </w:p>
    <w:p>
      <w:pPr>
        <w:spacing w:after="100"/>
      </w:pPr>
      <w:r>
        <w:t>V1 tenant isolation remains mandatory. V2 adds distributed enforcement across workers and service-class-aware admission.</w:t>
      </w:r>
    </w:p>
    <w:p>
      <w:pPr>
        <w:spacing w:after="100"/>
      </w:pPr>
      <w:r>
        <w:t>Service classes may include standard, priority, and reserved-capacity tiers. The exact commercial names are product decisions; the technical contract is a policy describing queue priority, concurrency entitlement, token budget, and capacity reservation.</w:t>
      </w:r>
    </w:p>
    <w:p>
      <w:pPr>
        <w:spacing w:after="100"/>
      </w:pPr>
      <w:r>
        <w:t>Admission control remains preferable to unbounded queues. Overload must degrade predictably and should expose a clear reason code.</w:t>
      </w:r>
    </w:p>
    <w:p>
      <w:pPr>
        <w:pStyle w:val="Heading1"/>
      </w:pPr>
      <w:r>
        <w:t>14. SLOs and Capacity Guarantees</w:t>
      </w:r>
    </w:p>
    <w:p>
      <w:pPr>
        <w:spacing w:after="100"/>
      </w:pPr>
      <w:r>
        <w:t>SLOs should be based on measured service behavior such as TTFT P95/P99, total latency, availability, overload rejection behavior, and completion throughput under a defined workload profile.</w:t>
      </w:r>
    </w:p>
    <w:p>
      <w:pPr>
        <w:spacing w:after="100"/>
      </w:pPr>
      <w:r>
        <w:t>Capacity promises must specify prompt/output profiles and context tier. A generic 'N concurrent users' promise remains misleading because connected users, queued requests, prefill work, active decode sequences, and long-context sequences are different states.</w:t>
      </w:r>
    </w:p>
    <w:p>
      <w:pPr>
        <w:spacing w:after="100"/>
      </w:pPr>
      <w:r>
        <w:t>Reserved capacity should be introduced only when the platform can enforce it through admission and scheduling.</w:t>
      </w:r>
    </w:p>
    <w:p>
      <w:pPr>
        <w:pStyle w:val="Heading1"/>
      </w:pPr>
      <w:r>
        <w:t>15. Autoscaling and Warm Pools</w:t>
      </w:r>
    </w:p>
    <w:p>
      <w:pPr>
        <w:spacing w:after="100"/>
      </w:pPr>
      <w:r>
        <w:t>Autoscaling is introduced only after demand varies strongly enough that fixed capacity is inefficient.</w:t>
      </w:r>
    </w:p>
    <w:p>
      <w:pPr>
        <w:spacing w:after="100"/>
      </w:pPr>
      <w:r>
        <w:t>Signals should include queue depth, queue wait, TTFT trend, active sequences, GPU utilization, KV pressure, request arrival rate, and deployment warm-up time.</w:t>
      </w:r>
    </w:p>
    <w:p>
      <w:pPr>
        <w:spacing w:after="100"/>
      </w:pPr>
      <w:r>
        <w:t>Because model loading is not instantaneous, V2 should support minimum warm capacity and optionally a warm-pool strategy. Scale-down must avoid evicting active work and should account for adapter/model locality.</w:t>
      </w:r>
    </w:p>
    <w:p>
      <w:pPr>
        <w:pStyle w:val="Heading1"/>
      </w:pPr>
      <w:r>
        <w:t>16. Prefix Caching in Multi-Worker V2</w:t>
      </w:r>
    </w:p>
    <w:p>
      <w:pPr>
        <w:spacing w:after="100"/>
      </w:pPr>
      <w:r>
        <w:t>Prefix caching remains owned by vLLM at the worker level. The control plane should observe prefix-cache effectiveness and avoid assuming cache state is globally shared.</w:t>
      </w:r>
    </w:p>
    <w:p>
      <w:pPr>
        <w:spacing w:after="100"/>
      </w:pPr>
      <w:r>
        <w:t>Routing may eventually use workload affinity when repeated prefixes are materially valuable, but this should be implemented only after metrics show that affinity improves prefill cost without creating worker imbalance.</w:t>
      </w:r>
    </w:p>
    <w:p>
      <w:pPr>
        <w:pStyle w:val="Heading1"/>
      </w:pPr>
      <w:r>
        <w:t>17. API Surface</w:t>
      </w:r>
    </w:p>
    <w:p>
      <w:pPr>
        <w:spacing w:after="100"/>
      </w:pPr>
      <w:r>
        <w:t>Existing V1 endpoints remain backward compatible: POST /v1/chat/completions, optional POST /v1/completions, GET /v1/models, adapter APIs, API-key/usage/deployment/worker APIs, /health, and /metrics.</w:t>
      </w:r>
    </w:p>
    <w:p>
      <w:pPr>
        <w:spacing w:after="100"/>
      </w:pPr>
      <w:r>
        <w:t>V2 control-plane additions may include worker registration/administration, deployment create/update/rollout operations, service-class policy APIs, model catalog APIs, adapter-cache status/pinning operations, and optional fine-tuning job APIs.</w:t>
      </w:r>
    </w:p>
    <w:p>
      <w:pPr>
        <w:spacing w:after="100"/>
      </w:pPr>
      <w:r>
        <w:t>Client inference requests continue to use product-level logical model aliases rather than worker endpoints or raw Hugging Face paths.</w:t>
      </w:r>
    </w:p>
    <w:p>
      <w:pPr>
        <w:pStyle w:val="Heading1"/>
      </w:pPr>
      <w:r>
        <w:t>18. Suggested V2 Data Model Additions</w:t>
      </w:r>
    </w:p>
    <w:p>
      <w:pPr>
        <w:pStyle w:val="ListBullet"/>
      </w:pPr>
      <w:r>
        <w:t>workers: add capabilities_json, active_sequences, queue_depth, kv_pressure, runtime_version, health_reason, rollout_generation.</w:t>
      </w:r>
    </w:p>
    <w:p>
      <w:pPr>
        <w:pStyle w:val="ListBullet"/>
      </w:pPr>
      <w:r>
        <w:t>deployments: add desired_state, revision, readiness, service_tier, kv_dtype, placement_policy, rollout_state.</w:t>
      </w:r>
    </w:p>
    <w:p>
      <w:pPr>
        <w:pStyle w:val="ListBullet"/>
      </w:pPr>
      <w:r>
        <w:t>routing_events: request_id, candidate_workers, selected_worker, scores/reasons, adapter_locality, policy_version.</w:t>
      </w:r>
    </w:p>
    <w:p>
      <w:pPr>
        <w:pStyle w:val="ListBullet"/>
      </w:pPr>
      <w:r>
        <w:t>service_classes: id, name, priority, concurrency_policy, token_policy, reservation_policy, slo_json.</w:t>
      </w:r>
    </w:p>
    <w:p>
      <w:pPr>
        <w:pStyle w:val="ListBullet"/>
      </w:pPr>
      <w:r>
        <w:t>adapter_cache_entries: adapter_id, worker_id, cache_level, loaded_at, last_used_at, load_ms, pinned, eviction_reason.</w:t>
      </w:r>
    </w:p>
    <w:p>
      <w:pPr>
        <w:pStyle w:val="ListBullet"/>
      </w:pPr>
      <w:r>
        <w:t>model_benchmarks: model_id, gpu_type, runtime_config, prompt_profile, output_profile, concurrency, TTFT/latency/throughput/cost metrics.</w:t>
      </w:r>
    </w:p>
    <w:p>
      <w:pPr>
        <w:pStyle w:val="ListBullet"/>
      </w:pPr>
      <w:r>
        <w:t>scaling_events: worker_pool, signal snapshot, desired_count, previous_count, reason, timestamp.</w:t>
      </w:r>
    </w:p>
    <w:p>
      <w:pPr>
        <w:pStyle w:val="ListBullet"/>
      </w:pPr>
      <w:r>
        <w:t>training_jobs (optional): tenant, dataset/artifact refs, base model, LoRA config, status, output adapter, metrics.</w:t>
      </w:r>
    </w:p>
    <w:p>
      <w:pPr>
        <w:pStyle w:val="Heading1"/>
      </w:pPr>
      <w:r>
        <w:t>19. Observability</w:t>
      </w:r>
    </w:p>
    <w:p>
      <w:pPr>
        <w:pStyle w:val="ListBullet"/>
      </w:pPr>
      <w:r>
        <w:t>Retain all V1 per-request fields: request identity, tenant/key, logical/base model, adapter, deployment, tokens, gateway/routing/queue/TTFT/decode/total latency, throughput, runtime metadata, outcome, and timestamps.</w:t>
      </w:r>
    </w:p>
    <w:p>
      <w:pPr>
        <w:pStyle w:val="ListBullet"/>
      </w:pPr>
      <w:r>
        <w:t>Add per-worker queue, active sequences, GPU/VRAM, KV pressure, health, model load time, and deployment readiness.</w:t>
      </w:r>
    </w:p>
    <w:p>
      <w:pPr>
        <w:pStyle w:val="ListBullet"/>
      </w:pPr>
      <w:r>
        <w:t>Add scheduler decision traces, candidate rejection reasons, adapter-locality benefit, cache hit/miss/eviction/load latency, worker-pool availability, rollout events, scaling decisions, and SLO compliance.</w:t>
      </w:r>
    </w:p>
    <w:p>
      <w:pPr>
        <w:pStyle w:val="ListBullet"/>
      </w:pPr>
      <w:r>
        <w:t>Dashboards should support drill-down by tenant, service class, logical model, physical model, deployment, worker, adapter, GPU type, and runtime revision.</w:t>
      </w:r>
    </w:p>
    <w:p>
      <w:pPr>
        <w:pStyle w:val="Heading1"/>
      </w:pPr>
      <w:r>
        <w:t>20. Failure Modes and Resilience</w:t>
      </w:r>
    </w:p>
    <w:p>
      <w:pPr>
        <w:pStyle w:val="ListBullet"/>
      </w:pPr>
      <w:r>
        <w:t>Worker unavailable: remove from routing after health threshold; do not send new work.</w:t>
      </w:r>
    </w:p>
    <w:p>
      <w:pPr>
        <w:pStyle w:val="ListBullet"/>
      </w:pPr>
      <w:r>
        <w:t>Worker failure before streaming: retry only if safe and policy permits.</w:t>
      </w:r>
    </w:p>
    <w:p>
      <w:pPr>
        <w:pStyle w:val="ListBullet"/>
      </w:pPr>
      <w:r>
        <w:t>Worker failure after streaming begins: terminate clearly; do not silently replay partial output.</w:t>
      </w:r>
    </w:p>
    <w:p>
      <w:pPr>
        <w:pStyle w:val="ListBullet"/>
      </w:pPr>
      <w:r>
        <w:t>Deployment/model not ready: mark unroutable and expose readiness reason.</w:t>
      </w:r>
    </w:p>
    <w:p>
      <w:pPr>
        <w:pStyle w:val="ListBullet"/>
      </w:pPr>
      <w:r>
        <w:t>Scheduler unavailable: fail predictably or use a deliberately defined degraded routing policy; do not invent worker state.</w:t>
      </w:r>
    </w:p>
    <w:p>
      <w:pPr>
        <w:pStyle w:val="ListBullet"/>
      </w:pPr>
      <w:r>
        <w:t>Adapter cache miss: load according to policy or return explicit unavailable/timeout behavior based on service class.</w:t>
      </w:r>
    </w:p>
    <w:p>
      <w:pPr>
        <w:pStyle w:val="ListBullet"/>
      </w:pPr>
      <w:r>
        <w:t>Artifact store unavailable: already loaded/cached artifacts may continue; new loads fail explicitly.</w:t>
      </w:r>
    </w:p>
    <w:p>
      <w:pPr>
        <w:pStyle w:val="ListBullet"/>
      </w:pPr>
      <w:r>
        <w:t>Database unavailable: fail closed for auth/control operations.</w:t>
      </w:r>
    </w:p>
    <w:p>
      <w:pPr>
        <w:pStyle w:val="ListBullet"/>
      </w:pPr>
      <w:r>
        <w:t>Queue saturation: reject/admit according to tenant/service-class policy rather than allowing runaway latency.</w:t>
      </w:r>
    </w:p>
    <w:p>
      <w:pPr>
        <w:pStyle w:val="Heading1"/>
      </w:pPr>
      <w:r>
        <w:t>21. Security and Operational Hardening</w:t>
      </w:r>
    </w:p>
    <w:p>
      <w:pPr>
        <w:pStyle w:val="ListBullet"/>
      </w:pPr>
      <w:r>
        <w:t>Preserve V1 hashed API-key storage, one-time secret display, revocation, tenant ownership checks, separate admin authorization, artifact validation, input/output ceilings, audit logs, pinned runtime/model revisions, backups, and no raw prompt logging by default.</w:t>
      </w:r>
    </w:p>
    <w:p>
      <w:pPr>
        <w:pStyle w:val="ListBullet"/>
      </w:pPr>
      <w:r>
        <w:t>Add worker identity/authentication, secure control-plane-to-worker communication, least-privilege artifact access, deployment change audit logs, scheduler-policy versioning, and protected orchestration credentials.</w:t>
      </w:r>
    </w:p>
    <w:p>
      <w:pPr>
        <w:pStyle w:val="ListBullet"/>
      </w:pPr>
      <w:r>
        <w:t>Fine-tuning, if enabled, requires separate dataset governance and isolation from production serving credentials and resources.</w:t>
      </w:r>
    </w:p>
    <w:p>
      <w:pPr>
        <w:pStyle w:val="Heading1"/>
      </w:pPr>
      <w:r>
        <w:t>22. Optional LoRA Fine-Tuning Service</w:t>
      </w:r>
    </w:p>
    <w:p>
      <w:pPr>
        <w:spacing w:after="100"/>
      </w:pPr>
      <w:r>
        <w:t>Training is a separate V2 service only when customers request it. A job accepts a tenant-owned dataset/artifact reference, supported base model, LoRA configuration, and resource policy, then produces a validated adapter artifact that enters the normal adapter registry.</w:t>
      </w:r>
    </w:p>
    <w:p>
      <w:pPr>
        <w:spacing w:after="100"/>
      </w:pPr>
      <w:r>
        <w:t>Training jobs must not share production inference GPU capacity unless explicitly scheduled in a way that cannot destabilize serving.</w:t>
      </w:r>
    </w:p>
    <w:p>
      <w:pPr>
        <w:spacing w:after="100"/>
      </w:pPr>
      <w:r>
        <w:t>Dataset validation, artifact lineage, job logs, evaluation metrics, failure state, output adapter revision, and tenant ownership must be durable.</w:t>
      </w:r>
    </w:p>
    <w:p>
      <w:pPr>
        <w:pStyle w:val="Heading1"/>
      </w:pPr>
      <w:r>
        <w:t>23. V2 Benchmark Plan</w:t>
      </w:r>
    </w:p>
    <w:p>
      <w:pPr>
        <w:pStyle w:val="ListBullet"/>
      </w:pPr>
      <w:r>
        <w:t>Repeat the V1 short/medium/long/shared-prefix/multi-LoRA profiles across each supported GPU/model/context tier.</w:t>
      </w:r>
    </w:p>
    <w:p>
      <w:pPr>
        <w:pStyle w:val="ListBullet"/>
      </w:pPr>
      <w:r>
        <w:t>Benchmark worker counts 1 -&gt; 2 -&gt; N to measure scheduler overhead and horizontal throughput scaling.</w:t>
      </w:r>
    </w:p>
    <w:p>
      <w:pPr>
        <w:pStyle w:val="ListBullet"/>
      </w:pPr>
      <w:r>
        <w:t>Benchmark mixed service classes and verify admission/priority behavior under saturation.</w:t>
      </w:r>
    </w:p>
    <w:p>
      <w:pPr>
        <w:pStyle w:val="ListBullet"/>
      </w:pPr>
      <w:r>
        <w:t>Benchmark adapter cold-load, local-cache hit, active-runtime hit, eviction, and preload scenarios.</w:t>
      </w:r>
    </w:p>
    <w:p>
      <w:pPr>
        <w:pStyle w:val="ListBullet"/>
      </w:pPr>
      <w:r>
        <w:t>Benchmark worker loss during queueing, prefill, and decode.</w:t>
      </w:r>
    </w:p>
    <w:p>
      <w:pPr>
        <w:pStyle w:val="ListBullet"/>
      </w:pPr>
      <w:r>
        <w:t>Benchmark BF16 KV vs FP8 KV where enabled.</w:t>
      </w:r>
    </w:p>
    <w:p>
      <w:pPr>
        <w:pStyle w:val="ListBullet"/>
      </w:pPr>
      <w:r>
        <w:t>Benchmark scale-out/scale-in and warm-up behavior before enabling automatic scaling.</w:t>
      </w:r>
    </w:p>
    <w:p>
      <w:pPr>
        <w:pStyle w:val="Heading1"/>
      </w:pPr>
      <w:r>
        <w:t>24. V2 Success Criteria</w:t>
      </w:r>
    </w:p>
    <w:p>
      <w:pPr>
        <w:pStyle w:val="ListBullet"/>
      </w:pPr>
      <w:r>
        <w:t>Client compatibility: V1 inference clients continue to work without endpoint changes.</w:t>
      </w:r>
    </w:p>
    <w:p>
      <w:pPr>
        <w:pStyle w:val="ListBullet"/>
      </w:pPr>
      <w:r>
        <w:t>Horizontal scale: two or more workers can serve traffic with health-aware routing and no tenant isolation regression.</w:t>
      </w:r>
    </w:p>
    <w:p>
      <w:pPr>
        <w:pStyle w:val="ListBullet"/>
      </w:pPr>
      <w:r>
        <w:t>Resilience: unhealthy workers are removed from routing and recovery behavior is observable.</w:t>
      </w:r>
    </w:p>
    <w:p>
      <w:pPr>
        <w:pStyle w:val="ListBullet"/>
      </w:pPr>
      <w:r>
        <w:t>Capacity: aggregate throughput increases predictably as compatible workers are added for workloads that can scale horizontally.</w:t>
      </w:r>
    </w:p>
    <w:p>
      <w:pPr>
        <w:pStyle w:val="ListBullet"/>
      </w:pPr>
      <w:r>
        <w:t>Adapters: a larger adapter fleet can be served with measurable cache behavior and bounded load latency.</w:t>
      </w:r>
    </w:p>
    <w:p>
      <w:pPr>
        <w:pStyle w:val="ListBullet"/>
      </w:pPr>
      <w:r>
        <w:t>Context: long-context traffic can be isolated/routed without destabilizing standard interactive traffic.</w:t>
      </w:r>
    </w:p>
    <w:p>
      <w:pPr>
        <w:pStyle w:val="ListBullet"/>
      </w:pPr>
      <w:r>
        <w:t>Operations: scheduler, worker, deployment, GPU/KV, adapter-cache, and SLO metrics are actionable.</w:t>
      </w:r>
    </w:p>
    <w:p>
      <w:pPr>
        <w:pStyle w:val="ListBullet"/>
      </w:pPr>
      <w:r>
        <w:t>Economics: cost and throughput can be attributed by model/GPU/service tier sufficiently to guide capacity decisions.</w:t>
      </w:r>
    </w:p>
    <w:p>
      <w:pPr>
        <w:pStyle w:val="Heading1"/>
      </w:pPr>
      <w:r>
        <w:t>25. V2 Development Milestones</w:t>
      </w:r>
    </w:p>
    <w:p>
      <w:pPr>
        <w:pStyle w:val="ListBullet"/>
      </w:pPr>
      <w:r>
        <w:t>M1: Second worker - register two GPU workers and expose health/capacity metadata.</w:t>
      </w:r>
    </w:p>
    <w:p>
      <w:pPr>
        <w:pStyle w:val="ListBullet"/>
      </w:pPr>
      <w:r>
        <w:t>M2: Scheduler - route across healthy compatible deployments and persist routing decisions.</w:t>
      </w:r>
    </w:p>
    <w:p>
      <w:pPr>
        <w:pStyle w:val="ListBullet"/>
      </w:pPr>
      <w:r>
        <w:t>M3: Failure handling - remove unhealthy workers and validate safe retry semantics.</w:t>
      </w:r>
    </w:p>
    <w:p>
      <w:pPr>
        <w:pStyle w:val="ListBullet"/>
      </w:pPr>
      <w:r>
        <w:t>M4: Orchestration - introduce Kubernetes only if the worker lifecycle now warrants it.</w:t>
      </w:r>
    </w:p>
    <w:p>
      <w:pPr>
        <w:pStyle w:val="ListBullet"/>
      </w:pPr>
      <w:r>
        <w:t>M5: Adapter cache manager - local cache metadata, load/eviction/pinning and locality-aware routing.</w:t>
      </w:r>
    </w:p>
    <w:p>
      <w:pPr>
        <w:pStyle w:val="ListBullet"/>
      </w:pPr>
      <w:r>
        <w:t>M6: Context tiers - validate FP8 KV and/or larger-VRAM long-context deployment.</w:t>
      </w:r>
    </w:p>
    <w:p>
      <w:pPr>
        <w:pStyle w:val="ListBullet"/>
      </w:pPr>
      <w:r>
        <w:t>M7: Model catalog - add a second base model only with a defined workload and benchmark envelope.</w:t>
      </w:r>
    </w:p>
    <w:p>
      <w:pPr>
        <w:pStyle w:val="ListBullet"/>
      </w:pPr>
      <w:r>
        <w:t>M8: Service classes - priority/reserved capacity and SLO dashboards if customer demand exists.</w:t>
      </w:r>
    </w:p>
    <w:p>
      <w:pPr>
        <w:pStyle w:val="ListBullet"/>
      </w:pPr>
      <w:r>
        <w:t>M9: Autoscaling - measured scaling signals, minimum warm capacity, safe scale-down.</w:t>
      </w:r>
    </w:p>
    <w:p>
      <w:pPr>
        <w:pStyle w:val="ListBullet"/>
      </w:pPr>
      <w:r>
        <w:t>M10: Fine-tuning jobs - optional separate LoRA training service if requested.</w:t>
      </w:r>
    </w:p>
    <w:p>
      <w:pPr>
        <w:pStyle w:val="Heading1"/>
      </w:pPr>
      <w:r>
        <w:t>26. Migration from V1</w:t>
      </w:r>
    </w:p>
    <w:p>
      <w:pPr>
        <w:pStyle w:val="ListBullet"/>
      </w:pPr>
      <w:r>
        <w:t>Keep organizations, API keys, models, adapters, requests, usage metrics, workers, and deployments. Add fields/tables rather than replacing the schema.</w:t>
      </w:r>
    </w:p>
    <w:p>
      <w:pPr>
        <w:pStyle w:val="ListBullet"/>
      </w:pPr>
      <w:r>
        <w:t>Keep logical aliases stable. The alias that previously resolved to one deployment can resolve to a scheduler-selected deployment without client changes.</w:t>
      </w:r>
    </w:p>
    <w:p>
      <w:pPr>
        <w:pStyle w:val="ListBullet"/>
      </w:pPr>
      <w:r>
        <w:t>Treat the original V1 worker as the first member of the V2 worker pool.</w:t>
      </w:r>
    </w:p>
    <w:p>
      <w:pPr>
        <w:pStyle w:val="ListBullet"/>
      </w:pPr>
      <w:r>
        <w:t>Roll out scheduling in shadow/observe mode first where practical: compute the candidate choice, compare it with actual routing, then enable active routing.</w:t>
      </w:r>
    </w:p>
    <w:p>
      <w:pPr>
        <w:pStyle w:val="ListBullet"/>
      </w:pPr>
      <w:r>
        <w:t>Do not enable Kubernetes, autoscaling, FP8 KV, or additional models simultaneously. Each change should have its own benchmark and rollback boundary.</w:t>
      </w:r>
    </w:p>
    <w:p>
      <w:pPr>
        <w:pStyle w:val="Heading1"/>
      </w:pPr>
      <w:r>
        <w:t>27. Final V2 Product Boundary</w:t>
      </w:r>
    </w:p>
    <w:p>
      <w:pPr>
        <w:spacing w:after="100"/>
      </w:pPr>
      <w:r>
        <w:t>V2 = V1 contract + multi-worker control plane + health/capacity scheduler + operational worker/deployment lifecycle + larger adapter fleet management + context/model/service tiers where justified.</w:t>
      </w:r>
    </w:p>
    <w:p>
      <w:pPr>
        <w:spacing w:after="100"/>
      </w:pPr>
      <w:r>
        <w:t>vLLM remains the inference runtime. Kubernetes, autoscaling, additional models, FP8 KV, long-context hardware tiers, and LoRA fine-tuning are conditional V2 capabilities driven by measured requirements rather than mandatory complexity.</w:t>
      </w:r>
    </w:p>
    <w:p>
      <w:pPr>
        <w:pStyle w:val="Heading1"/>
      </w:pPr>
      <w:r>
        <w:t>28. Source Basis</w:t>
      </w:r>
    </w:p>
    <w:p>
      <w:pPr>
        <w:spacing w:after="100"/>
      </w:pPr>
      <w:r>
        <w:t>This V2 specification is derived from the supplied V1 document's Feedback-Driven V2 Decision Tree, Kubernetes trigger conditions, Future Multi-GPU Architecture, Adapter Cache Strategy, FP8 KV Cache experiment, deferred feature checklist, worker/deployment abstractions, and the core 'measure before scaling' philosophy. It intentionally does not introduce unrelated product directions that are unsupported by the supplied specification.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Mini-Predibase Inference Platform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