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8"/>
        </w:rPr>
        <w:t>OLYMPUS</w:t>
      </w:r>
    </w:p>
    <w:p>
      <w:pPr>
        <w:jc w:val="center"/>
      </w:pPr>
      <w:r>
        <w:rPr>
          <w:rFonts w:ascii="Aptos" w:hAnsi="Aptos"/>
          <w:b/>
          <w:color w:val="2F5597"/>
          <w:sz w:val="28"/>
        </w:rPr>
        <w:t>Autonomous Software Delivery Operating System</w:t>
      </w:r>
    </w:p>
    <w:p/>
    <w:p>
      <w:pPr>
        <w:jc w:val="center"/>
      </w:pPr>
      <w:r>
        <w:rPr>
          <w:rFonts w:ascii="Aptos Display" w:hAnsi="Aptos Display"/>
          <w:b/>
          <w:color w:val="5B4BCE"/>
          <w:sz w:val="48"/>
        </w:rPr>
        <w:t>MVP Technical Implementation Specification</w:t>
      </w:r>
    </w:p>
    <w:p>
      <w:pPr>
        <w:jc w:val="center"/>
      </w:pPr>
      <w:r>
        <w:rPr>
          <w:rFonts w:ascii="Aptos" w:hAnsi="Aptos"/>
          <w:color w:val="6B7280"/>
          <w:sz w:val="22"/>
        </w:rPr>
        <w:t>Implementation contracts, technology stack, runtime architecture, integrations and E2E build plan</w:t>
      </w:r>
    </w:p>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pPr>
              <w:spacing w:after="40"/>
            </w:pPr>
            <w:r>
              <w:rPr>
                <w:rFonts w:ascii="Aptos" w:hAnsi="Aptos"/>
                <w:b/>
                <w:color w:val="FFFFFF"/>
                <w:sz w:val="16"/>
              </w:rPr>
              <w:t>Document</w:t>
            </w:r>
          </w:p>
        </w:tc>
        <w:tc>
          <w:tcPr>
            <w:tcW w:type="dxa" w:w="5083"/>
          </w:tcPr>
          <w:p>
            <w:pPr>
              <w:spacing w:after="40"/>
            </w:pPr>
            <w:r>
              <w:rPr>
                <w:rFonts w:ascii="Aptos" w:hAnsi="Aptos"/>
                <w:sz w:val="16"/>
              </w:rPr>
              <w:t>Technical Implementation Specification</w:t>
            </w:r>
          </w:p>
        </w:tc>
      </w:tr>
      <w:tr>
        <w:tc>
          <w:tcPr>
            <w:tcW w:type="dxa" w:w="5083"/>
            <w:shd w:fill="17365D"/>
          </w:tcPr>
          <w:p>
            <w:pPr>
              <w:spacing w:after="40"/>
            </w:pPr>
            <w:r>
              <w:rPr>
                <w:rFonts w:ascii="Aptos" w:hAnsi="Aptos"/>
                <w:b/>
                <w:color w:val="FFFFFF"/>
                <w:sz w:val="16"/>
              </w:rPr>
              <w:t>Version</w:t>
            </w:r>
          </w:p>
        </w:tc>
        <w:tc>
          <w:tcPr>
            <w:tcW w:type="dxa" w:w="5083"/>
          </w:tcPr>
          <w:p>
            <w:pPr>
              <w:spacing w:after="40"/>
            </w:pPr>
            <w:r>
              <w:rPr>
                <w:rFonts w:ascii="Aptos" w:hAnsi="Aptos"/>
                <w:sz w:val="16"/>
              </w:rPr>
              <w:t>1.0</w:t>
            </w:r>
          </w:p>
        </w:tc>
      </w:tr>
      <w:tr>
        <w:tc>
          <w:tcPr>
            <w:tcW w:type="dxa" w:w="5083"/>
            <w:shd w:fill="17365D"/>
          </w:tcPr>
          <w:p>
            <w:pPr>
              <w:spacing w:after="40"/>
            </w:pPr>
            <w:r>
              <w:rPr>
                <w:rFonts w:ascii="Aptos" w:hAnsi="Aptos"/>
                <w:b/>
                <w:color w:val="FFFFFF"/>
                <w:sz w:val="16"/>
              </w:rPr>
              <w:t>Implementation target</w:t>
            </w:r>
          </w:p>
        </w:tc>
        <w:tc>
          <w:tcPr>
            <w:tcW w:type="dxa" w:w="5083"/>
          </w:tcPr>
          <w:p>
            <w:pPr>
              <w:spacing w:after="40"/>
            </w:pPr>
            <w:r>
              <w:rPr>
                <w:rFonts w:ascii="Aptos" w:hAnsi="Aptos"/>
                <w:sz w:val="16"/>
              </w:rPr>
              <w:t>Olympus MVP - Greenfield, Brownfield, Feature Change, Bug Fix</w:t>
            </w:r>
          </w:p>
        </w:tc>
      </w:tr>
      <w:tr>
        <w:tc>
          <w:tcPr>
            <w:tcW w:type="dxa" w:w="5083"/>
            <w:shd w:fill="17365D"/>
          </w:tcPr>
          <w:p>
            <w:pPr>
              <w:spacing w:after="40"/>
            </w:pPr>
            <w:r>
              <w:rPr>
                <w:rFonts w:ascii="Aptos" w:hAnsi="Aptos"/>
                <w:b/>
                <w:color w:val="FFFFFF"/>
                <w:sz w:val="16"/>
              </w:rPr>
              <w:t>Primary implementation rule</w:t>
            </w:r>
          </w:p>
        </w:tc>
        <w:tc>
          <w:tcPr>
            <w:tcW w:type="dxa" w:w="5083"/>
          </w:tcPr>
          <w:p>
            <w:pPr>
              <w:spacing w:after="40"/>
            </w:pPr>
            <w:r>
              <w:rPr>
                <w:rFonts w:ascii="Aptos" w:hAnsi="Aptos"/>
                <w:sz w:val="16"/>
              </w:rPr>
              <w:t>Use live LLM execution wherever the product behavior depends on model reasoning; do not substitute mocked model responses for journey proof.</w:t>
            </w:r>
          </w:p>
        </w:tc>
      </w:tr>
    </w:tbl>
    <w:p/>
    <w:p>
      <w:pPr>
        <w:jc w:val="center"/>
      </w:pPr>
      <w:r>
        <w:rPr>
          <w:rFonts w:ascii="Aptos" w:hAnsi="Aptos"/>
          <w:b/>
          <w:color w:val="5B4BCE"/>
          <w:sz w:val="20"/>
        </w:rPr>
        <w:t>Implementation north star</w:t>
      </w:r>
    </w:p>
    <w:p>
      <w:pPr>
        <w:jc w:val="center"/>
      </w:pPr>
      <w:r>
        <w:rPr>
          <w:rFonts w:ascii="Aptos" w:hAnsi="Aptos"/>
          <w:b/>
          <w:color w:val="17365D"/>
          <w:sz w:val="24"/>
        </w:rPr>
        <w:t>Product intent / repository state → governed execution → product-to-code lineage → evidence-backed release</w:t>
      </w:r>
    </w:p>
    <w:p>
      <w:r>
        <w:br w:type="page"/>
      </w:r>
    </w:p>
    <w:p>
      <w:pPr>
        <w:pStyle w:val="Heading1"/>
      </w:pPr>
      <w:r>
        <w:t>1. Purpose and Implementation Boundary</w:t>
      </w:r>
    </w:p>
    <w:p>
      <w:r>
        <w:t>This document defines how the Olympus MVP is implemented technically. The architecture is centered on a deterministic software-delivery control plane that maintains authoritative delivery state and product-to-code lineage while delegating bounded reasoning and implementation to AI engineering agents.</w:t>
      </w:r>
    </w:p>
    <w:p>
      <w:r>
        <w:t>The implementation must support four end-to-end journeys on one persistent Project model: Greenfield Build, Brownfield Onboarding, Feature Change and Bug Fix. Each journey is implemented as a vertical slice over the same control, work, execution, intelligence and assurance capabilities rather than as a separate agent application.</w:t>
      </w:r>
    </w:p>
    <w:p>
      <w:pPr>
        <w:pStyle w:val="Heading2"/>
      </w:pPr>
      <w:r>
        <w:t>1.1 Non-negotiable implementation invariants</w:t>
      </w:r>
    </w:p>
    <w:p>
      <w:pPr>
        <w:pStyle w:val="ListBullet"/>
      </w:pPr>
      <w:r>
        <w:t>The database-backed Olympus control plane is the source of truth for Project, DeliveryCycle, specification, Task, Execution, Evidence, Gate, Approval, IntegrationCandidate and Release state.</w:t>
      </w:r>
    </w:p>
    <w:p>
      <w:pPr>
        <w:pStyle w:val="ListBullet"/>
      </w:pPr>
      <w:r>
        <w:t>Agent/runtime memory, LangGraph checkpoints and model transcripts are never authoritative delivery state.</w:t>
      </w:r>
    </w:p>
    <w:p>
      <w:pPr>
        <w:pStyle w:val="ListBullet"/>
      </w:pPr>
      <w:r>
        <w:t>Every execution receives a versioned TaskContract and immutable ExecutionSnapshot.</w:t>
      </w:r>
    </w:p>
    <w:p>
      <w:pPr>
        <w:pStyle w:val="ListBullet"/>
      </w:pPr>
      <w:r>
        <w:t>Every writable code execution runs in an isolated Git worktree or equivalent bounded workspace.</w:t>
      </w:r>
    </w:p>
    <w:p>
      <w:pPr>
        <w:pStyle w:val="ListBullet"/>
      </w:pPr>
      <w:r>
        <w:t>Every privileged tool or external-system action crosses ToolGateway and is scope/policy checked before execution.</w:t>
      </w:r>
    </w:p>
    <w:p>
      <w:pPr>
        <w:pStyle w:val="ListBullet"/>
      </w:pPr>
      <w:r>
        <w:t>A Task is not complete merely because an agent reports success. Completion requires required outputs and verification evidence.</w:t>
      </w:r>
    </w:p>
    <w:p>
      <w:pPr>
        <w:pStyle w:val="ListBullet"/>
      </w:pPr>
      <w:r>
        <w:t>A release is eligible only against the exact IntegrationCandidate commit that was independently verified.</w:t>
      </w:r>
    </w:p>
    <w:p>
      <w:pPr>
        <w:pStyle w:val="ListBullet"/>
      </w:pPr>
      <w:r>
        <w:t>Product-to-code relationships are persisted so Olympus can traverse Feature/Spec → Tasks/Executions → code symbols → tests/evidence and back.</w:t>
      </w:r>
    </w:p>
    <w:p>
      <w:pPr>
        <w:pStyle w:val="Heading2"/>
      </w:pPr>
      <w:r>
        <w:t>1.2 Live LLM execution policy</w:t>
      </w:r>
    </w:p>
    <w:tbl>
      <w:tblPr>
        <w:tblStyle w:val="TableGrid"/>
        <w:tblW w:type="auto" w:w="0"/>
        <w:tblLook w:firstColumn="1" w:firstRow="1" w:lastColumn="0" w:lastRow="0" w:noHBand="0" w:noVBand="1" w:val="04A0"/>
      </w:tblPr>
      <w:tblGrid>
        <w:gridCol w:w="10166"/>
      </w:tblGrid>
      <w:tr>
        <w:tc>
          <w:tcPr>
            <w:tcW w:type="dxa" w:w="10166"/>
            <w:shd w:fill="FFF4E5"/>
          </w:tcPr>
          <w:p>
            <w:pPr>
              <w:spacing w:after="40"/>
            </w:pPr>
            <w:r>
              <w:rPr>
                <w:rFonts w:ascii="Aptos" w:hAnsi="Aptos"/>
                <w:b/>
                <w:color w:val="17365D"/>
                <w:sz w:val="16"/>
              </w:rPr>
              <w:t xml:space="preserve">Critical rule - </w:t>
            </w:r>
            <w:r>
              <w:rPr>
                <w:rFonts w:ascii="Aptos" w:hAnsi="Aptos"/>
                <w:sz w:val="16"/>
              </w:rPr>
              <w:t>When product behavior requires semantic interpretation, decomposition, planning, repository reasoning, code generation, review or diagnosis, the implementation must call the configured live LLM provider through ModelRouter. Static mocked LLM responses must not be used to prove Greenfield, Brownfield, Feature Change or Bug Fix journeys.</w:t>
            </w:r>
          </w:p>
        </w:tc>
      </w:tr>
    </w:tbl>
    <w:p>
      <w:r>
        <w:t>Mocks remain appropriate only for narrow unit tests of deterministic infrastructure boundaries (for example HTTP timeout handling or parser error paths). They are not accepted as substitutes for LLM-dependent integration, workflow or journey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Test layer</w:t>
            </w:r>
          </w:p>
        </w:tc>
        <w:tc>
          <w:tcPr>
            <w:tcW w:type="dxa" w:w="5083"/>
            <w:shd w:fill="17365D"/>
            <w:vAlign w:val="center"/>
          </w:tcPr>
          <w:p>
            <w:pPr>
              <w:spacing w:after="40"/>
            </w:pPr>
            <w:r>
              <w:rPr>
                <w:rFonts w:ascii="Aptos" w:hAnsi="Aptos"/>
                <w:b/>
                <w:color w:val="FFFFFF"/>
                <w:sz w:val="16"/>
              </w:rPr>
              <w:t>LLM policy</w:t>
            </w:r>
          </w:p>
        </w:tc>
      </w:tr>
      <w:tr>
        <w:tc>
          <w:tcPr>
            <w:tcW w:type="dxa" w:w="5083"/>
            <w:vAlign w:val="top"/>
          </w:tcPr>
          <w:p>
            <w:pPr>
              <w:spacing w:after="40"/>
            </w:pPr>
            <w:r>
              <w:rPr>
                <w:rFonts w:ascii="Aptos" w:hAnsi="Aptos"/>
                <w:sz w:val="16"/>
              </w:rPr>
              <w:t>Pure unit tests</w:t>
            </w:r>
          </w:p>
        </w:tc>
        <w:tc>
          <w:tcPr>
            <w:tcW w:type="dxa" w:w="5083"/>
            <w:vAlign w:val="top"/>
          </w:tcPr>
          <w:p>
            <w:pPr>
              <w:spacing w:after="40"/>
            </w:pPr>
            <w:r>
              <w:rPr>
                <w:rFonts w:ascii="Aptos" w:hAnsi="Aptos"/>
                <w:sz w:val="16"/>
              </w:rPr>
              <w:t>May use stubs/fakes only when the unit under test is deterministic and LLM behavior is not the subject of the test.</w:t>
            </w:r>
          </w:p>
        </w:tc>
      </w:tr>
      <w:tr>
        <w:tc>
          <w:tcPr>
            <w:tcW w:type="dxa" w:w="5083"/>
            <w:vAlign w:val="top"/>
          </w:tcPr>
          <w:p>
            <w:pPr>
              <w:spacing w:after="40"/>
            </w:pPr>
            <w:r>
              <w:rPr>
                <w:rFonts w:ascii="Aptos" w:hAnsi="Aptos"/>
                <w:sz w:val="16"/>
              </w:rPr>
              <w:t>Agent contract tests</w:t>
            </w:r>
          </w:p>
        </w:tc>
        <w:tc>
          <w:tcPr>
            <w:tcW w:type="dxa" w:w="5083"/>
            <w:vAlign w:val="top"/>
          </w:tcPr>
          <w:p>
            <w:pPr>
              <w:spacing w:after="40"/>
            </w:pPr>
            <w:r>
              <w:rPr>
                <w:rFonts w:ascii="Aptos" w:hAnsi="Aptos"/>
                <w:sz w:val="16"/>
              </w:rPr>
              <w:t>Run structured-output calls against a configured real provider on a small deterministic fixture set; validate schema and invariants.</w:t>
            </w:r>
          </w:p>
        </w:tc>
      </w:tr>
      <w:tr>
        <w:tc>
          <w:tcPr>
            <w:tcW w:type="dxa" w:w="5083"/>
            <w:vAlign w:val="top"/>
          </w:tcPr>
          <w:p>
            <w:pPr>
              <w:spacing w:after="40"/>
            </w:pPr>
            <w:r>
              <w:rPr>
                <w:rFonts w:ascii="Aptos" w:hAnsi="Aptos"/>
                <w:sz w:val="16"/>
              </w:rPr>
              <w:t>Integration tests</w:t>
            </w:r>
          </w:p>
        </w:tc>
        <w:tc>
          <w:tcPr>
            <w:tcW w:type="dxa" w:w="5083"/>
            <w:vAlign w:val="top"/>
          </w:tcPr>
          <w:p>
            <w:pPr>
              <w:spacing w:after="40"/>
            </w:pPr>
            <w:r>
              <w:rPr>
                <w:rFonts w:ascii="Aptos" w:hAnsi="Aptos"/>
                <w:sz w:val="16"/>
              </w:rPr>
              <w:t>Use a real provider for flows that require model reasoning. Provider calls are tagged and cost-limited.</w:t>
            </w:r>
          </w:p>
        </w:tc>
      </w:tr>
      <w:tr>
        <w:tc>
          <w:tcPr>
            <w:tcW w:type="dxa" w:w="5083"/>
            <w:vAlign w:val="top"/>
          </w:tcPr>
          <w:p>
            <w:pPr>
              <w:spacing w:after="40"/>
            </w:pPr>
            <w:r>
              <w:rPr>
                <w:rFonts w:ascii="Aptos" w:hAnsi="Aptos"/>
                <w:sz w:val="16"/>
              </w:rPr>
              <w:t>Journey / E2E tests</w:t>
            </w:r>
          </w:p>
        </w:tc>
        <w:tc>
          <w:tcPr>
            <w:tcW w:type="dxa" w:w="5083"/>
            <w:vAlign w:val="top"/>
          </w:tcPr>
          <w:p>
            <w:pPr>
              <w:spacing w:after="40"/>
            </w:pPr>
            <w:r>
              <w:rPr>
                <w:rFonts w:ascii="Aptos" w:hAnsi="Aptos"/>
                <w:sz w:val="16"/>
              </w:rPr>
              <w:t>Must use real LLM execution for all LLM-dependent stages. No canned Kira/Scout/Forge/Warden/Sentinel outputs.</w:t>
            </w:r>
          </w:p>
        </w:tc>
      </w:tr>
    </w:tbl>
    <w:p>
      <w:pPr>
        <w:pStyle w:val="Heading1"/>
      </w:pPr>
      <w:r>
        <w:t>2. Proposed Technology Stack</w:t>
      </w:r>
    </w:p>
    <w:p>
      <w:r>
        <w:t>The stack below is a concrete MVP implementation choice. Core domain contracts remain provider/runtime neutral so individual components can be replaced without changing Olympus semantics.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pPr>
              <w:spacing w:after="40"/>
            </w:pPr>
            <w:r>
              <w:rPr>
                <w:rFonts w:ascii="Aptos" w:hAnsi="Aptos"/>
                <w:b/>
                <w:color w:val="FFFFFF"/>
                <w:sz w:val="16"/>
              </w:rPr>
              <w:t>Layer</w:t>
            </w:r>
          </w:p>
        </w:tc>
        <w:tc>
          <w:tcPr>
            <w:tcW w:type="dxa" w:w="3389"/>
            <w:shd w:fill="17365D"/>
            <w:vAlign w:val="center"/>
          </w:tcPr>
          <w:p>
            <w:pPr>
              <w:spacing w:after="40"/>
            </w:pPr>
            <w:r>
              <w:rPr>
                <w:rFonts w:ascii="Aptos" w:hAnsi="Aptos"/>
                <w:b/>
                <w:color w:val="FFFFFF"/>
                <w:sz w:val="16"/>
              </w:rPr>
              <w:t>Technology / framework</w:t>
            </w:r>
          </w:p>
        </w:tc>
        <w:tc>
          <w:tcPr>
            <w:tcW w:type="dxa" w:w="3389"/>
            <w:shd w:fill="17365D"/>
            <w:vAlign w:val="center"/>
          </w:tcPr>
          <w:p>
            <w:pPr>
              <w:spacing w:after="40"/>
            </w:pPr>
            <w:r>
              <w:rPr>
                <w:rFonts w:ascii="Aptos" w:hAnsi="Aptos"/>
                <w:b/>
                <w:color w:val="FFFFFF"/>
                <w:sz w:val="16"/>
              </w:rPr>
              <w:t>Why</w:t>
            </w:r>
          </w:p>
        </w:tc>
      </w:tr>
      <w:tr>
        <w:tc>
          <w:tcPr>
            <w:tcW w:type="dxa" w:w="3389"/>
            <w:vAlign w:val="top"/>
          </w:tcPr>
          <w:p>
            <w:pPr>
              <w:spacing w:after="40"/>
            </w:pPr>
            <w:r>
              <w:rPr>
                <w:rFonts w:ascii="Aptos" w:hAnsi="Aptos"/>
                <w:sz w:val="16"/>
              </w:rPr>
              <w:t>Language</w:t>
            </w:r>
          </w:p>
        </w:tc>
        <w:tc>
          <w:tcPr>
            <w:tcW w:type="dxa" w:w="3389"/>
            <w:vAlign w:val="top"/>
          </w:tcPr>
          <w:p>
            <w:pPr>
              <w:spacing w:after="40"/>
            </w:pPr>
            <w:r>
              <w:rPr>
                <w:rFonts w:ascii="Aptos" w:hAnsi="Aptos"/>
                <w:sz w:val="16"/>
              </w:rPr>
              <w:t>Python 3.12</w:t>
            </w:r>
          </w:p>
        </w:tc>
        <w:tc>
          <w:tcPr>
            <w:tcW w:type="dxa" w:w="3389"/>
            <w:vAlign w:val="top"/>
          </w:tcPr>
          <w:p>
            <w:pPr>
              <w:spacing w:after="40"/>
            </w:pPr>
            <w:r>
              <w:rPr>
                <w:rFonts w:ascii="Aptos" w:hAnsi="Aptos"/>
                <w:sz w:val="16"/>
              </w:rPr>
              <w:t>Primary backend, orchestration, code intelligence and agent integration language; aligns with the Python-first MVP reference repository.</w:t>
            </w:r>
          </w:p>
        </w:tc>
      </w:tr>
      <w:tr>
        <w:tc>
          <w:tcPr>
            <w:tcW w:type="dxa" w:w="3389"/>
            <w:vAlign w:val="top"/>
          </w:tcPr>
          <w:p>
            <w:pPr>
              <w:spacing w:after="40"/>
            </w:pPr>
            <w:r>
              <w:rPr>
                <w:rFonts w:ascii="Aptos" w:hAnsi="Aptos"/>
                <w:sz w:val="16"/>
              </w:rPr>
              <w:t>API</w:t>
            </w:r>
          </w:p>
        </w:tc>
        <w:tc>
          <w:tcPr>
            <w:tcW w:type="dxa" w:w="3389"/>
            <w:vAlign w:val="top"/>
          </w:tcPr>
          <w:p>
            <w:pPr>
              <w:spacing w:after="40"/>
            </w:pPr>
            <w:r>
              <w:rPr>
                <w:rFonts w:ascii="Aptos" w:hAnsi="Aptos"/>
                <w:sz w:val="16"/>
              </w:rPr>
              <w:t>FastAPI + Uvicorn</w:t>
            </w:r>
          </w:p>
        </w:tc>
        <w:tc>
          <w:tcPr>
            <w:tcW w:type="dxa" w:w="3389"/>
            <w:vAlign w:val="top"/>
          </w:tcPr>
          <w:p>
            <w:pPr>
              <w:spacing w:after="40"/>
            </w:pPr>
            <w:r>
              <w:rPr>
                <w:rFonts w:ascii="Aptos" w:hAnsi="Aptos"/>
                <w:sz w:val="16"/>
              </w:rPr>
              <w:t>Typed async control APIs, SSE event streaming, OpenAPI generation and easy Pydantic integration.</w:t>
            </w:r>
          </w:p>
        </w:tc>
      </w:tr>
      <w:tr>
        <w:tc>
          <w:tcPr>
            <w:tcW w:type="dxa" w:w="3389"/>
            <w:vAlign w:val="top"/>
          </w:tcPr>
          <w:p>
            <w:pPr>
              <w:spacing w:after="40"/>
            </w:pPr>
            <w:r>
              <w:rPr>
                <w:rFonts w:ascii="Aptos" w:hAnsi="Aptos"/>
                <w:sz w:val="16"/>
              </w:rPr>
              <w:t>Validation / contracts</w:t>
            </w:r>
          </w:p>
        </w:tc>
        <w:tc>
          <w:tcPr>
            <w:tcW w:type="dxa" w:w="3389"/>
            <w:vAlign w:val="top"/>
          </w:tcPr>
          <w:p>
            <w:pPr>
              <w:spacing w:after="40"/>
            </w:pPr>
            <w:r>
              <w:rPr>
                <w:rFonts w:ascii="Aptos" w:hAnsi="Aptos"/>
                <w:sz w:val="16"/>
              </w:rPr>
              <w:t>Pydantic v2</w:t>
            </w:r>
          </w:p>
        </w:tc>
        <w:tc>
          <w:tcPr>
            <w:tcW w:type="dxa" w:w="3389"/>
            <w:vAlign w:val="top"/>
          </w:tcPr>
          <w:p>
            <w:pPr>
              <w:spacing w:after="40"/>
            </w:pPr>
            <w:r>
              <w:rPr>
                <w:rFonts w:ascii="Aptos" w:hAnsi="Aptos"/>
                <w:sz w:val="16"/>
              </w:rPr>
              <w:t>Canonical request, domain-command, agent structured-output, event and connector schemas.</w:t>
            </w:r>
          </w:p>
        </w:tc>
      </w:tr>
      <w:tr>
        <w:tc>
          <w:tcPr>
            <w:tcW w:type="dxa" w:w="3389"/>
            <w:vAlign w:val="top"/>
          </w:tcPr>
          <w:p>
            <w:pPr>
              <w:spacing w:after="40"/>
            </w:pPr>
            <w:r>
              <w:rPr>
                <w:rFonts w:ascii="Aptos" w:hAnsi="Aptos"/>
                <w:sz w:val="16"/>
              </w:rPr>
              <w:t>ORM / persistence</w:t>
            </w:r>
          </w:p>
        </w:tc>
        <w:tc>
          <w:tcPr>
            <w:tcW w:type="dxa" w:w="3389"/>
            <w:vAlign w:val="top"/>
          </w:tcPr>
          <w:p>
            <w:pPr>
              <w:spacing w:after="40"/>
            </w:pPr>
            <w:r>
              <w:rPr>
                <w:rFonts w:ascii="Aptos" w:hAnsi="Aptos"/>
                <w:sz w:val="16"/>
              </w:rPr>
              <w:t>SQLAlchemy 2.x + Alembic</w:t>
            </w:r>
          </w:p>
        </w:tc>
        <w:tc>
          <w:tcPr>
            <w:tcW w:type="dxa" w:w="3389"/>
            <w:vAlign w:val="top"/>
          </w:tcPr>
          <w:p>
            <w:pPr>
              <w:spacing w:after="40"/>
            </w:pPr>
            <w:r>
              <w:rPr>
                <w:rFonts w:ascii="Aptos" w:hAnsi="Aptos"/>
                <w:sz w:val="16"/>
              </w:rPr>
              <w:t>Explicit transactional persistence and reversible schema migrations.</w:t>
            </w:r>
          </w:p>
        </w:tc>
      </w:tr>
      <w:tr>
        <w:tc>
          <w:tcPr>
            <w:tcW w:type="dxa" w:w="3389"/>
            <w:vAlign w:val="top"/>
          </w:tcPr>
          <w:p>
            <w:pPr>
              <w:spacing w:after="40"/>
            </w:pPr>
            <w:r>
              <w:rPr>
                <w:rFonts w:ascii="Aptos" w:hAnsi="Aptos"/>
                <w:sz w:val="16"/>
              </w:rPr>
              <w:t>Primary database</w:t>
            </w:r>
          </w:p>
        </w:tc>
        <w:tc>
          <w:tcPr>
            <w:tcW w:type="dxa" w:w="3389"/>
            <w:vAlign w:val="top"/>
          </w:tcPr>
          <w:p>
            <w:pPr>
              <w:spacing w:after="40"/>
            </w:pPr>
            <w:r>
              <w:rPr>
                <w:rFonts w:ascii="Aptos" w:hAnsi="Aptos"/>
                <w:sz w:val="16"/>
              </w:rPr>
              <w:t>PostgreSQL 16+</w:t>
            </w:r>
          </w:p>
        </w:tc>
        <w:tc>
          <w:tcPr>
            <w:tcW w:type="dxa" w:w="3389"/>
            <w:vAlign w:val="top"/>
          </w:tcPr>
          <w:p>
            <w:pPr>
              <w:spacing w:after="40"/>
            </w:pPr>
            <w:r>
              <w:rPr>
                <w:rFonts w:ascii="Aptos" w:hAnsi="Aptos"/>
                <w:sz w:val="16"/>
              </w:rPr>
              <w:t>Authoritative operational state, transactions, leases, JSONB metadata and graph-like trace relations.</w:t>
            </w:r>
          </w:p>
        </w:tc>
      </w:tr>
      <w:tr>
        <w:tc>
          <w:tcPr>
            <w:tcW w:type="dxa" w:w="3389"/>
            <w:vAlign w:val="top"/>
          </w:tcPr>
          <w:p>
            <w:pPr>
              <w:spacing w:after="40"/>
            </w:pPr>
            <w:r>
              <w:rPr>
                <w:rFonts w:ascii="Aptos" w:hAnsi="Aptos"/>
                <w:sz w:val="16"/>
              </w:rPr>
              <w:t>Semantic retrieval</w:t>
            </w:r>
          </w:p>
        </w:tc>
        <w:tc>
          <w:tcPr>
            <w:tcW w:type="dxa" w:w="3389"/>
            <w:vAlign w:val="top"/>
          </w:tcPr>
          <w:p>
            <w:pPr>
              <w:spacing w:after="40"/>
            </w:pPr>
            <w:r>
              <w:rPr>
                <w:rFonts w:ascii="Aptos" w:hAnsi="Aptos"/>
                <w:sz w:val="16"/>
              </w:rPr>
              <w:t>pgvector in PostgreSQL</w:t>
            </w:r>
          </w:p>
        </w:tc>
        <w:tc>
          <w:tcPr>
            <w:tcW w:type="dxa" w:w="3389"/>
            <w:vAlign w:val="top"/>
          </w:tcPr>
          <w:p>
            <w:pPr>
              <w:spacing w:after="40"/>
            </w:pPr>
            <w:r>
              <w:rPr>
                <w:rFonts w:ascii="Aptos" w:hAnsi="Aptos"/>
                <w:sz w:val="16"/>
              </w:rPr>
              <w:t>Keeps MVP semantic retrieval co-located with authoritative metadata; no separate vector database required initially.</w:t>
            </w:r>
          </w:p>
        </w:tc>
      </w:tr>
      <w:tr>
        <w:tc>
          <w:tcPr>
            <w:tcW w:type="dxa" w:w="3389"/>
            <w:vAlign w:val="top"/>
          </w:tcPr>
          <w:p>
            <w:pPr>
              <w:spacing w:after="40"/>
            </w:pPr>
            <w:r>
              <w:rPr>
                <w:rFonts w:ascii="Aptos" w:hAnsi="Aptos"/>
                <w:sz w:val="16"/>
              </w:rPr>
              <w:t>Agent runtime</w:t>
            </w:r>
          </w:p>
        </w:tc>
        <w:tc>
          <w:tcPr>
            <w:tcW w:type="dxa" w:w="3389"/>
            <w:vAlign w:val="top"/>
          </w:tcPr>
          <w:p>
            <w:pPr>
              <w:spacing w:after="40"/>
            </w:pPr>
            <w:r>
              <w:rPr>
                <w:rFonts w:ascii="Aptos" w:hAnsi="Aptos"/>
                <w:sz w:val="16"/>
              </w:rPr>
              <w:t>AgentRuntime protocol + LangGraphRuntime adapter</w:t>
            </w:r>
          </w:p>
        </w:tc>
        <w:tc>
          <w:tcPr>
            <w:tcW w:type="dxa" w:w="3389"/>
            <w:vAlign w:val="top"/>
          </w:tcPr>
          <w:p>
            <w:pPr>
              <w:spacing w:after="40"/>
            </w:pPr>
            <w:r>
              <w:rPr>
                <w:rFonts w:ascii="Aptos" w:hAnsi="Aptos"/>
                <w:sz w:val="16"/>
              </w:rPr>
              <w:t>Supports bounded agent-local reasoning/checkpoints without making LangGraph the control-plane source of truth.</w:t>
            </w:r>
          </w:p>
        </w:tc>
      </w:tr>
      <w:tr>
        <w:tc>
          <w:tcPr>
            <w:tcW w:type="dxa" w:w="3389"/>
            <w:vAlign w:val="top"/>
          </w:tcPr>
          <w:p>
            <w:pPr>
              <w:spacing w:after="40"/>
            </w:pPr>
            <w:r>
              <w:rPr>
                <w:rFonts w:ascii="Aptos" w:hAnsi="Aptos"/>
                <w:sz w:val="16"/>
              </w:rPr>
              <w:t>LLM integration</w:t>
            </w:r>
          </w:p>
        </w:tc>
        <w:tc>
          <w:tcPr>
            <w:tcW w:type="dxa" w:w="3389"/>
            <w:vAlign w:val="top"/>
          </w:tcPr>
          <w:p>
            <w:pPr>
              <w:spacing w:after="40"/>
            </w:pPr>
            <w:r>
              <w:rPr>
                <w:rFonts w:ascii="Aptos" w:hAnsi="Aptos"/>
                <w:sz w:val="16"/>
              </w:rPr>
              <w:t>ModelRouter with provider adapters (Anthropic/OpenAI initially)</w:t>
            </w:r>
          </w:p>
        </w:tc>
        <w:tc>
          <w:tcPr>
            <w:tcW w:type="dxa" w:w="3389"/>
            <w:vAlign w:val="top"/>
          </w:tcPr>
          <w:p>
            <w:pPr>
              <w:spacing w:after="40"/>
            </w:pPr>
            <w:r>
              <w:rPr>
                <w:rFonts w:ascii="Aptos" w:hAnsi="Aptos"/>
                <w:sz w:val="16"/>
              </w:rPr>
              <w:t>Live model execution with structured output, model policy, retries, usage/cost capture and provider neutrality.</w:t>
            </w:r>
          </w:p>
        </w:tc>
      </w:tr>
      <w:tr>
        <w:tc>
          <w:tcPr>
            <w:tcW w:type="dxa" w:w="3389"/>
            <w:vAlign w:val="top"/>
          </w:tcPr>
          <w:p>
            <w:pPr>
              <w:spacing w:after="40"/>
            </w:pPr>
            <w:r>
              <w:rPr>
                <w:rFonts w:ascii="Aptos" w:hAnsi="Aptos"/>
                <w:sz w:val="16"/>
              </w:rPr>
              <w:t>HTTP clients</w:t>
            </w:r>
          </w:p>
        </w:tc>
        <w:tc>
          <w:tcPr>
            <w:tcW w:type="dxa" w:w="3389"/>
            <w:vAlign w:val="top"/>
          </w:tcPr>
          <w:p>
            <w:pPr>
              <w:spacing w:after="40"/>
            </w:pPr>
            <w:r>
              <w:rPr>
                <w:rFonts w:ascii="Aptos" w:hAnsi="Aptos"/>
                <w:sz w:val="16"/>
              </w:rPr>
              <w:t>httpx</w:t>
            </w:r>
          </w:p>
        </w:tc>
        <w:tc>
          <w:tcPr>
            <w:tcW w:type="dxa" w:w="3389"/>
            <w:vAlign w:val="top"/>
          </w:tcPr>
          <w:p>
            <w:pPr>
              <w:spacing w:after="40"/>
            </w:pPr>
            <w:r>
              <w:rPr>
                <w:rFonts w:ascii="Aptos" w:hAnsi="Aptos"/>
                <w:sz w:val="16"/>
              </w:rPr>
              <w:t>Async provider, connector and internal service calls.</w:t>
            </w:r>
          </w:p>
        </w:tc>
      </w:tr>
      <w:tr>
        <w:tc>
          <w:tcPr>
            <w:tcW w:type="dxa" w:w="3389"/>
            <w:vAlign w:val="top"/>
          </w:tcPr>
          <w:p>
            <w:pPr>
              <w:spacing w:after="40"/>
            </w:pPr>
            <w:r>
              <w:rPr>
                <w:rFonts w:ascii="Aptos" w:hAnsi="Aptos"/>
                <w:sz w:val="16"/>
              </w:rPr>
              <w:t>Git</w:t>
            </w:r>
          </w:p>
        </w:tc>
        <w:tc>
          <w:tcPr>
            <w:tcW w:type="dxa" w:w="3389"/>
            <w:vAlign w:val="top"/>
          </w:tcPr>
          <w:p>
            <w:pPr>
              <w:spacing w:after="40"/>
            </w:pPr>
            <w:r>
              <w:rPr>
                <w:rFonts w:ascii="Aptos" w:hAnsi="Aptos"/>
                <w:sz w:val="16"/>
              </w:rPr>
              <w:t>Git CLI through managed wrapper</w:t>
            </w:r>
          </w:p>
        </w:tc>
        <w:tc>
          <w:tcPr>
            <w:tcW w:type="dxa" w:w="3389"/>
            <w:vAlign w:val="top"/>
          </w:tcPr>
          <w:p>
            <w:pPr>
              <w:spacing w:after="40"/>
            </w:pPr>
            <w:r>
              <w:rPr>
                <w:rFonts w:ascii="Aptos" w:hAnsi="Aptos"/>
                <w:sz w:val="16"/>
              </w:rPr>
              <w:t>Branches/worktrees/commits remain native Git concepts; wrapper enforces allowed repository/worktree paths.</w:t>
            </w:r>
          </w:p>
        </w:tc>
      </w:tr>
      <w:tr>
        <w:tc>
          <w:tcPr>
            <w:tcW w:type="dxa" w:w="3389"/>
            <w:vAlign w:val="top"/>
          </w:tcPr>
          <w:p>
            <w:pPr>
              <w:spacing w:after="40"/>
            </w:pPr>
            <w:r>
              <w:rPr>
                <w:rFonts w:ascii="Aptos" w:hAnsi="Aptos"/>
                <w:sz w:val="16"/>
              </w:rPr>
              <w:t>Python code intelligence</w:t>
            </w:r>
          </w:p>
        </w:tc>
        <w:tc>
          <w:tcPr>
            <w:tcW w:type="dxa" w:w="3389"/>
            <w:vAlign w:val="top"/>
          </w:tcPr>
          <w:p>
            <w:pPr>
              <w:spacing w:after="40"/>
            </w:pPr>
            <w:r>
              <w:rPr>
                <w:rFonts w:ascii="Aptos" w:hAnsi="Aptos"/>
                <w:sz w:val="16"/>
              </w:rPr>
              <w:t>Python ast + importlib metadata + framework-aware FastAPI/Pydantic/SQLAlchemy analyzers</w:t>
            </w:r>
          </w:p>
        </w:tc>
        <w:tc>
          <w:tcPr>
            <w:tcW w:type="dxa" w:w="3389"/>
            <w:vAlign w:val="top"/>
          </w:tcPr>
          <w:p>
            <w:pPr>
              <w:spacing w:after="40"/>
            </w:pPr>
            <w:r>
              <w:rPr>
                <w:rFonts w:ascii="Aptos" w:hAnsi="Aptos"/>
                <w:sz w:val="16"/>
              </w:rPr>
              <w:t>Deterministic structural index for MVP without introducing a graph database.</w:t>
            </w:r>
          </w:p>
        </w:tc>
      </w:tr>
      <w:tr>
        <w:tc>
          <w:tcPr>
            <w:tcW w:type="dxa" w:w="3389"/>
            <w:vAlign w:val="top"/>
          </w:tcPr>
          <w:p>
            <w:pPr>
              <w:spacing w:after="40"/>
            </w:pPr>
            <w:r>
              <w:rPr>
                <w:rFonts w:ascii="Aptos" w:hAnsi="Aptos"/>
                <w:sz w:val="16"/>
              </w:rPr>
              <w:t>Optional CST</w:t>
            </w:r>
          </w:p>
        </w:tc>
        <w:tc>
          <w:tcPr>
            <w:tcW w:type="dxa" w:w="3389"/>
            <w:vAlign w:val="top"/>
          </w:tcPr>
          <w:p>
            <w:pPr>
              <w:spacing w:after="40"/>
            </w:pPr>
            <w:r>
              <w:rPr>
                <w:rFonts w:ascii="Aptos" w:hAnsi="Aptos"/>
                <w:sz w:val="16"/>
              </w:rPr>
              <w:t>LibCST</w:t>
            </w:r>
          </w:p>
        </w:tc>
        <w:tc>
          <w:tcPr>
            <w:tcW w:type="dxa" w:w="3389"/>
            <w:vAlign w:val="top"/>
          </w:tcPr>
          <w:p>
            <w:pPr>
              <w:spacing w:after="40"/>
            </w:pPr>
            <w:r>
              <w:rPr>
                <w:rFonts w:ascii="Aptos" w:hAnsi="Aptos"/>
                <w:sz w:val="16"/>
              </w:rPr>
              <w:t>Use when source-preserving transforms or more precise symbol metadata are required; not mandatory for the first slice.</w:t>
            </w:r>
          </w:p>
        </w:tc>
      </w:tr>
      <w:tr>
        <w:tc>
          <w:tcPr>
            <w:tcW w:type="dxa" w:w="3389"/>
            <w:vAlign w:val="top"/>
          </w:tcPr>
          <w:p>
            <w:pPr>
              <w:spacing w:after="40"/>
            </w:pPr>
            <w:r>
              <w:rPr>
                <w:rFonts w:ascii="Aptos" w:hAnsi="Aptos"/>
                <w:sz w:val="16"/>
              </w:rPr>
              <w:t>Background workers</w:t>
            </w:r>
          </w:p>
        </w:tc>
        <w:tc>
          <w:tcPr>
            <w:tcW w:type="dxa" w:w="3389"/>
            <w:vAlign w:val="top"/>
          </w:tcPr>
          <w:p>
            <w:pPr>
              <w:spacing w:after="40"/>
            </w:pPr>
            <w:r>
              <w:rPr>
                <w:rFonts w:ascii="Aptos" w:hAnsi="Aptos"/>
                <w:sz w:val="16"/>
              </w:rPr>
              <w:t>Dedicated Python worker processes using PostgreSQL-backed queues/leases</w:t>
            </w:r>
          </w:p>
        </w:tc>
        <w:tc>
          <w:tcPr>
            <w:tcW w:type="dxa" w:w="3389"/>
            <w:vAlign w:val="top"/>
          </w:tcPr>
          <w:p>
            <w:pPr>
              <w:spacing w:after="40"/>
            </w:pPr>
            <w:r>
              <w:rPr>
                <w:rFonts w:ascii="Aptos" w:hAnsi="Aptos"/>
                <w:sz w:val="16"/>
              </w:rPr>
              <w:t>Avoids adding Redis/Celery until throughput requires it; transactional task eligibility remains in PostgreSQL.</w:t>
            </w:r>
          </w:p>
        </w:tc>
      </w:tr>
      <w:tr>
        <w:tc>
          <w:tcPr>
            <w:tcW w:type="dxa" w:w="3389"/>
            <w:vAlign w:val="top"/>
          </w:tcPr>
          <w:p>
            <w:pPr>
              <w:spacing w:after="40"/>
            </w:pPr>
            <w:r>
              <w:rPr>
                <w:rFonts w:ascii="Aptos" w:hAnsi="Aptos"/>
                <w:sz w:val="16"/>
              </w:rPr>
              <w:t>Frontend</w:t>
            </w:r>
          </w:p>
        </w:tc>
        <w:tc>
          <w:tcPr>
            <w:tcW w:type="dxa" w:w="3389"/>
            <w:vAlign w:val="top"/>
          </w:tcPr>
          <w:p>
            <w:pPr>
              <w:spacing w:after="40"/>
            </w:pPr>
            <w:r>
              <w:rPr>
                <w:rFonts w:ascii="Aptos" w:hAnsi="Aptos"/>
                <w:sz w:val="16"/>
              </w:rPr>
              <w:t>Next.js + TypeScript + React + shadcn/ui</w:t>
            </w:r>
          </w:p>
        </w:tc>
        <w:tc>
          <w:tcPr>
            <w:tcW w:type="dxa" w:w="3389"/>
            <w:vAlign w:val="top"/>
          </w:tcPr>
          <w:p>
            <w:pPr>
              <w:spacing w:after="40"/>
            </w:pPr>
            <w:r>
              <w:rPr>
                <w:rFonts w:ascii="Aptos" w:hAnsi="Aptos"/>
                <w:sz w:val="16"/>
              </w:rPr>
              <w:t>Thin command-center client over Olympus APIs.</w:t>
            </w:r>
          </w:p>
        </w:tc>
      </w:tr>
      <w:tr>
        <w:tc>
          <w:tcPr>
            <w:tcW w:type="dxa" w:w="3389"/>
            <w:vAlign w:val="top"/>
          </w:tcPr>
          <w:p>
            <w:pPr>
              <w:spacing w:after="40"/>
            </w:pPr>
            <w:r>
              <w:rPr>
                <w:rFonts w:ascii="Aptos" w:hAnsi="Aptos"/>
                <w:sz w:val="16"/>
              </w:rPr>
              <w:t>Frontend data</w:t>
            </w:r>
          </w:p>
        </w:tc>
        <w:tc>
          <w:tcPr>
            <w:tcW w:type="dxa" w:w="3389"/>
            <w:vAlign w:val="top"/>
          </w:tcPr>
          <w:p>
            <w:pPr>
              <w:spacing w:after="40"/>
            </w:pPr>
            <w:r>
              <w:rPr>
                <w:rFonts w:ascii="Aptos" w:hAnsi="Aptos"/>
                <w:sz w:val="16"/>
              </w:rPr>
              <w:t>TanStack Query</w:t>
            </w:r>
          </w:p>
        </w:tc>
        <w:tc>
          <w:tcPr>
            <w:tcW w:type="dxa" w:w="3389"/>
            <w:vAlign w:val="top"/>
          </w:tcPr>
          <w:p>
            <w:pPr>
              <w:spacing w:after="40"/>
            </w:pPr>
            <w:r>
              <w:rPr>
                <w:rFonts w:ascii="Aptos" w:hAnsi="Aptos"/>
                <w:sz w:val="16"/>
              </w:rPr>
              <w:t>Server-state fetching/caching; SSE updates invalidate/refetch authoritative state.</w:t>
            </w:r>
          </w:p>
        </w:tc>
      </w:tr>
      <w:tr>
        <w:tc>
          <w:tcPr>
            <w:tcW w:type="dxa" w:w="3389"/>
            <w:vAlign w:val="top"/>
          </w:tcPr>
          <w:p>
            <w:pPr>
              <w:spacing w:after="40"/>
            </w:pPr>
            <w:r>
              <w:rPr>
                <w:rFonts w:ascii="Aptos" w:hAnsi="Aptos"/>
                <w:sz w:val="16"/>
              </w:rPr>
              <w:t>Tests</w:t>
            </w:r>
          </w:p>
        </w:tc>
        <w:tc>
          <w:tcPr>
            <w:tcW w:type="dxa" w:w="3389"/>
            <w:vAlign w:val="top"/>
          </w:tcPr>
          <w:p>
            <w:pPr>
              <w:spacing w:after="40"/>
            </w:pPr>
            <w:r>
              <w:rPr>
                <w:rFonts w:ascii="Aptos" w:hAnsi="Aptos"/>
                <w:sz w:val="16"/>
              </w:rPr>
              <w:t>pytest + pytest-asyncio + Testcontainers + Playwright</w:t>
            </w:r>
          </w:p>
        </w:tc>
        <w:tc>
          <w:tcPr>
            <w:tcW w:type="dxa" w:w="3389"/>
            <w:vAlign w:val="top"/>
          </w:tcPr>
          <w:p>
            <w:pPr>
              <w:spacing w:after="40"/>
            </w:pPr>
            <w:r>
              <w:rPr>
                <w:rFonts w:ascii="Aptos" w:hAnsi="Aptos"/>
                <w:sz w:val="16"/>
              </w:rPr>
              <w:t>Unit/integration/database/workflow/journey/UI coverage.</w:t>
            </w:r>
          </w:p>
        </w:tc>
      </w:tr>
      <w:tr>
        <w:tc>
          <w:tcPr>
            <w:tcW w:type="dxa" w:w="3389"/>
            <w:vAlign w:val="top"/>
          </w:tcPr>
          <w:p>
            <w:pPr>
              <w:spacing w:after="40"/>
            </w:pPr>
            <w:r>
              <w:rPr>
                <w:rFonts w:ascii="Aptos" w:hAnsi="Aptos"/>
                <w:sz w:val="16"/>
              </w:rPr>
              <w:t>Observability</w:t>
            </w:r>
          </w:p>
        </w:tc>
        <w:tc>
          <w:tcPr>
            <w:tcW w:type="dxa" w:w="3389"/>
            <w:vAlign w:val="top"/>
          </w:tcPr>
          <w:p>
            <w:pPr>
              <w:spacing w:after="40"/>
            </w:pPr>
            <w:r>
              <w:rPr>
                <w:rFonts w:ascii="Aptos" w:hAnsi="Aptos"/>
                <w:sz w:val="16"/>
              </w:rPr>
              <w:t>structlog or stdlib JSON logging + OpenTelemetry SDK + correlation IDs</w:t>
            </w:r>
          </w:p>
        </w:tc>
        <w:tc>
          <w:tcPr>
            <w:tcW w:type="dxa" w:w="3389"/>
            <w:vAlign w:val="top"/>
          </w:tcPr>
          <w:p>
            <w:pPr>
              <w:spacing w:after="40"/>
            </w:pPr>
            <w:r>
              <w:rPr>
                <w:rFonts w:ascii="Aptos" w:hAnsi="Aptos"/>
                <w:sz w:val="16"/>
              </w:rPr>
              <w:t>Structured execution tracing and later exporter flexibility.</w:t>
            </w:r>
          </w:p>
        </w:tc>
      </w:tr>
      <w:tr>
        <w:tc>
          <w:tcPr>
            <w:tcW w:type="dxa" w:w="3389"/>
            <w:vAlign w:val="top"/>
          </w:tcPr>
          <w:p>
            <w:pPr>
              <w:spacing w:after="40"/>
            </w:pPr>
            <w:r>
              <w:rPr>
                <w:rFonts w:ascii="Aptos" w:hAnsi="Aptos"/>
                <w:sz w:val="16"/>
              </w:rPr>
              <w:t>Packaging</w:t>
            </w:r>
          </w:p>
        </w:tc>
        <w:tc>
          <w:tcPr>
            <w:tcW w:type="dxa" w:w="3389"/>
            <w:vAlign w:val="top"/>
          </w:tcPr>
          <w:p>
            <w:pPr>
              <w:spacing w:after="40"/>
            </w:pPr>
            <w:r>
              <w:rPr>
                <w:rFonts w:ascii="Aptos" w:hAnsi="Aptos"/>
                <w:sz w:val="16"/>
              </w:rPr>
              <w:t>uv or Poetry; Docker/Compose for local integration</w:t>
            </w:r>
          </w:p>
        </w:tc>
        <w:tc>
          <w:tcPr>
            <w:tcW w:type="dxa" w:w="3389"/>
            <w:vAlign w:val="top"/>
          </w:tcPr>
          <w:p>
            <w:pPr>
              <w:spacing w:after="40"/>
            </w:pPr>
            <w:r>
              <w:rPr>
                <w:rFonts w:ascii="Aptos" w:hAnsi="Aptos"/>
                <w:sz w:val="16"/>
              </w:rPr>
              <w:t>Reproducible environments and fast local onboarding.</w:t>
            </w:r>
          </w:p>
        </w:tc>
      </w:tr>
    </w:tbl>
    <w:p>
      <w:pPr>
        <w:pStyle w:val="Heading2"/>
      </w:pPr>
      <w:r>
        <w:t>2.1 Deliberate MVP exclusions</w:t>
      </w:r>
    </w:p>
    <w:p>
      <w:pPr>
        <w:pStyle w:val="ListBullet"/>
      </w:pPr>
      <w:r>
        <w:t>No Neo4j for the first MVP: CodeRelation/TraceLink edges live in PostgreSQL and are indexed for traversal.</w:t>
      </w:r>
    </w:p>
    <w:p>
      <w:pPr>
        <w:pStyle w:val="ListBullet"/>
      </w:pPr>
      <w:r>
        <w:t>No Kubernetes requirement for local/MVP execution: Docker Compose is sufficient; deployment remains container-ready.</w:t>
      </w:r>
    </w:p>
    <w:p>
      <w:pPr>
        <w:pStyle w:val="ListBullet"/>
      </w:pPr>
      <w:r>
        <w:t>No generic multi-language parser framework initially: Python/FastAPI is the supported canonical code-intelligence path.</w:t>
      </w:r>
    </w:p>
    <w:p>
      <w:pPr>
        <w:pStyle w:val="ListBullet"/>
      </w:pPr>
      <w:r>
        <w:t>No Celery/Redis requirement until worker throughput or cross-service scheduling demands it.</w:t>
      </w:r>
    </w:p>
    <w:p>
      <w:pPr>
        <w:pStyle w:val="Heading1"/>
      </w:pPr>
      <w:r>
        <w:t>3. Runtime and Service Architecture</w:t>
      </w:r>
    </w:p>
    <w:p>
      <w:pPr>
        <w:pStyle w:val="CodeBlock"/>
        <w:keepLines/>
        <w:shd w:fill="F3F5F7"/>
      </w:pPr>
      <w:r>
        <w:rPr>
          <w:rFonts w:ascii="Liberation Mono" w:hAnsi="Liberation Mono"/>
          <w:color w:val="243447"/>
          <w:sz w:val="16"/>
        </w:rPr>
        <w:t>Client / Web UI / CLI / Webhooks</w:t>
        <w:br/>
        <w:t xml:space="preserve">              |</w:t>
        <w:br/>
        <w:t xml:space="preserve">              v</w:t>
        <w:br/>
        <w:t xml:space="preserve">        FastAPI Control API</w:t>
        <w:br/>
        <w:t xml:space="preserve">              |</w:t>
        <w:br/>
        <w:t xml:space="preserve">   +----------+-----------+------------------+</w:t>
        <w:br/>
        <w:t xml:space="preserve">   |                      |                  |</w:t>
        <w:br/>
        <w:t xml:space="preserve">   v                      v                  v</w:t>
        <w:br/>
        <w:t>Domain Services       Scheduler         Integration Ingestion</w:t>
        <w:br/>
        <w:t xml:space="preserve">   |                      |                  |</w:t>
        <w:br/>
        <w:t xml:space="preserve">   +------------ PostgreSQL ----------------+</w:t>
        <w:br/>
        <w:t xml:space="preserve">                          |</w:t>
        <w:br/>
        <w:t xml:space="preserve">                          v</w:t>
        <w:br/>
        <w:t xml:space="preserve">                   Execution Worker</w:t>
        <w:br/>
        <w:t xml:space="preserve">                          |</w:t>
        <w:br/>
        <w:t xml:space="preserve">        +-----------------+-----------------+</w:t>
        <w:br/>
        <w:t xml:space="preserve">        |                 |                 |</w:t>
        <w:br/>
        <w:t xml:space="preserve">        v                 v                 v</w:t>
        <w:br/>
        <w:t xml:space="preserve">   Snapshot/Lease     Worktree          AgentRuntime</w:t>
        <w:br/>
        <w:t xml:space="preserve">                                          |</w:t>
        <w:br/>
        <w:t xml:space="preserve">                                          v</w:t>
        <w:br/>
        <w:t xml:space="preserve">                                     ModelRouter</w:t>
        <w:br/>
        <w:t xml:space="preserve">                                          |</w:t>
        <w:br/>
        <w:t xml:space="preserve">                              Live LLM provider APIs</w:t>
        <w:br/>
        <w:t xml:space="preserve">                                          |</w:t>
        <w:br/>
        <w:t xml:space="preserve">                                          v</w:t>
        <w:br/>
        <w:t xml:space="preserve">                                     ToolGateway</w:t>
        <w:br/>
        <w:t xml:space="preserve">                                          |</w:t>
        <w:br/>
        <w:t xml:space="preserve">                       Git / CI / Issues / Artifact / Deploy</w:t>
        <w:br/>
      </w:r>
    </w:p>
    <w:p>
      <w:pPr>
        <w:pStyle w:val="Heading2"/>
      </w:pPr>
      <w:r>
        <w:t>3.1 Initial deployables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pPr>
              <w:spacing w:after="40"/>
            </w:pPr>
            <w:r>
              <w:rPr>
                <w:rFonts w:ascii="Aptos" w:hAnsi="Aptos"/>
                <w:b/>
                <w:color w:val="FFFFFF"/>
                <w:sz w:val="16"/>
              </w:rPr>
              <w:t>Deployable</w:t>
            </w:r>
          </w:p>
        </w:tc>
        <w:tc>
          <w:tcPr>
            <w:tcW w:type="dxa" w:w="3389"/>
            <w:shd w:fill="17365D"/>
            <w:vAlign w:val="center"/>
          </w:tcPr>
          <w:p>
            <w:pPr>
              <w:spacing w:after="40"/>
            </w:pPr>
            <w:r>
              <w:rPr>
                <w:rFonts w:ascii="Aptos" w:hAnsi="Aptos"/>
                <w:b/>
                <w:color w:val="FFFFFF"/>
                <w:sz w:val="16"/>
              </w:rPr>
              <w:t>Responsibility</w:t>
            </w:r>
          </w:p>
        </w:tc>
        <w:tc>
          <w:tcPr>
            <w:tcW w:type="dxa" w:w="3389"/>
            <w:shd w:fill="17365D"/>
            <w:vAlign w:val="center"/>
          </w:tcPr>
          <w:p>
            <w:pPr>
              <w:spacing w:after="40"/>
            </w:pPr>
            <w:r>
              <w:rPr>
                <w:rFonts w:ascii="Aptos" w:hAnsi="Aptos"/>
                <w:b/>
                <w:color w:val="FFFFFF"/>
                <w:sz w:val="16"/>
              </w:rPr>
              <w:t>Initial form</w:t>
            </w:r>
          </w:p>
        </w:tc>
      </w:tr>
      <w:tr>
        <w:tc>
          <w:tcPr>
            <w:tcW w:type="dxa" w:w="3389"/>
            <w:vAlign w:val="top"/>
          </w:tcPr>
          <w:p>
            <w:pPr>
              <w:spacing w:after="40"/>
            </w:pPr>
            <w:r>
              <w:rPr>
                <w:rFonts w:ascii="Aptos" w:hAnsi="Aptos"/>
                <w:sz w:val="16"/>
              </w:rPr>
              <w:t>control-api</w:t>
            </w:r>
          </w:p>
        </w:tc>
        <w:tc>
          <w:tcPr>
            <w:tcW w:type="dxa" w:w="3389"/>
            <w:vAlign w:val="top"/>
          </w:tcPr>
          <w:p>
            <w:pPr>
              <w:spacing w:after="40"/>
            </w:pPr>
            <w:r>
              <w:rPr>
                <w:rFonts w:ascii="Aptos" w:hAnsi="Aptos"/>
                <w:sz w:val="16"/>
              </w:rPr>
              <w:t>Public/control APIs, domain commands, approvals, gate/release services, product/spec services, event ingestion</w:t>
            </w:r>
          </w:p>
        </w:tc>
        <w:tc>
          <w:tcPr>
            <w:tcW w:type="dxa" w:w="3389"/>
            <w:vAlign w:val="top"/>
          </w:tcPr>
          <w:p>
            <w:pPr>
              <w:spacing w:after="40"/>
            </w:pPr>
            <w:r>
              <w:rPr>
                <w:rFonts w:ascii="Aptos" w:hAnsi="Aptos"/>
                <w:sz w:val="16"/>
              </w:rPr>
              <w:t>FastAPI process</w:t>
            </w:r>
          </w:p>
        </w:tc>
      </w:tr>
      <w:tr>
        <w:tc>
          <w:tcPr>
            <w:tcW w:type="dxa" w:w="3389"/>
            <w:vAlign w:val="top"/>
          </w:tcPr>
          <w:p>
            <w:pPr>
              <w:spacing w:after="40"/>
            </w:pPr>
            <w:r>
              <w:rPr>
                <w:rFonts w:ascii="Aptos" w:hAnsi="Aptos"/>
                <w:sz w:val="16"/>
              </w:rPr>
              <w:t>scheduler-worker</w:t>
            </w:r>
          </w:p>
        </w:tc>
        <w:tc>
          <w:tcPr>
            <w:tcW w:type="dxa" w:w="3389"/>
            <w:vAlign w:val="top"/>
          </w:tcPr>
          <w:p>
            <w:pPr>
              <w:spacing w:after="40"/>
            </w:pPr>
            <w:r>
              <w:rPr>
                <w:rFonts w:ascii="Aptos" w:hAnsi="Aptos"/>
                <w:sz w:val="16"/>
              </w:rPr>
              <w:t>Evaluates READY Tasks and atomically creates/queues eligible Executions</w:t>
            </w:r>
          </w:p>
        </w:tc>
        <w:tc>
          <w:tcPr>
            <w:tcW w:type="dxa" w:w="3389"/>
            <w:vAlign w:val="top"/>
          </w:tcPr>
          <w:p>
            <w:pPr>
              <w:spacing w:after="40"/>
            </w:pPr>
            <w:r>
              <w:rPr>
                <w:rFonts w:ascii="Aptos" w:hAnsi="Aptos"/>
                <w:sz w:val="16"/>
              </w:rPr>
              <w:t>Python worker process</w:t>
            </w:r>
          </w:p>
        </w:tc>
      </w:tr>
      <w:tr>
        <w:tc>
          <w:tcPr>
            <w:tcW w:type="dxa" w:w="3389"/>
            <w:vAlign w:val="top"/>
          </w:tcPr>
          <w:p>
            <w:pPr>
              <w:spacing w:after="40"/>
            </w:pPr>
            <w:r>
              <w:rPr>
                <w:rFonts w:ascii="Aptos" w:hAnsi="Aptos"/>
                <w:sz w:val="16"/>
              </w:rPr>
              <w:t>execution-worker</w:t>
            </w:r>
          </w:p>
        </w:tc>
        <w:tc>
          <w:tcPr>
            <w:tcW w:type="dxa" w:w="3389"/>
            <w:vAlign w:val="top"/>
          </w:tcPr>
          <w:p>
            <w:pPr>
              <w:spacing w:after="40"/>
            </w:pPr>
            <w:r>
              <w:rPr>
                <w:rFonts w:ascii="Aptos" w:hAnsi="Aptos"/>
                <w:sz w:val="16"/>
              </w:rPr>
              <w:t>Claims leases, creates snapshots/worktrees, invokes AgentRuntime, validates result and persists outputs</w:t>
            </w:r>
          </w:p>
        </w:tc>
        <w:tc>
          <w:tcPr>
            <w:tcW w:type="dxa" w:w="3389"/>
            <w:vAlign w:val="top"/>
          </w:tcPr>
          <w:p>
            <w:pPr>
              <w:spacing w:after="40"/>
            </w:pPr>
            <w:r>
              <w:rPr>
                <w:rFonts w:ascii="Aptos" w:hAnsi="Aptos"/>
                <w:sz w:val="16"/>
              </w:rPr>
              <w:t>Python worker process</w:t>
            </w:r>
          </w:p>
        </w:tc>
      </w:tr>
      <w:tr>
        <w:tc>
          <w:tcPr>
            <w:tcW w:type="dxa" w:w="3389"/>
            <w:vAlign w:val="top"/>
          </w:tcPr>
          <w:p>
            <w:pPr>
              <w:spacing w:after="40"/>
            </w:pPr>
            <w:r>
              <w:rPr>
                <w:rFonts w:ascii="Aptos" w:hAnsi="Aptos"/>
                <w:sz w:val="16"/>
              </w:rPr>
              <w:t>dashboard</w:t>
            </w:r>
          </w:p>
        </w:tc>
        <w:tc>
          <w:tcPr>
            <w:tcW w:type="dxa" w:w="3389"/>
            <w:vAlign w:val="top"/>
          </w:tcPr>
          <w:p>
            <w:pPr>
              <w:spacing w:after="40"/>
            </w:pPr>
            <w:r>
              <w:rPr>
                <w:rFonts w:ascii="Aptos" w:hAnsi="Aptos"/>
                <w:sz w:val="16"/>
              </w:rPr>
              <w:t>Project/delivery/product-code/evidence/integration views</w:t>
            </w:r>
          </w:p>
        </w:tc>
        <w:tc>
          <w:tcPr>
            <w:tcW w:type="dxa" w:w="3389"/>
            <w:vAlign w:val="top"/>
          </w:tcPr>
          <w:p>
            <w:pPr>
              <w:spacing w:after="40"/>
            </w:pPr>
            <w:r>
              <w:rPr>
                <w:rFonts w:ascii="Aptos" w:hAnsi="Aptos"/>
                <w:sz w:val="16"/>
              </w:rPr>
              <w:t>Next.js app</w:t>
            </w:r>
          </w:p>
        </w:tc>
      </w:tr>
      <w:tr>
        <w:tc>
          <w:tcPr>
            <w:tcW w:type="dxa" w:w="3389"/>
            <w:vAlign w:val="top"/>
          </w:tcPr>
          <w:p>
            <w:pPr>
              <w:spacing w:after="40"/>
            </w:pPr>
            <w:r>
              <w:rPr>
                <w:rFonts w:ascii="Aptos" w:hAnsi="Aptos"/>
                <w:sz w:val="16"/>
              </w:rPr>
              <w:t>postgres</w:t>
            </w:r>
          </w:p>
        </w:tc>
        <w:tc>
          <w:tcPr>
            <w:tcW w:type="dxa" w:w="3389"/>
            <w:vAlign w:val="top"/>
          </w:tcPr>
          <w:p>
            <w:pPr>
              <w:spacing w:after="40"/>
            </w:pPr>
            <w:r>
              <w:rPr>
                <w:rFonts w:ascii="Aptos" w:hAnsi="Aptos"/>
                <w:sz w:val="16"/>
              </w:rPr>
              <w:t>Operational database + pgvector</w:t>
            </w:r>
          </w:p>
        </w:tc>
        <w:tc>
          <w:tcPr>
            <w:tcW w:type="dxa" w:w="3389"/>
            <w:vAlign w:val="top"/>
          </w:tcPr>
          <w:p>
            <w:pPr>
              <w:spacing w:after="40"/>
            </w:pPr>
            <w:r>
              <w:rPr>
                <w:rFonts w:ascii="Aptos" w:hAnsi="Aptos"/>
                <w:sz w:val="16"/>
              </w:rPr>
              <w:t>PostgreSQL container/service</w:t>
            </w:r>
          </w:p>
        </w:tc>
      </w:tr>
    </w:tbl>
    <w:p>
      <w:r>
        <w:t>All backend components can live in one repository and share core Python packages. They are separate processes only where worker lifecycle and isolation require it; the MVP does not need a microservice mesh.</w:t>
      </w:r>
    </w:p>
    <w:p>
      <w:pPr>
        <w:pStyle w:val="Heading1"/>
      </w:pPr>
      <w:r>
        <w:t>4. Repository and Module Structure</w:t>
      </w:r>
    </w:p>
    <w:p>
      <w:pPr>
        <w:pStyle w:val="CodeBlock"/>
        <w:keepLines/>
        <w:shd w:fill="F3F5F7"/>
      </w:pPr>
      <w:r>
        <w:rPr>
          <w:rFonts w:ascii="Liberation Mono" w:hAnsi="Liberation Mono"/>
          <w:color w:val="243447"/>
          <w:sz w:val="16"/>
        </w:rPr>
        <w:t>olympus/</w:t>
        <w:br/>
        <w:t>├── apps/</w:t>
        <w:br/>
        <w:t>│   ├── control_api/</w:t>
        <w:br/>
        <w:t>│   ├── scheduler_worker/</w:t>
        <w:br/>
        <w:t>│   ├── execution_worker/</w:t>
        <w:br/>
        <w:t>│   └── dashboard/</w:t>
        <w:br/>
        <w:t>├── core/</w:t>
        <w:br/>
        <w:t>│   ├── domain/</w:t>
        <w:br/>
        <w:t>│   ├── commands/</w:t>
        <w:br/>
        <w:t>│   ├── state/</w:t>
        <w:br/>
        <w:t>│   ├── policy/</w:t>
        <w:br/>
        <w:t>│   ├── scheduler/</w:t>
        <w:br/>
        <w:t>│   ├── product_model/</w:t>
        <w:br/>
        <w:t>│   │   ├── sources/</w:t>
        <w:br/>
        <w:t>│   │   ├── capabilities/</w:t>
        <w:br/>
        <w:t>│   │   ├── features/</w:t>
        <w:br/>
        <w:t>│   │   └── specifications/</w:t>
        <w:br/>
        <w:t>│   ├── planning/</w:t>
        <w:br/>
        <w:t>│   ├── execution/</w:t>
        <w:br/>
        <w:t>│   │   ├── snapshots/</w:t>
        <w:br/>
        <w:t>│   │   ├── leases/</w:t>
        <w:br/>
        <w:t>│   │   └── worktrees/</w:t>
        <w:br/>
        <w:t>│   ├── runtime/</w:t>
        <w:br/>
        <w:t>│   │   ├── agent_runtime.py</w:t>
        <w:br/>
        <w:t>│   │   ├── langgraph_runtime.py</w:t>
        <w:br/>
        <w:t>│   │   └── model_router.py</w:t>
        <w:br/>
        <w:t>│   ├── tools/</w:t>
        <w:br/>
        <w:t>│   ├── integration/</w:t>
        <w:br/>
        <w:t>│   ├── assurance/</w:t>
        <w:br/>
        <w:t>│   ├── release/</w:t>
        <w:br/>
        <w:t>│   ├── traceability/</w:t>
        <w:br/>
        <w:t>│   ├── intelligence/</w:t>
        <w:br/>
        <w:t>│   │   ├── repository/</w:t>
        <w:br/>
        <w:t>│   │   ├── code_index/</w:t>
        <w:br/>
        <w:t>│   │   ├── recovered_specs/</w:t>
        <w:br/>
        <w:t>│   │   ├── baselines/</w:t>
        <w:br/>
        <w:t>│   │   └── impact/</w:t>
        <w:br/>
        <w:t>│   └── integrations/</w:t>
        <w:br/>
        <w:t>│       ├── inbound/</w:t>
        <w:br/>
        <w:t>│       ├── connectors/</w:t>
        <w:br/>
        <w:t>│       └── reconciliation/</w:t>
        <w:br/>
        <w:t>├── agents/</w:t>
        <w:br/>
        <w:t>│   ├── orchestrator/</w:t>
        <w:br/>
        <w:t>│   ├── kira/</w:t>
        <w:br/>
        <w:t>│   ├── atlas/</w:t>
        <w:br/>
        <w:t>│   ├── scout/</w:t>
        <w:br/>
        <w:t>│   ├── forge/</w:t>
        <w:br/>
        <w:t>│   ├── warden/</w:t>
        <w:br/>
        <w:t>│   ├── sentinel/</w:t>
        <w:br/>
        <w:t>│   └── stratos/</w:t>
        <w:br/>
        <w:t>├── migrations/</w:t>
        <w:br/>
        <w:t>├── tests/</w:t>
        <w:br/>
        <w:t>│   ├── unit/</w:t>
        <w:br/>
        <w:t>│   ├── integration/</w:t>
        <w:br/>
        <w:t>│   ├── workflow/</w:t>
        <w:br/>
        <w:t>│   ├── journey/</w:t>
        <w:br/>
        <w:t>│   └── e2e/</w:t>
        <w:br/>
        <w:t>└── pyproject.toml</w:t>
        <w:br/>
      </w:r>
    </w:p>
    <w:p>
      <w:pPr>
        <w:pStyle w:val="Heading1"/>
      </w:pPr>
      <w:r>
        <w:t>5. Persistence Model and Transaction Boundaries</w:t>
      </w:r>
    </w:p>
    <w:p>
      <w:pPr>
        <w:pStyle w:val="Heading2"/>
      </w:pPr>
      <w:r>
        <w:t>5.1 Authoritative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Area</w:t>
            </w:r>
          </w:p>
        </w:tc>
        <w:tc>
          <w:tcPr>
            <w:tcW w:type="dxa" w:w="5083"/>
            <w:shd w:fill="17365D"/>
            <w:vAlign w:val="center"/>
          </w:tcPr>
          <w:p>
            <w:pPr>
              <w:spacing w:after="40"/>
            </w:pPr>
            <w:r>
              <w:rPr>
                <w:rFonts w:ascii="Aptos" w:hAnsi="Aptos"/>
                <w:b/>
                <w:color w:val="FFFFFF"/>
                <w:sz w:val="16"/>
              </w:rPr>
              <w:t>Tables / entities</w:t>
            </w:r>
          </w:p>
        </w:tc>
      </w:tr>
      <w:tr>
        <w:tc>
          <w:tcPr>
            <w:tcW w:type="dxa" w:w="5083"/>
            <w:vAlign w:val="top"/>
          </w:tcPr>
          <w:p>
            <w:pPr>
              <w:spacing w:after="40"/>
            </w:pPr>
            <w:r>
              <w:rPr>
                <w:rFonts w:ascii="Aptos" w:hAnsi="Aptos"/>
                <w:sz w:val="16"/>
              </w:rPr>
              <w:t>Project lifecycle</w:t>
            </w:r>
          </w:p>
        </w:tc>
        <w:tc>
          <w:tcPr>
            <w:tcW w:type="dxa" w:w="5083"/>
            <w:vAlign w:val="top"/>
          </w:tcPr>
          <w:p>
            <w:pPr>
              <w:spacing w:after="40"/>
            </w:pPr>
            <w:r>
              <w:rPr>
                <w:rFonts w:ascii="Aptos" w:hAnsi="Aptos"/>
                <w:sz w:val="16"/>
              </w:rPr>
              <w:t>projects, delivery_cycles, delivery_cycle_events</w:t>
            </w:r>
          </w:p>
        </w:tc>
      </w:tr>
      <w:tr>
        <w:tc>
          <w:tcPr>
            <w:tcW w:type="dxa" w:w="5083"/>
            <w:vAlign w:val="top"/>
          </w:tcPr>
          <w:p>
            <w:pPr>
              <w:spacing w:after="40"/>
            </w:pPr>
            <w:r>
              <w:rPr>
                <w:rFonts w:ascii="Aptos" w:hAnsi="Aptos"/>
                <w:sz w:val="16"/>
              </w:rPr>
              <w:t>Product model</w:t>
            </w:r>
          </w:p>
        </w:tc>
        <w:tc>
          <w:tcPr>
            <w:tcW w:type="dxa" w:w="5083"/>
            <w:vAlign w:val="top"/>
          </w:tcPr>
          <w:p>
            <w:pPr>
              <w:spacing w:after="40"/>
            </w:pPr>
            <w:r>
              <w:rPr>
                <w:rFonts w:ascii="Aptos" w:hAnsi="Aptos"/>
                <w:sz w:val="16"/>
              </w:rPr>
              <w:t>product_sources, capabilities, features, feature_specs, requirements, user_stories, acceptance_criteria, implementation_specs</w:t>
            </w:r>
          </w:p>
        </w:tc>
      </w:tr>
      <w:tr>
        <w:tc>
          <w:tcPr>
            <w:tcW w:type="dxa" w:w="5083"/>
            <w:vAlign w:val="top"/>
          </w:tcPr>
          <w:p>
            <w:pPr>
              <w:spacing w:after="40"/>
            </w:pPr>
            <w:r>
              <w:rPr>
                <w:rFonts w:ascii="Aptos" w:hAnsi="Aptos"/>
                <w:sz w:val="16"/>
              </w:rPr>
              <w:t>Work</w:t>
            </w:r>
          </w:p>
        </w:tc>
        <w:tc>
          <w:tcPr>
            <w:tcW w:type="dxa" w:w="5083"/>
            <w:vAlign w:val="top"/>
          </w:tcPr>
          <w:p>
            <w:pPr>
              <w:spacing w:after="40"/>
            </w:pPr>
            <w:r>
              <w:rPr>
                <w:rFonts w:ascii="Aptos" w:hAnsi="Aptos"/>
                <w:sz w:val="16"/>
              </w:rPr>
              <w:t>tasks, task_dependencies, task_contracts</w:t>
            </w:r>
          </w:p>
        </w:tc>
      </w:tr>
      <w:tr>
        <w:tc>
          <w:tcPr>
            <w:tcW w:type="dxa" w:w="5083"/>
            <w:vAlign w:val="top"/>
          </w:tcPr>
          <w:p>
            <w:pPr>
              <w:spacing w:after="40"/>
            </w:pPr>
            <w:r>
              <w:rPr>
                <w:rFonts w:ascii="Aptos" w:hAnsi="Aptos"/>
                <w:sz w:val="16"/>
              </w:rPr>
              <w:t>Execution</w:t>
            </w:r>
          </w:p>
        </w:tc>
        <w:tc>
          <w:tcPr>
            <w:tcW w:type="dxa" w:w="5083"/>
            <w:vAlign w:val="top"/>
          </w:tcPr>
          <w:p>
            <w:pPr>
              <w:spacing w:after="40"/>
            </w:pPr>
            <w:r>
              <w:rPr>
                <w:rFonts w:ascii="Aptos" w:hAnsi="Aptos"/>
                <w:sz w:val="16"/>
              </w:rPr>
              <w:t>executions, execution_snapshots, execution_leases, artifacts, candidate_commits</w:t>
            </w:r>
          </w:p>
        </w:tc>
      </w:tr>
      <w:tr>
        <w:tc>
          <w:tcPr>
            <w:tcW w:type="dxa" w:w="5083"/>
            <w:vAlign w:val="top"/>
          </w:tcPr>
          <w:p>
            <w:pPr>
              <w:spacing w:after="40"/>
            </w:pPr>
            <w:r>
              <w:rPr>
                <w:rFonts w:ascii="Aptos" w:hAnsi="Aptos"/>
                <w:sz w:val="16"/>
              </w:rPr>
              <w:t>Code intelligence</w:t>
            </w:r>
          </w:p>
        </w:tc>
        <w:tc>
          <w:tcPr>
            <w:tcW w:type="dxa" w:w="5083"/>
            <w:vAlign w:val="top"/>
          </w:tcPr>
          <w:p>
            <w:pPr>
              <w:spacing w:after="40"/>
            </w:pPr>
            <w:r>
              <w:rPr>
                <w:rFonts w:ascii="Aptos" w:hAnsi="Aptos"/>
                <w:sz w:val="16"/>
              </w:rPr>
              <w:t>code_entities, code_relations, spec_code_links, code_index_versions</w:t>
            </w:r>
          </w:p>
        </w:tc>
      </w:tr>
      <w:tr>
        <w:tc>
          <w:tcPr>
            <w:tcW w:type="dxa" w:w="5083"/>
            <w:vAlign w:val="top"/>
          </w:tcPr>
          <w:p>
            <w:pPr>
              <w:spacing w:after="40"/>
            </w:pPr>
            <w:r>
              <w:rPr>
                <w:rFonts w:ascii="Aptos" w:hAnsi="Aptos"/>
                <w:sz w:val="16"/>
              </w:rPr>
              <w:t>Brownfield / change</w:t>
            </w:r>
          </w:p>
        </w:tc>
        <w:tc>
          <w:tcPr>
            <w:tcW w:type="dxa" w:w="5083"/>
            <w:vAlign w:val="top"/>
          </w:tcPr>
          <w:p>
            <w:pPr>
              <w:spacing w:after="40"/>
            </w:pPr>
            <w:r>
              <w:rPr>
                <w:rFonts w:ascii="Aptos" w:hAnsi="Aptos"/>
                <w:sz w:val="16"/>
              </w:rPr>
              <w:t>behavioral_baselines, recovered_spec_evidence, impact_assessments, change_requests, defects</w:t>
            </w:r>
          </w:p>
        </w:tc>
      </w:tr>
      <w:tr>
        <w:tc>
          <w:tcPr>
            <w:tcW w:type="dxa" w:w="5083"/>
            <w:vAlign w:val="top"/>
          </w:tcPr>
          <w:p>
            <w:pPr>
              <w:spacing w:after="40"/>
            </w:pPr>
            <w:r>
              <w:rPr>
                <w:rFonts w:ascii="Aptos" w:hAnsi="Aptos"/>
                <w:sz w:val="16"/>
              </w:rPr>
              <w:t>Integration / assurance</w:t>
            </w:r>
          </w:p>
        </w:tc>
        <w:tc>
          <w:tcPr>
            <w:tcW w:type="dxa" w:w="5083"/>
            <w:vAlign w:val="top"/>
          </w:tcPr>
          <w:p>
            <w:pPr>
              <w:spacing w:after="40"/>
            </w:pPr>
            <w:r>
              <w:rPr>
                <w:rFonts w:ascii="Aptos" w:hAnsi="Aptos"/>
                <w:sz w:val="16"/>
              </w:rPr>
              <w:t>integration_candidates, findings, evidence, acceptance_coverage, gates, approvals</w:t>
            </w:r>
          </w:p>
        </w:tc>
      </w:tr>
      <w:tr>
        <w:tc>
          <w:tcPr>
            <w:tcW w:type="dxa" w:w="5083"/>
            <w:vAlign w:val="top"/>
          </w:tcPr>
          <w:p>
            <w:pPr>
              <w:spacing w:after="40"/>
            </w:pPr>
            <w:r>
              <w:rPr>
                <w:rFonts w:ascii="Aptos" w:hAnsi="Aptos"/>
                <w:sz w:val="16"/>
              </w:rPr>
              <w:t>Release / audit</w:t>
            </w:r>
          </w:p>
        </w:tc>
        <w:tc>
          <w:tcPr>
            <w:tcW w:type="dxa" w:w="5083"/>
            <w:vAlign w:val="top"/>
          </w:tcPr>
          <w:p>
            <w:pPr>
              <w:spacing w:after="40"/>
            </w:pPr>
            <w:r>
              <w:rPr>
                <w:rFonts w:ascii="Aptos" w:hAnsi="Aptos"/>
                <w:sz w:val="16"/>
              </w:rPr>
              <w:t>releases, release_manifests, audit_events, domain_events</w:t>
            </w:r>
          </w:p>
        </w:tc>
      </w:tr>
      <w:tr>
        <w:tc>
          <w:tcPr>
            <w:tcW w:type="dxa" w:w="5083"/>
            <w:vAlign w:val="top"/>
          </w:tcPr>
          <w:p>
            <w:pPr>
              <w:spacing w:after="40"/>
            </w:pPr>
            <w:r>
              <w:rPr>
                <w:rFonts w:ascii="Aptos" w:hAnsi="Aptos"/>
                <w:sz w:val="16"/>
              </w:rPr>
              <w:t>External integrations</w:t>
            </w:r>
          </w:p>
        </w:tc>
        <w:tc>
          <w:tcPr>
            <w:tcW w:type="dxa" w:w="5083"/>
            <w:vAlign w:val="top"/>
          </w:tcPr>
          <w:p>
            <w:pPr>
              <w:spacing w:after="40"/>
            </w:pPr>
            <w:r>
              <w:rPr>
                <w:rFonts w:ascii="Aptos" w:hAnsi="Aptos"/>
                <w:sz w:val="16"/>
              </w:rPr>
              <w:t>integration_sources, inbound_events, connector_actions, connector_results, reconciliation_items</w:t>
            </w:r>
          </w:p>
        </w:tc>
      </w:tr>
    </w:tbl>
    <w:p>
      <w:pPr>
        <w:pStyle w:val="Heading2"/>
      </w:pPr>
      <w:r>
        <w:t>5.2 Versioning rules</w:t>
      </w:r>
    </w:p>
    <w:p>
      <w:pPr>
        <w:pStyle w:val="ListBullet"/>
      </w:pPr>
      <w:r>
        <w:t>FeatureSpec and ImplementationSpec are immutable versions after approval; changes create a new version.</w:t>
      </w:r>
    </w:p>
    <w:p>
      <w:pPr>
        <w:pStyle w:val="ListBullet"/>
      </w:pPr>
      <w:r>
        <w:t>TaskContract is immutable once an Execution references it.</w:t>
      </w:r>
    </w:p>
    <w:p>
      <w:pPr>
        <w:pStyle w:val="ListBullet"/>
      </w:pPr>
      <w:r>
        <w:t>ExecutionSnapshot is immutable after creation.</w:t>
      </w:r>
    </w:p>
    <w:p>
      <w:pPr>
        <w:pStyle w:val="ListBullet"/>
      </w:pPr>
      <w:r>
        <w:t>Historical Execution and Evidence records are never rewritten to make a failed attempt look successful.</w:t>
      </w:r>
    </w:p>
    <w:p>
      <w:pPr>
        <w:pStyle w:val="ListBullet"/>
      </w:pPr>
      <w:r>
        <w:t>SpecCodeLink carries origin (GENERATED_LINEAGE, DISCOVERED, HUMAN_CONFIRMED), confidence and supporting evidence.</w:t>
      </w:r>
    </w:p>
    <w:p>
      <w:pPr>
        <w:pStyle w:val="ListBullet"/>
      </w:pPr>
      <w:r>
        <w:t>Code index versions are tied to a Git SHA; the project canonical index points to the current integrated/released SHA.</w:t>
      </w:r>
    </w:p>
    <w:p>
      <w:pPr>
        <w:pStyle w:val="Heading2"/>
      </w:pPr>
      <w:r>
        <w:t>5.3 Transaction boundaries</w:t>
      </w:r>
    </w:p>
    <w:p>
      <w:r>
        <w:t>State transition and audit emission must commit in the same database transaction for authoritative mutations. Scheduler admission must atomically verify eligibility and create the Execution/lease candidate so duplicate scheduling cannot create concurrent authoritative runs for the same Task unless the Task policy explicitly allows parallelism.</w:t>
      </w:r>
    </w:p>
    <w:p>
      <w:pPr>
        <w:pStyle w:val="Heading1"/>
      </w:pPr>
      <w:r>
        <w:t>6. Product and Specification Services</w:t>
      </w:r>
    </w:p>
    <w:p>
      <w:pPr>
        <w:pStyle w:val="Heading2"/>
      </w:pPr>
      <w:r>
        <w:t>6.1 Semantic hierarchy</w:t>
      </w:r>
    </w:p>
    <w:p>
      <w:pPr>
        <w:pStyle w:val="CodeBlock"/>
        <w:keepLines/>
        <w:shd w:fill="F3F5F7"/>
      </w:pPr>
      <w:r>
        <w:rPr>
          <w:rFonts w:ascii="Liberation Mono" w:hAnsi="Liberation Mono"/>
          <w:color w:val="243447"/>
          <w:sz w:val="16"/>
        </w:rPr>
        <w:t>ProductSource</w:t>
        <w:br/>
        <w:t xml:space="preserve">  -&gt; Capability</w:t>
        <w:br/>
        <w:t xml:space="preserve">      -&gt; Feature</w:t>
        <w:br/>
        <w:t xml:space="preserve">          -&gt; FeatureSpec</w:t>
        <w:br/>
        <w:t xml:space="preserve">              -&gt; Requirement</w:t>
        <w:br/>
        <w:t xml:space="preserve">              -&gt; UserStory</w:t>
        <w:br/>
        <w:t xml:space="preserve">              -&gt; AcceptanceCriterion</w:t>
        <w:br/>
        <w:t xml:space="preserve">          -&gt; ImplementationSpec</w:t>
        <w:br/>
        <w:t xml:space="preserve">              -&gt; Task(s)</w:t>
        <w:br/>
      </w:r>
    </w:p>
    <w:p>
      <w:pPr>
        <w:pStyle w:val="Heading2"/>
      </w:pPr>
      <w:r>
        <w:t>6.2 ProductSource ingestion</w:t>
      </w:r>
    </w:p>
    <w:p>
      <w:r>
        <w:t>The initial source input can be a PRD, BRD, SRS, Markdown/text document, structured JSON payload or user-authored product description. The raw source and source version are stored immutably; extraction produces proposed structured entities that require schema validation and, where configured, human approval before they become canonical.</w:t>
      </w:r>
    </w:p>
    <w:p>
      <w:pPr>
        <w:pStyle w:val="Heading3"/>
      </w:pPr>
      <w:r>
        <w:t>LLM-dependent extraction</w:t>
      </w:r>
    </w:p>
    <w:p>
      <w:r>
        <w:t>Capability/Feature/FeatureSpec extraction is an LLM-dependent operation. Kira invokes the configured live model through ModelRouter and requests schema-constrained Pydantic output. If parsing or validation fails, Olympus retries with the validation error context within policy limits; it does not replace the result with a hard-coded mock.</w:t>
      </w:r>
    </w:p>
    <w:p>
      <w:pPr>
        <w:pStyle w:val="CodeBlock"/>
        <w:keepLines/>
        <w:shd w:fill="F3F5F7"/>
      </w:pPr>
      <w:r>
        <w:rPr>
          <w:rFonts w:ascii="Liberation Mono" w:hAnsi="Liberation Mono"/>
          <w:color w:val="243447"/>
          <w:sz w:val="16"/>
        </w:rPr>
        <w:t>class ProductDecomposition(BaseModel):</w:t>
        <w:br/>
        <w:t xml:space="preserve">    capabilities: list[CapabilityDraft]</w:t>
        <w:br/>
        <w:t xml:space="preserve">    features: list[FeatureDraft]</w:t>
        <w:br/>
        <w:t xml:space="preserve">    feature_specs: list[FeatureSpecDraft]</w:t>
        <w:br/>
        <w:t xml:space="preserve">    requirements: list[RequirementDraft]</w:t>
        <w:br/>
        <w:t xml:space="preserve">    user_stories: list[UserStoryDraft]</w:t>
        <w:br/>
        <w:t xml:space="preserve">    acceptance_criteria: list[AcceptanceCriterionDraft]</w:t>
        <w:br/>
        <w:t xml:space="preserve">    open_questions: list[Clarification]</w:t>
        <w:br/>
      </w:r>
    </w:p>
    <w:p>
      <w:pPr>
        <w:pStyle w:val="Heading2"/>
      </w:pPr>
      <w:r>
        <w:t>6.3 Architecture vs ImplementationSpec</w:t>
      </w:r>
    </w:p>
    <w:p>
      <w:r>
        <w:t>Architecture defines project-wide/cross-feature structure and constraints. ImplementationSpec defines how one feature/version is realized within that architecture. Feature changes should create an ImplementationSpec delta; they should not redesign the project architecture unless impact analysis explicitly requires an architecture decision.</w:t>
      </w:r>
    </w:p>
    <w:p>
      <w:pPr>
        <w:pStyle w:val="Heading1"/>
      </w:pPr>
      <w:r>
        <w:t>7. Delivery Lifecycle Engine</w:t>
      </w:r>
    </w:p>
    <w:p>
      <w:r>
        <w:t>DeliveryCycle transitions are application-owned commands, not agent-controlled fields. Each transition validates preconditions and emits a domain/audit event.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Journey</w:t>
            </w:r>
          </w:p>
        </w:tc>
        <w:tc>
          <w:tcPr>
            <w:tcW w:type="dxa" w:w="5083"/>
            <w:shd w:fill="17365D"/>
            <w:vAlign w:val="center"/>
          </w:tcPr>
          <w:p>
            <w:pPr>
              <w:spacing w:after="40"/>
            </w:pPr>
            <w:r>
              <w:rPr>
                <w:rFonts w:ascii="Aptos" w:hAnsi="Aptos"/>
                <w:b/>
                <w:color w:val="FFFFFF"/>
                <w:sz w:val="16"/>
              </w:rPr>
              <w:t>States</w:t>
            </w:r>
          </w:p>
        </w:tc>
      </w:tr>
      <w:tr>
        <w:tc>
          <w:tcPr>
            <w:tcW w:type="dxa" w:w="5083"/>
            <w:vAlign w:val="top"/>
          </w:tcPr>
          <w:p>
            <w:pPr>
              <w:spacing w:after="40"/>
            </w:pPr>
            <w:r>
              <w:rPr>
                <w:rFonts w:ascii="Aptos" w:hAnsi="Aptos"/>
                <w:sz w:val="16"/>
              </w:rPr>
              <w:t>Greenfield</w:t>
            </w:r>
          </w:p>
        </w:tc>
        <w:tc>
          <w:tcPr>
            <w:tcW w:type="dxa" w:w="5083"/>
            <w:vAlign w:val="top"/>
          </w:tcPr>
          <w:p>
            <w:pPr>
              <w:spacing w:after="40"/>
            </w:pPr>
            <w:r>
              <w:rPr>
                <w:rFonts w:ascii="Aptos" w:hAnsi="Aptos"/>
                <w:sz w:val="16"/>
              </w:rPr>
              <w:t>DISCOVERY → PRODUCT_MODEL → ARCHITECTURE → PLANNING → DEVELOPMENT → INTEGRATION → ASSURANCE → RELEASE → COMPLETE</w:t>
            </w:r>
          </w:p>
        </w:tc>
      </w:tr>
      <w:tr>
        <w:tc>
          <w:tcPr>
            <w:tcW w:type="dxa" w:w="5083"/>
            <w:vAlign w:val="top"/>
          </w:tcPr>
          <w:p>
            <w:pPr>
              <w:spacing w:after="40"/>
            </w:pPr>
            <w:r>
              <w:rPr>
                <w:rFonts w:ascii="Aptos" w:hAnsi="Aptos"/>
                <w:sz w:val="16"/>
              </w:rPr>
              <w:t>Brownfield</w:t>
            </w:r>
          </w:p>
        </w:tc>
        <w:tc>
          <w:tcPr>
            <w:tcW w:type="dxa" w:w="5083"/>
            <w:vAlign w:val="top"/>
          </w:tcPr>
          <w:p>
            <w:pPr>
              <w:spacing w:after="40"/>
            </w:pPr>
            <w:r>
              <w:rPr>
                <w:rFonts w:ascii="Aptos" w:hAnsi="Aptos"/>
                <w:sz w:val="16"/>
              </w:rPr>
              <w:t>RECON → CODE_INDEX → RECOVERED_SPEC → BASELINE → READINESS → READY</w:t>
            </w:r>
          </w:p>
        </w:tc>
      </w:tr>
      <w:tr>
        <w:tc>
          <w:tcPr>
            <w:tcW w:type="dxa" w:w="5083"/>
            <w:vAlign w:val="top"/>
          </w:tcPr>
          <w:p>
            <w:pPr>
              <w:spacing w:after="40"/>
            </w:pPr>
            <w:r>
              <w:rPr>
                <w:rFonts w:ascii="Aptos" w:hAnsi="Aptos"/>
                <w:sz w:val="16"/>
              </w:rPr>
              <w:t>Feature Change</w:t>
            </w:r>
          </w:p>
        </w:tc>
        <w:tc>
          <w:tcPr>
            <w:tcW w:type="dxa" w:w="5083"/>
            <w:vAlign w:val="top"/>
          </w:tcPr>
          <w:p>
            <w:pPr>
              <w:spacing w:after="40"/>
            </w:pPr>
            <w:r>
              <w:rPr>
                <w:rFonts w:ascii="Aptos" w:hAnsi="Aptos"/>
                <w:sz w:val="16"/>
              </w:rPr>
              <w:t>INTAKE → SPEC_DELTA → IMPACT_ANALYSIS → PLANNING → DEVELOPMENT → INTEGRATION → ASSURANCE → RELEASE → COMPLETE</w:t>
            </w:r>
          </w:p>
        </w:tc>
      </w:tr>
      <w:tr>
        <w:tc>
          <w:tcPr>
            <w:tcW w:type="dxa" w:w="5083"/>
            <w:vAlign w:val="top"/>
          </w:tcPr>
          <w:p>
            <w:pPr>
              <w:spacing w:after="40"/>
            </w:pPr>
            <w:r>
              <w:rPr>
                <w:rFonts w:ascii="Aptos" w:hAnsi="Aptos"/>
                <w:sz w:val="16"/>
              </w:rPr>
              <w:t>Bug Fix</w:t>
            </w:r>
          </w:p>
        </w:tc>
        <w:tc>
          <w:tcPr>
            <w:tcW w:type="dxa" w:w="5083"/>
            <w:vAlign w:val="top"/>
          </w:tcPr>
          <w:p>
            <w:pPr>
              <w:spacing w:after="40"/>
            </w:pPr>
            <w:r>
              <w:rPr>
                <w:rFonts w:ascii="Aptos" w:hAnsi="Aptos"/>
                <w:sz w:val="16"/>
              </w:rPr>
              <w:t>TRIAGE → REPRODUCTION → EXPECTED_BEHAVIOR → ROOT_CAUSE → DEVELOPMENT → INTEGRATION → REGRESSION → ASSURANCE → RELEASE → COMPLETE</w:t>
            </w:r>
          </w:p>
        </w:tc>
      </w:tr>
    </w:tbl>
    <w:p>
      <w:pPr>
        <w:pStyle w:val="Heading2"/>
      </w:pPr>
      <w:r>
        <w:t>7.1 State transition service</w:t>
      </w:r>
    </w:p>
    <w:p>
      <w:pPr>
        <w:pStyle w:val="CodeBlock"/>
        <w:keepLines/>
        <w:shd w:fill="F3F5F7"/>
      </w:pPr>
      <w:r>
        <w:rPr>
          <w:rFonts w:ascii="Liberation Mono" w:hAnsi="Liberation Mono"/>
          <w:color w:val="243447"/>
          <w:sz w:val="16"/>
        </w:rPr>
        <w:t>transition_delivery_cycle(</w:t>
        <w:br/>
        <w:t xml:space="preserve">    cycle_id,</w:t>
        <w:br/>
        <w:t xml:space="preserve">    expected_state,</w:t>
        <w:br/>
        <w:t xml:space="preserve">    target_state,</w:t>
        <w:br/>
        <w:t xml:space="preserve">    command_context</w:t>
        <w:br/>
        <w:t>)</w:t>
        <w:br/>
        <w:br/>
        <w:t>1. lock DeliveryCycle</w:t>
        <w:br/>
        <w:t>2. verify current == expected</w:t>
        <w:br/>
        <w:t>3. validate journey-specific preconditions</w:t>
        <w:br/>
        <w:t>4. persist new state</w:t>
        <w:br/>
        <w:t>5. append domain + audit events in same transaction</w:t>
        <w:br/>
        <w:t>6. publish after commit</w:t>
        <w:br/>
      </w:r>
    </w:p>
    <w:p>
      <w:pPr>
        <w:pStyle w:val="Heading1"/>
      </w:pPr>
      <w:r>
        <w:t>8. Task Planning, Contracts and Scheduler</w:t>
      </w:r>
    </w:p>
    <w:p>
      <w:pPr>
        <w:pStyle w:val="Heading2"/>
      </w:pPr>
      <w:r>
        <w:t>8.1 Kira planning flow</w:t>
      </w:r>
    </w:p>
    <w:p>
      <w:r>
        <w:t>Kira converts an approved ImplementationSpec (or approved repair plan) into a structured TaskPlan. This stage is LLM-dependent and must use a live provider. Olympus validates task IDs, references, owners/work types, dependencies, DAG acyclicity, scope and required outputs before persistence.</w:t>
      </w:r>
    </w:p>
    <w:p>
      <w:pPr>
        <w:pStyle w:val="CodeBlock"/>
        <w:keepLines/>
        <w:shd w:fill="F3F5F7"/>
      </w:pPr>
      <w:r>
        <w:rPr>
          <w:rFonts w:ascii="Liberation Mono" w:hAnsi="Liberation Mono"/>
          <w:color w:val="243447"/>
          <w:sz w:val="16"/>
        </w:rPr>
        <w:t>class TaskPlan(BaseModel):</w:t>
        <w:br/>
        <w:t xml:space="preserve">    tasks: list[TaskDraft]</w:t>
        <w:br/>
        <w:t xml:space="preserve">    dependencies: list[DependencyDraft]</w:t>
        <w:br/>
        <w:t xml:space="preserve">    risks: list[RiskObservation]</w:t>
        <w:br/>
        <w:t xml:space="preserve">    open_questions: list[Clarification]</w:t>
        <w:br/>
      </w:r>
    </w:p>
    <w:p>
      <w:pPr>
        <w:pStyle w:val="Heading2"/>
      </w:pPr>
      <w:r>
        <w:t>8.2 TaskContract compiler</w:t>
      </w:r>
    </w:p>
    <w:p>
      <w:r>
        <w:t>The TaskContract compiler is deterministic. It takes the persisted Task, referenced specification versions, architecture/contracts, selected code context, risk/policy state and allowed tool/action catalog and produces an immutable execution contract.</w:t>
      </w:r>
    </w:p>
    <w:p>
      <w:pPr>
        <w:pStyle w:val="Heading2"/>
      </w:pPr>
      <w:r>
        <w:t>8.3 Scheduler implementation</w:t>
      </w:r>
    </w:p>
    <w:p>
      <w:pPr>
        <w:pStyle w:val="CodeBlock"/>
        <w:keepLines/>
        <w:shd w:fill="F3F5F7"/>
      </w:pPr>
      <w:r>
        <w:rPr>
          <w:rFonts w:ascii="Liberation Mono" w:hAnsi="Liberation Mono"/>
          <w:color w:val="243447"/>
          <w:sz w:val="16"/>
        </w:rPr>
        <w:t>SELECT task_id</w:t>
        <w:br/>
        <w:t>FROM tasks</w:t>
        <w:br/>
        <w:t>WHERE status = 'READY'</w:t>
        <w:br/>
        <w:t>ORDER BY priority DESC, created_at</w:t>
        <w:br/>
        <w:t>FOR UPDATE SKIP LOCKED</w:t>
        <w:br/>
        <w:t>LIMIT :batch;</w:t>
        <w:br/>
      </w:r>
    </w:p>
    <w:p>
      <w:r>
        <w:t>For each candidate, the scheduler evaluates dependencies, artifact/spec versions, approvals, policy and conflicting executions. If eligible, it atomically creates an Execution in QUEUED state and records the TaskContract version. No LLM participates in eligibility decisions.</w:t>
      </w:r>
    </w:p>
    <w:p>
      <w:pPr>
        <w:pStyle w:val="Heading1"/>
      </w:pPr>
      <w:r>
        <w:t>9. Execution Worker, Snapshot, Lease and Worktree</w:t>
      </w:r>
    </w:p>
    <w:p>
      <w:pPr>
        <w:pStyle w:val="Heading2"/>
      </w:pPr>
      <w:r>
        <w:t>9.1 Worker flow</w:t>
      </w:r>
    </w:p>
    <w:p>
      <w:pPr>
        <w:pStyle w:val="CodeBlock"/>
        <w:keepLines/>
        <w:shd w:fill="F3F5F7"/>
      </w:pPr>
      <w:r>
        <w:rPr>
          <w:rFonts w:ascii="Liberation Mono" w:hAnsi="Liberation Mono"/>
          <w:color w:val="243447"/>
          <w:sz w:val="16"/>
        </w:rPr>
        <w:t>QUEUED</w:t>
        <w:br/>
        <w:t xml:space="preserve">  -&gt; atomically claim lease</w:t>
        <w:br/>
        <w:t xml:space="preserve">  -&gt; create immutable snapshot</w:t>
        <w:br/>
        <w:t xml:space="preserve">  -&gt; provision worktree/workspace</w:t>
        <w:br/>
        <w:t xml:space="preserve">  -&gt; resolve AgentProfile + runtime/model policy</w:t>
        <w:br/>
        <w:t xml:space="preserve">  -&gt; invoke AgentRuntime</w:t>
        <w:br/>
        <w:t xml:space="preserve">  -&gt; persist typed events/artifacts/tool actions</w:t>
        <w:br/>
        <w:t xml:space="preserve">  -&gt; validate outputs</w:t>
        <w:br/>
        <w:t xml:space="preserve">  -&gt; commit candidate (when writable)</w:t>
        <w:br/>
        <w:t xml:space="preserve">  -&gt; complete / checkpoint / fail</w:t>
        <w:br/>
      </w:r>
    </w:p>
    <w:p>
      <w:pPr>
        <w:pStyle w:val="Heading2"/>
      </w:pPr>
      <w:r>
        <w:t>9.2 Worktree implementation</w:t>
      </w:r>
    </w:p>
    <w:p>
      <w:pPr>
        <w:pStyle w:val="CodeBlock"/>
        <w:keepLines/>
        <w:shd w:fill="F3F5F7"/>
      </w:pPr>
      <w:r>
        <w:rPr>
          <w:rFonts w:ascii="Liberation Mono" w:hAnsi="Liberation Mono"/>
          <w:color w:val="243447"/>
          <w:sz w:val="16"/>
        </w:rPr>
        <w:t>git worktree add .olympus/worktrees/&lt;execution-id&gt; \</w:t>
        <w:br/>
        <w:t xml:space="preserve">    -b olympus/&lt;execution-id&gt; &lt;snapshot-base-sha&gt;</w:t>
        <w:br/>
      </w:r>
    </w:p>
    <w:p>
      <w:pPr>
        <w:pStyle w:val="ListBullet"/>
      </w:pPr>
      <w:r>
        <w:t>All repository paths are resolved against the assigned worktree and checked against TaskContract allowed_scope.</w:t>
      </w:r>
    </w:p>
    <w:p>
      <w:pPr>
        <w:pStyle w:val="ListBullet"/>
      </w:pPr>
      <w:r>
        <w:t>The worker rejects writes to the canonical checkout or paths escaping the worktree.</w:t>
      </w:r>
    </w:p>
    <w:p>
      <w:pPr>
        <w:pStyle w:val="ListBullet"/>
      </w:pPr>
      <w:r>
        <w:t>Candidate commit SHA, parent SHA, changed files and diff metadata are persisted on successful writable execution.</w:t>
      </w:r>
    </w:p>
    <w:p>
      <w:pPr>
        <w:pStyle w:val="Heading2"/>
      </w:pPr>
      <w:r>
        <w:t>9.3 Checkpoint and resume</w:t>
      </w:r>
    </w:p>
    <w:p>
      <w:r>
        <w:t>When an agent needs human clarification/approval or an external dependency is unavailable, the Execution can checkpoint. Olympus persists artifacts, question/approval request, current candidate state and continuation metadata, then releases worker compute. Resume creates or continues an execution according to policy using durable state; continuation must not depend solely on the prior model transcript.</w:t>
      </w:r>
    </w:p>
    <w:p>
      <w:pPr>
        <w:pStyle w:val="Heading1"/>
      </w:pPr>
      <w:r>
        <w:t>10. AgentRuntime, ModelRouter and Live LLM Integration</w:t>
      </w:r>
    </w:p>
    <w:p>
      <w:pPr>
        <w:pStyle w:val="Heading2"/>
      </w:pPr>
      <w:r>
        <w:t>10.1 Runtime-neutral protocol</w:t>
      </w:r>
    </w:p>
    <w:p>
      <w:pPr>
        <w:pStyle w:val="CodeBlock"/>
        <w:keepLines/>
        <w:shd w:fill="F3F5F7"/>
      </w:pPr>
      <w:r>
        <w:rPr>
          <w:rFonts w:ascii="Liberation Mono" w:hAnsi="Liberation Mono"/>
          <w:color w:val="243447"/>
          <w:sz w:val="16"/>
        </w:rPr>
        <w:t>class AgentRuntime(Protocol):</w:t>
        <w:br/>
        <w:t xml:space="preserve">    async def run(self, request: AgentRunRequest) -&gt; AgentRunResult: ...</w:t>
        <w:br/>
        <w:t xml:space="preserve">    async def resume(self, request: AgentResumeRequest) -&gt; AgentRunResult: ...</w:t>
        <w:br/>
        <w:t xml:space="preserve">    async def cancel(self, run_id: str) -&gt; None: ...</w:t>
        <w:br/>
        <w:t xml:space="preserve">    async def stream(self, run_id: str) -&gt; AsyncIterator[AgentEvent]: ...</w:t>
        <w:br/>
      </w:r>
    </w:p>
    <w:p>
      <w:pPr>
        <w:pStyle w:val="Heading2"/>
      </w:pPr>
      <w:r>
        <w:t>10.2 Initial LangGraphRuntime</w:t>
      </w:r>
    </w:p>
    <w:p>
      <w:r>
        <w:t>LangGraph is used only inside the runtime boundary for agent-local control flow, tool loops and model interaction. Olympus persists authoritative state outside LangGraph. The runtime receives a TaskContract, ExecutionSnapshot and AgentProfile; it returns typed results/events. LangGraph checkpoint IDs may be stored as execution metadata but cannot be used to reconstruct canonical project progress.</w:t>
      </w:r>
    </w:p>
    <w:p>
      <w:pPr>
        <w:pStyle w:val="Heading2"/>
      </w:pPr>
      <w:r>
        <w:t>10.3 ModelRouter</w:t>
      </w:r>
    </w:p>
    <w:p>
      <w:r>
        <w:t>ModelRouter chooses a configured provider/model based on AgentProfile, WorkType, context size, risk and cost policy. The initial implementation should provide at least one production provider adapter, with a second adapter optional but desirable for portability.</w:t>
      </w:r>
    </w:p>
    <w:p>
      <w:pPr>
        <w:pStyle w:val="CodeBlock"/>
        <w:keepLines/>
        <w:shd w:fill="F3F5F7"/>
      </w:pPr>
      <w:r>
        <w:rPr>
          <w:rFonts w:ascii="Liberation Mono" w:hAnsi="Liberation Mono"/>
          <w:color w:val="243447"/>
          <w:sz w:val="16"/>
        </w:rPr>
        <w:t>class ModelRequest(BaseModel):</w:t>
        <w:br/>
        <w:t xml:space="preserve">    purpose: str</w:t>
        <w:br/>
        <w:t xml:space="preserve">    system_instructions: str</w:t>
        <w:br/>
        <w:t xml:space="preserve">    context: list[ContextItem]</w:t>
        <w:br/>
        <w:t xml:space="preserve">    output_schema: type[BaseModel]</w:t>
        <w:br/>
        <w:t xml:space="preserve">    max_output_tokens: int</w:t>
        <w:br/>
        <w:t xml:space="preserve">    temperature: float | None = None</w:t>
        <w:br/>
        <w:t xml:space="preserve">    metadata: dict[str, str]</w:t>
        <w:br/>
        <w:br/>
        <w:t>class ModelResult(BaseModel):</w:t>
        <w:br/>
        <w:t xml:space="preserve">    parsed_output: BaseModel</w:t>
        <w:br/>
        <w:t xml:space="preserve">    provider: str</w:t>
        <w:br/>
        <w:t xml:space="preserve">    model: str</w:t>
        <w:br/>
        <w:t xml:space="preserve">    input_tokens: int</w:t>
        <w:br/>
        <w:t xml:space="preserve">    output_tokens: int</w:t>
        <w:br/>
        <w:t xml:space="preserve">    latency_ms: int</w:t>
        <w:br/>
        <w:t xml:space="preserve">    provider_request_id: str | None</w:t>
        <w:br/>
      </w:r>
    </w:p>
    <w:p>
      <w:pPr>
        <w:pStyle w:val="Heading3"/>
      </w:pPr>
      <w:r>
        <w:t>Structured output policy</w:t>
      </w:r>
    </w:p>
    <w:p>
      <w:pPr>
        <w:pStyle w:val="ListBullet"/>
      </w:pPr>
      <w:r>
        <w:t>Use provider-native structured output/tool schema when available; otherwise validate returned JSON against Pydantic.</w:t>
      </w:r>
    </w:p>
    <w:p>
      <w:pPr>
        <w:pStyle w:val="ListBullet"/>
      </w:pPr>
      <w:r>
        <w:t>Schema failures are retried with explicit validation errors up to a bounded retry policy.</w:t>
      </w:r>
    </w:p>
    <w:p>
      <w:pPr>
        <w:pStyle w:val="ListBullet"/>
      </w:pPr>
      <w:r>
        <w:t>Free-form model prose may be stored as an Artifact, but canonical entities are persisted only from validated structured output.</w:t>
      </w:r>
    </w:p>
    <w:p>
      <w:pPr>
        <w:pStyle w:val="ListBullet"/>
      </w:pPr>
      <w:r>
        <w:t>Prompt/model/config version is captured on each Execution or model-call audit record for reproducibility.</w:t>
      </w:r>
    </w:p>
    <w:p>
      <w:pPr>
        <w:pStyle w:val="Heading3"/>
      </w:pPr>
      <w:r>
        <w:t>No-mock journey rule</w:t>
      </w:r>
    </w:p>
    <w:p>
      <w:r>
        <w:t>For the four reference journeys, Kira/Atlas/Scout/Forge/Warden/Sentinel calls are real model invocations in integration/journey environments whenever those capabilities are required. Tests may use low-cost model policies and small fixtures, but not hard-coded successful outputs.</w:t>
      </w:r>
    </w:p>
    <w:p>
      <w:pPr>
        <w:pStyle w:val="Heading1"/>
      </w:pPr>
      <w:r>
        <w:t>11. Agent Capability Contracts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Pr>
          <w:p>
            <w:pPr>
              <w:spacing w:after="40"/>
            </w:pPr>
            <w:r>
              <w:rPr>
                <w:rFonts w:ascii="Aptos" w:hAnsi="Aptos"/>
                <w:b/>
                <w:color w:val="FFFFFF"/>
                <w:sz w:val="16"/>
              </w:rPr>
              <w:t>Capability</w:t>
            </w:r>
          </w:p>
        </w:tc>
        <w:tc>
          <w:tcPr>
            <w:tcW w:type="dxa" w:w="2541"/>
            <w:shd w:fill="17365D"/>
            <w:vAlign w:val="center"/>
          </w:tcPr>
          <w:p>
            <w:pPr>
              <w:spacing w:after="40"/>
            </w:pPr>
            <w:r>
              <w:rPr>
                <w:rFonts w:ascii="Aptos" w:hAnsi="Aptos"/>
                <w:b/>
                <w:color w:val="FFFFFF"/>
                <w:sz w:val="16"/>
              </w:rPr>
              <w:t>Inputs</w:t>
            </w:r>
          </w:p>
        </w:tc>
        <w:tc>
          <w:tcPr>
            <w:tcW w:type="dxa" w:w="2541"/>
            <w:shd w:fill="17365D"/>
            <w:vAlign w:val="center"/>
          </w:tcPr>
          <w:p>
            <w:pPr>
              <w:spacing w:after="40"/>
            </w:pPr>
            <w:r>
              <w:rPr>
                <w:rFonts w:ascii="Aptos" w:hAnsi="Aptos"/>
                <w:b/>
                <w:color w:val="FFFFFF"/>
                <w:sz w:val="16"/>
              </w:rPr>
              <w:t>Structured outputs</w:t>
            </w:r>
          </w:p>
        </w:tc>
        <w:tc>
          <w:tcPr>
            <w:tcW w:type="dxa" w:w="2541"/>
            <w:shd w:fill="17365D"/>
            <w:vAlign w:val="center"/>
          </w:tcPr>
          <w:p>
            <w:pPr>
              <w:spacing w:after="40"/>
            </w:pPr>
            <w:r>
              <w:rPr>
                <w:rFonts w:ascii="Aptos" w:hAnsi="Aptos"/>
                <w:b/>
                <w:color w:val="FFFFFF"/>
                <w:sz w:val="16"/>
              </w:rPr>
              <w:t>Writes canonical state?</w:t>
            </w:r>
          </w:p>
        </w:tc>
      </w:tr>
      <w:tr>
        <w:tc>
          <w:tcPr>
            <w:tcW w:type="dxa" w:w="2541"/>
            <w:vAlign w:val="top"/>
          </w:tcPr>
          <w:p>
            <w:pPr>
              <w:spacing w:after="40"/>
            </w:pPr>
            <w:r>
              <w:rPr>
                <w:rFonts w:ascii="Aptos" w:hAnsi="Aptos"/>
                <w:sz w:val="16"/>
              </w:rPr>
              <w:t>Orchestrator</w:t>
            </w:r>
          </w:p>
        </w:tc>
        <w:tc>
          <w:tcPr>
            <w:tcW w:type="dxa" w:w="2541"/>
            <w:vAlign w:val="top"/>
          </w:tcPr>
          <w:p>
            <w:pPr>
              <w:spacing w:after="40"/>
            </w:pPr>
            <w:r>
              <w:rPr>
                <w:rFonts w:ascii="Aptos" w:hAnsi="Aptos"/>
                <w:sz w:val="16"/>
              </w:rPr>
              <w:t>User message, Project/Delivery state, pending questions</w:t>
            </w:r>
          </w:p>
        </w:tc>
        <w:tc>
          <w:tcPr>
            <w:tcW w:type="dxa" w:w="2541"/>
            <w:vAlign w:val="top"/>
          </w:tcPr>
          <w:p>
            <w:pPr>
              <w:spacing w:after="40"/>
            </w:pPr>
            <w:r>
              <w:rPr>
                <w:rFonts w:ascii="Aptos" w:hAnsi="Aptos"/>
                <w:sz w:val="16"/>
              </w:rPr>
              <w:t>Intent classification, clarification/explanation, requested command</w:t>
            </w:r>
          </w:p>
        </w:tc>
        <w:tc>
          <w:tcPr>
            <w:tcW w:type="dxa" w:w="2541"/>
            <w:vAlign w:val="top"/>
          </w:tcPr>
          <w:p>
            <w:pPr>
              <w:spacing w:after="40"/>
            </w:pPr>
            <w:r>
              <w:rPr>
                <w:rFonts w:ascii="Aptos" w:hAnsi="Aptos"/>
                <w:sz w:val="16"/>
              </w:rPr>
              <w:t>No; emits commands through control API</w:t>
            </w:r>
          </w:p>
        </w:tc>
      </w:tr>
      <w:tr>
        <w:tc>
          <w:tcPr>
            <w:tcW w:type="dxa" w:w="2541"/>
            <w:vAlign w:val="top"/>
          </w:tcPr>
          <w:p>
            <w:pPr>
              <w:spacing w:after="40"/>
            </w:pPr>
            <w:r>
              <w:rPr>
                <w:rFonts w:ascii="Aptos" w:hAnsi="Aptos"/>
                <w:sz w:val="16"/>
              </w:rPr>
              <w:t>Kira</w:t>
            </w:r>
          </w:p>
        </w:tc>
        <w:tc>
          <w:tcPr>
            <w:tcW w:type="dxa" w:w="2541"/>
            <w:vAlign w:val="top"/>
          </w:tcPr>
          <w:p>
            <w:pPr>
              <w:spacing w:after="40"/>
            </w:pPr>
            <w:r>
              <w:rPr>
                <w:rFonts w:ascii="Aptos" w:hAnsi="Aptos"/>
                <w:sz w:val="16"/>
              </w:rPr>
              <w:t>ProductSource / approved FeatureSpec / ChangeRequest / Defect context</w:t>
            </w:r>
          </w:p>
        </w:tc>
        <w:tc>
          <w:tcPr>
            <w:tcW w:type="dxa" w:w="2541"/>
            <w:vAlign w:val="top"/>
          </w:tcPr>
          <w:p>
            <w:pPr>
              <w:spacing w:after="40"/>
            </w:pPr>
            <w:r>
              <w:rPr>
                <w:rFonts w:ascii="Aptos" w:hAnsi="Aptos"/>
                <w:sz w:val="16"/>
              </w:rPr>
              <w:t>ProductDecomposition, TaskPlan, clarifications, risk observations</w:t>
            </w:r>
          </w:p>
        </w:tc>
        <w:tc>
          <w:tcPr>
            <w:tcW w:type="dxa" w:w="2541"/>
            <w:vAlign w:val="top"/>
          </w:tcPr>
          <w:p>
            <w:pPr>
              <w:spacing w:after="40"/>
            </w:pPr>
            <w:r>
              <w:rPr>
                <w:rFonts w:ascii="Aptos" w:hAnsi="Aptos"/>
                <w:sz w:val="16"/>
              </w:rPr>
              <w:t>No</w:t>
            </w:r>
          </w:p>
        </w:tc>
      </w:tr>
      <w:tr>
        <w:tc>
          <w:tcPr>
            <w:tcW w:type="dxa" w:w="2541"/>
            <w:vAlign w:val="top"/>
          </w:tcPr>
          <w:p>
            <w:pPr>
              <w:spacing w:after="40"/>
            </w:pPr>
            <w:r>
              <w:rPr>
                <w:rFonts w:ascii="Aptos" w:hAnsi="Aptos"/>
                <w:sz w:val="16"/>
              </w:rPr>
              <w:t>Atlas</w:t>
            </w:r>
          </w:p>
        </w:tc>
        <w:tc>
          <w:tcPr>
            <w:tcW w:type="dxa" w:w="2541"/>
            <w:vAlign w:val="top"/>
          </w:tcPr>
          <w:p>
            <w:pPr>
              <w:spacing w:after="40"/>
            </w:pPr>
            <w:r>
              <w:rPr>
                <w:rFonts w:ascii="Aptos" w:hAnsi="Aptos"/>
                <w:sz w:val="16"/>
              </w:rPr>
              <w:t>Approved specs, project architecture, code/intelligence context</w:t>
            </w:r>
          </w:p>
        </w:tc>
        <w:tc>
          <w:tcPr>
            <w:tcW w:type="dxa" w:w="2541"/>
            <w:vAlign w:val="top"/>
          </w:tcPr>
          <w:p>
            <w:pPr>
              <w:spacing w:after="40"/>
            </w:pPr>
            <w:r>
              <w:rPr>
                <w:rFonts w:ascii="Aptos" w:hAnsi="Aptos"/>
                <w:sz w:val="16"/>
              </w:rPr>
              <w:t>ArchitectureProposal / ArchitectureDelta, contracts, decisions, constraints</w:t>
            </w:r>
          </w:p>
        </w:tc>
        <w:tc>
          <w:tcPr>
            <w:tcW w:type="dxa" w:w="2541"/>
            <w:vAlign w:val="top"/>
          </w:tcPr>
          <w:p>
            <w:pPr>
              <w:spacing w:after="40"/>
            </w:pPr>
            <w:r>
              <w:rPr>
                <w:rFonts w:ascii="Aptos" w:hAnsi="Aptos"/>
                <w:sz w:val="16"/>
              </w:rPr>
              <w:t>No</w:t>
            </w:r>
          </w:p>
        </w:tc>
      </w:tr>
      <w:tr>
        <w:tc>
          <w:tcPr>
            <w:tcW w:type="dxa" w:w="2541"/>
            <w:vAlign w:val="top"/>
          </w:tcPr>
          <w:p>
            <w:pPr>
              <w:spacing w:after="40"/>
            </w:pPr>
            <w:r>
              <w:rPr>
                <w:rFonts w:ascii="Aptos" w:hAnsi="Aptos"/>
                <w:sz w:val="16"/>
              </w:rPr>
              <w:t>Scout</w:t>
            </w:r>
          </w:p>
        </w:tc>
        <w:tc>
          <w:tcPr>
            <w:tcW w:type="dxa" w:w="2541"/>
            <w:vAlign w:val="top"/>
          </w:tcPr>
          <w:p>
            <w:pPr>
              <w:spacing w:after="40"/>
            </w:pPr>
            <w:r>
              <w:rPr>
                <w:rFonts w:ascii="Aptos" w:hAnsi="Aptos"/>
                <w:sz w:val="16"/>
              </w:rPr>
              <w:t>Repository facts, code graph, tests, schemas, Git metadata</w:t>
            </w:r>
          </w:p>
        </w:tc>
        <w:tc>
          <w:tcPr>
            <w:tcW w:type="dxa" w:w="2541"/>
            <w:vAlign w:val="top"/>
          </w:tcPr>
          <w:p>
            <w:pPr>
              <w:spacing w:after="40"/>
            </w:pPr>
            <w:r>
              <w:rPr>
                <w:rFonts w:ascii="Aptos" w:hAnsi="Aptos"/>
                <w:sz w:val="16"/>
              </w:rPr>
              <w:t>Recovered specs, facts, inferences, uncertainties, confidence, baseline proposals</w:t>
            </w:r>
          </w:p>
        </w:tc>
        <w:tc>
          <w:tcPr>
            <w:tcW w:type="dxa" w:w="2541"/>
            <w:vAlign w:val="top"/>
          </w:tcPr>
          <w:p>
            <w:pPr>
              <w:spacing w:after="40"/>
            </w:pPr>
            <w:r>
              <w:rPr>
                <w:rFonts w:ascii="Aptos" w:hAnsi="Aptos"/>
                <w:sz w:val="16"/>
              </w:rPr>
              <w:t>No</w:t>
            </w:r>
          </w:p>
        </w:tc>
      </w:tr>
      <w:tr>
        <w:tc>
          <w:tcPr>
            <w:tcW w:type="dxa" w:w="2541"/>
            <w:vAlign w:val="top"/>
          </w:tcPr>
          <w:p>
            <w:pPr>
              <w:spacing w:after="40"/>
            </w:pPr>
            <w:r>
              <w:rPr>
                <w:rFonts w:ascii="Aptos" w:hAnsi="Aptos"/>
                <w:sz w:val="16"/>
              </w:rPr>
              <w:t>Forge</w:t>
            </w:r>
          </w:p>
        </w:tc>
        <w:tc>
          <w:tcPr>
            <w:tcW w:type="dxa" w:w="2541"/>
            <w:vAlign w:val="top"/>
          </w:tcPr>
          <w:p>
            <w:pPr>
              <w:spacing w:after="40"/>
            </w:pPr>
            <w:r>
              <w:rPr>
                <w:rFonts w:ascii="Aptos" w:hAnsi="Aptos"/>
                <w:sz w:val="16"/>
              </w:rPr>
              <w:t>TaskContract, snapshot, assigned worktree, selected context</w:t>
            </w:r>
          </w:p>
        </w:tc>
        <w:tc>
          <w:tcPr>
            <w:tcW w:type="dxa" w:w="2541"/>
            <w:vAlign w:val="top"/>
          </w:tcPr>
          <w:p>
            <w:pPr>
              <w:spacing w:after="40"/>
            </w:pPr>
            <w:r>
              <w:rPr>
                <w:rFonts w:ascii="Aptos" w:hAnsi="Aptos"/>
                <w:sz w:val="16"/>
              </w:rPr>
              <w:t>ImplementationResult: candidate commit, changed files, tests, artifacts, notes</w:t>
            </w:r>
          </w:p>
        </w:tc>
        <w:tc>
          <w:tcPr>
            <w:tcW w:type="dxa" w:w="2541"/>
            <w:vAlign w:val="top"/>
          </w:tcPr>
          <w:p>
            <w:pPr>
              <w:spacing w:after="40"/>
            </w:pPr>
            <w:r>
              <w:rPr>
                <w:rFonts w:ascii="Aptos" w:hAnsi="Aptos"/>
                <w:sz w:val="16"/>
              </w:rPr>
              <w:t>No; ToolGateway/worktree only</w:t>
            </w:r>
          </w:p>
        </w:tc>
      </w:tr>
      <w:tr>
        <w:tc>
          <w:tcPr>
            <w:tcW w:type="dxa" w:w="2541"/>
            <w:vAlign w:val="top"/>
          </w:tcPr>
          <w:p>
            <w:pPr>
              <w:spacing w:after="40"/>
            </w:pPr>
            <w:r>
              <w:rPr>
                <w:rFonts w:ascii="Aptos" w:hAnsi="Aptos"/>
                <w:sz w:val="16"/>
              </w:rPr>
              <w:t>Warden</w:t>
            </w:r>
          </w:p>
        </w:tc>
        <w:tc>
          <w:tcPr>
            <w:tcW w:type="dxa" w:w="2541"/>
            <w:vAlign w:val="top"/>
          </w:tcPr>
          <w:p>
            <w:pPr>
              <w:spacing w:after="40"/>
            </w:pPr>
            <w:r>
              <w:rPr>
                <w:rFonts w:ascii="Aptos" w:hAnsi="Aptos"/>
                <w:sz w:val="16"/>
              </w:rPr>
              <w:t>Exact IntegrationCandidate, diff, specs, architecture, risk</w:t>
            </w:r>
          </w:p>
        </w:tc>
        <w:tc>
          <w:tcPr>
            <w:tcW w:type="dxa" w:w="2541"/>
            <w:vAlign w:val="top"/>
          </w:tcPr>
          <w:p>
            <w:pPr>
              <w:spacing w:after="40"/>
            </w:pPr>
            <w:r>
              <w:rPr>
                <w:rFonts w:ascii="Aptos" w:hAnsi="Aptos"/>
                <w:sz w:val="16"/>
              </w:rPr>
              <w:t>Findings, recommendation, review evidence</w:t>
            </w:r>
          </w:p>
        </w:tc>
        <w:tc>
          <w:tcPr>
            <w:tcW w:type="dxa" w:w="2541"/>
            <w:vAlign w:val="top"/>
          </w:tcPr>
          <w:p>
            <w:pPr>
              <w:spacing w:after="40"/>
            </w:pPr>
            <w:r>
              <w:rPr>
                <w:rFonts w:ascii="Aptos" w:hAnsi="Aptos"/>
                <w:sz w:val="16"/>
              </w:rPr>
              <w:t>No</w:t>
            </w:r>
          </w:p>
        </w:tc>
      </w:tr>
      <w:tr>
        <w:tc>
          <w:tcPr>
            <w:tcW w:type="dxa" w:w="2541"/>
            <w:vAlign w:val="top"/>
          </w:tcPr>
          <w:p>
            <w:pPr>
              <w:spacing w:after="40"/>
            </w:pPr>
            <w:r>
              <w:rPr>
                <w:rFonts w:ascii="Aptos" w:hAnsi="Aptos"/>
                <w:sz w:val="16"/>
              </w:rPr>
              <w:t>Sentinel</w:t>
            </w:r>
          </w:p>
        </w:tc>
        <w:tc>
          <w:tcPr>
            <w:tcW w:type="dxa" w:w="2541"/>
            <w:vAlign w:val="top"/>
          </w:tcPr>
          <w:p>
            <w:pPr>
              <w:spacing w:after="40"/>
            </w:pPr>
            <w:r>
              <w:rPr>
                <w:rFonts w:ascii="Aptos" w:hAnsi="Aptos"/>
                <w:sz w:val="16"/>
              </w:rPr>
              <w:t>Exact IntegrationCandidate, ACs, baselines, impact obligations</w:t>
            </w:r>
          </w:p>
        </w:tc>
        <w:tc>
          <w:tcPr>
            <w:tcW w:type="dxa" w:w="2541"/>
            <w:vAlign w:val="top"/>
          </w:tcPr>
          <w:p>
            <w:pPr>
              <w:spacing w:after="40"/>
            </w:pPr>
            <w:r>
              <w:rPr>
                <w:rFonts w:ascii="Aptos" w:hAnsi="Aptos"/>
                <w:sz w:val="16"/>
              </w:rPr>
              <w:t>VerificationResult, evidence, uncovered criteria/findings</w:t>
            </w:r>
          </w:p>
        </w:tc>
        <w:tc>
          <w:tcPr>
            <w:tcW w:type="dxa" w:w="2541"/>
            <w:vAlign w:val="top"/>
          </w:tcPr>
          <w:p>
            <w:pPr>
              <w:spacing w:after="40"/>
            </w:pPr>
            <w:r>
              <w:rPr>
                <w:rFonts w:ascii="Aptos" w:hAnsi="Aptos"/>
                <w:sz w:val="16"/>
              </w:rPr>
              <w:t>No</w:t>
            </w:r>
          </w:p>
        </w:tc>
      </w:tr>
      <w:tr>
        <w:tc>
          <w:tcPr>
            <w:tcW w:type="dxa" w:w="2541"/>
            <w:vAlign w:val="top"/>
          </w:tcPr>
          <w:p>
            <w:pPr>
              <w:spacing w:after="40"/>
            </w:pPr>
            <w:r>
              <w:rPr>
                <w:rFonts w:ascii="Aptos" w:hAnsi="Aptos"/>
                <w:sz w:val="16"/>
              </w:rPr>
              <w:t>Stratos</w:t>
            </w:r>
          </w:p>
        </w:tc>
        <w:tc>
          <w:tcPr>
            <w:tcW w:type="dxa" w:w="2541"/>
            <w:vAlign w:val="top"/>
          </w:tcPr>
          <w:p>
            <w:pPr>
              <w:spacing w:after="40"/>
            </w:pPr>
            <w:r>
              <w:rPr>
                <w:rFonts w:ascii="Aptos" w:hAnsi="Aptos"/>
                <w:sz w:val="16"/>
              </w:rPr>
              <w:t>Already eligible ReleaseManifest</w:t>
            </w:r>
          </w:p>
        </w:tc>
        <w:tc>
          <w:tcPr>
            <w:tcW w:type="dxa" w:w="2541"/>
            <w:vAlign w:val="top"/>
          </w:tcPr>
          <w:p>
            <w:pPr>
              <w:spacing w:after="40"/>
            </w:pPr>
            <w:r>
              <w:rPr>
                <w:rFonts w:ascii="Aptos" w:hAnsi="Aptos"/>
                <w:sz w:val="16"/>
              </w:rPr>
              <w:t>DeploymentResult / rollback result</w:t>
            </w:r>
          </w:p>
        </w:tc>
        <w:tc>
          <w:tcPr>
            <w:tcW w:type="dxa" w:w="2541"/>
            <w:vAlign w:val="top"/>
          </w:tcPr>
          <w:p>
            <w:pPr>
              <w:spacing w:after="40"/>
            </w:pPr>
            <w:r>
              <w:rPr>
                <w:rFonts w:ascii="Aptos" w:hAnsi="Aptos"/>
                <w:sz w:val="16"/>
              </w:rPr>
              <w:t>No eligibility authority</w:t>
            </w:r>
          </w:p>
        </w:tc>
      </w:tr>
    </w:tbl>
    <w:p>
      <w:pPr>
        <w:pStyle w:val="Heading1"/>
      </w:pPr>
      <w:r>
        <w:t>12. ToolGateway and Governed Action Implementation</w:t>
      </w:r>
    </w:p>
    <w:p>
      <w:pPr>
        <w:pStyle w:val="CodeBlock"/>
        <w:keepLines/>
        <w:shd w:fill="F3F5F7"/>
      </w:pPr>
      <w:r>
        <w:rPr>
          <w:rFonts w:ascii="Liberation Mono" w:hAnsi="Liberation Mono"/>
          <w:color w:val="243447"/>
          <w:sz w:val="16"/>
        </w:rPr>
        <w:t>Agent Runtime</w:t>
        <w:br/>
        <w:t xml:space="preserve">   -&gt; ToolRequest / ActionRequest</w:t>
        <w:br/>
        <w:t xml:space="preserve">   -&gt; validate execution + lease</w:t>
        <w:br/>
        <w:t xml:space="preserve">   -&gt; validate AgentProfile allowed_tools</w:t>
        <w:br/>
        <w:t xml:space="preserve">   -&gt; validate TaskContract allowed_scope/action</w:t>
        <w:br/>
        <w:t xml:space="preserve">   -&gt; evaluate deterministic policy</w:t>
        <w:br/>
        <w:t xml:space="preserve">   -&gt; require approval if policy says so</w:t>
        <w:br/>
        <w:t xml:space="preserve">   -&gt; execute tool / connector</w:t>
        <w:br/>
        <w:t xml:space="preserve">   -&gt; normalize result</w:t>
        <w:br/>
        <w:t xml:space="preserve">   -&gt; persist ActionResult + AuditEvent</w:t>
        <w:br/>
      </w:r>
    </w:p>
    <w:p>
      <w:pPr>
        <w:pStyle w:val="Heading2"/>
      </w:pPr>
      <w:r>
        <w:t>12.1 Initial local tool catalog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Tool</w:t>
            </w:r>
          </w:p>
        </w:tc>
        <w:tc>
          <w:tcPr>
            <w:tcW w:type="dxa" w:w="5083"/>
            <w:shd w:fill="17365D"/>
            <w:vAlign w:val="center"/>
          </w:tcPr>
          <w:p>
            <w:pPr>
              <w:spacing w:after="40"/>
            </w:pPr>
            <w:r>
              <w:rPr>
                <w:rFonts w:ascii="Aptos" w:hAnsi="Aptos"/>
                <w:b/>
                <w:color w:val="FFFFFF"/>
                <w:sz w:val="16"/>
              </w:rPr>
              <w:t>Scope</w:t>
            </w:r>
          </w:p>
        </w:tc>
      </w:tr>
      <w:tr>
        <w:tc>
          <w:tcPr>
            <w:tcW w:type="dxa" w:w="5083"/>
            <w:vAlign w:val="top"/>
          </w:tcPr>
          <w:p>
            <w:pPr>
              <w:spacing w:after="40"/>
            </w:pPr>
            <w:r>
              <w:rPr>
                <w:rFonts w:ascii="Aptos" w:hAnsi="Aptos"/>
                <w:sz w:val="16"/>
              </w:rPr>
              <w:t>repo.read</w:t>
            </w:r>
          </w:p>
        </w:tc>
        <w:tc>
          <w:tcPr>
            <w:tcW w:type="dxa" w:w="5083"/>
            <w:vAlign w:val="top"/>
          </w:tcPr>
          <w:p>
            <w:pPr>
              <w:spacing w:after="40"/>
            </w:pPr>
            <w:r>
              <w:rPr>
                <w:rFonts w:ascii="Aptos" w:hAnsi="Aptos"/>
                <w:sz w:val="16"/>
              </w:rPr>
              <w:t>Read files inside assigned repository/worktree</w:t>
            </w:r>
          </w:p>
        </w:tc>
      </w:tr>
      <w:tr>
        <w:tc>
          <w:tcPr>
            <w:tcW w:type="dxa" w:w="5083"/>
            <w:vAlign w:val="top"/>
          </w:tcPr>
          <w:p>
            <w:pPr>
              <w:spacing w:after="40"/>
            </w:pPr>
            <w:r>
              <w:rPr>
                <w:rFonts w:ascii="Aptos" w:hAnsi="Aptos"/>
                <w:sz w:val="16"/>
              </w:rPr>
              <w:t>repo.search</w:t>
            </w:r>
          </w:p>
        </w:tc>
        <w:tc>
          <w:tcPr>
            <w:tcW w:type="dxa" w:w="5083"/>
            <w:vAlign w:val="top"/>
          </w:tcPr>
          <w:p>
            <w:pPr>
              <w:spacing w:after="40"/>
            </w:pPr>
            <w:r>
              <w:rPr>
                <w:rFonts w:ascii="Aptos" w:hAnsi="Aptos"/>
                <w:sz w:val="16"/>
              </w:rPr>
              <w:t>Lexical/symbol search within assigned repository</w:t>
            </w:r>
          </w:p>
        </w:tc>
      </w:tr>
      <w:tr>
        <w:tc>
          <w:tcPr>
            <w:tcW w:type="dxa" w:w="5083"/>
            <w:vAlign w:val="top"/>
          </w:tcPr>
          <w:p>
            <w:pPr>
              <w:spacing w:after="40"/>
            </w:pPr>
            <w:r>
              <w:rPr>
                <w:rFonts w:ascii="Aptos" w:hAnsi="Aptos"/>
                <w:sz w:val="16"/>
              </w:rPr>
              <w:t>repo.write</w:t>
            </w:r>
          </w:p>
        </w:tc>
        <w:tc>
          <w:tcPr>
            <w:tcW w:type="dxa" w:w="5083"/>
            <w:vAlign w:val="top"/>
          </w:tcPr>
          <w:p>
            <w:pPr>
              <w:spacing w:after="40"/>
            </w:pPr>
            <w:r>
              <w:rPr>
                <w:rFonts w:ascii="Aptos" w:hAnsi="Aptos"/>
                <w:sz w:val="16"/>
              </w:rPr>
              <w:t>Write only inside allowed worktree paths</w:t>
            </w:r>
          </w:p>
        </w:tc>
      </w:tr>
      <w:tr>
        <w:tc>
          <w:tcPr>
            <w:tcW w:type="dxa" w:w="5083"/>
            <w:vAlign w:val="top"/>
          </w:tcPr>
          <w:p>
            <w:pPr>
              <w:spacing w:after="40"/>
            </w:pPr>
            <w:r>
              <w:rPr>
                <w:rFonts w:ascii="Aptos" w:hAnsi="Aptos"/>
                <w:sz w:val="16"/>
              </w:rPr>
              <w:t>shell.run</w:t>
            </w:r>
          </w:p>
        </w:tc>
        <w:tc>
          <w:tcPr>
            <w:tcW w:type="dxa" w:w="5083"/>
            <w:vAlign w:val="top"/>
          </w:tcPr>
          <w:p>
            <w:pPr>
              <w:spacing w:after="40"/>
            </w:pPr>
            <w:r>
              <w:rPr>
                <w:rFonts w:ascii="Aptos" w:hAnsi="Aptos"/>
                <w:sz w:val="16"/>
              </w:rPr>
              <w:t>Restricted command execution from allowlisted categories; cwd forced to workspace</w:t>
            </w:r>
          </w:p>
        </w:tc>
      </w:tr>
      <w:tr>
        <w:tc>
          <w:tcPr>
            <w:tcW w:type="dxa" w:w="5083"/>
            <w:vAlign w:val="top"/>
          </w:tcPr>
          <w:p>
            <w:pPr>
              <w:spacing w:after="40"/>
            </w:pPr>
            <w:r>
              <w:rPr>
                <w:rFonts w:ascii="Aptos" w:hAnsi="Aptos"/>
                <w:sz w:val="16"/>
              </w:rPr>
              <w:t>test.run</w:t>
            </w:r>
          </w:p>
        </w:tc>
        <w:tc>
          <w:tcPr>
            <w:tcW w:type="dxa" w:w="5083"/>
            <w:vAlign w:val="top"/>
          </w:tcPr>
          <w:p>
            <w:pPr>
              <w:spacing w:after="40"/>
            </w:pPr>
            <w:r>
              <w:rPr>
                <w:rFonts w:ascii="Aptos" w:hAnsi="Aptos"/>
                <w:sz w:val="16"/>
              </w:rPr>
              <w:t>pytest/lint/typecheck commands through bounded runner</w:t>
            </w:r>
          </w:p>
        </w:tc>
      </w:tr>
      <w:tr>
        <w:tc>
          <w:tcPr>
            <w:tcW w:type="dxa" w:w="5083"/>
            <w:vAlign w:val="top"/>
          </w:tcPr>
          <w:p>
            <w:pPr>
              <w:spacing w:after="40"/>
            </w:pPr>
            <w:r>
              <w:rPr>
                <w:rFonts w:ascii="Aptos" w:hAnsi="Aptos"/>
                <w:sz w:val="16"/>
              </w:rPr>
              <w:t>git.diff</w:t>
            </w:r>
          </w:p>
        </w:tc>
        <w:tc>
          <w:tcPr>
            <w:tcW w:type="dxa" w:w="5083"/>
            <w:vAlign w:val="top"/>
          </w:tcPr>
          <w:p>
            <w:pPr>
              <w:spacing w:after="40"/>
            </w:pPr>
            <w:r>
              <w:rPr>
                <w:rFonts w:ascii="Aptos" w:hAnsi="Aptos"/>
                <w:sz w:val="16"/>
              </w:rPr>
              <w:t>Read candidate diff</w:t>
            </w:r>
          </w:p>
        </w:tc>
      </w:tr>
      <w:tr>
        <w:tc>
          <w:tcPr>
            <w:tcW w:type="dxa" w:w="5083"/>
            <w:vAlign w:val="top"/>
          </w:tcPr>
          <w:p>
            <w:pPr>
              <w:spacing w:after="40"/>
            </w:pPr>
            <w:r>
              <w:rPr>
                <w:rFonts w:ascii="Aptos" w:hAnsi="Aptos"/>
                <w:sz w:val="16"/>
              </w:rPr>
              <w:t>git.commit</w:t>
            </w:r>
          </w:p>
        </w:tc>
        <w:tc>
          <w:tcPr>
            <w:tcW w:type="dxa" w:w="5083"/>
            <w:vAlign w:val="top"/>
          </w:tcPr>
          <w:p>
            <w:pPr>
              <w:spacing w:after="40"/>
            </w:pPr>
            <w:r>
              <w:rPr>
                <w:rFonts w:ascii="Aptos" w:hAnsi="Aptos"/>
                <w:sz w:val="16"/>
              </w:rPr>
              <w:t>Create candidate commit on execution branch</w:t>
            </w:r>
          </w:p>
        </w:tc>
      </w:tr>
      <w:tr>
        <w:tc>
          <w:tcPr>
            <w:tcW w:type="dxa" w:w="5083"/>
            <w:vAlign w:val="top"/>
          </w:tcPr>
          <w:p>
            <w:pPr>
              <w:spacing w:after="40"/>
            </w:pPr>
            <w:r>
              <w:rPr>
                <w:rFonts w:ascii="Aptos" w:hAnsi="Aptos"/>
                <w:sz w:val="16"/>
              </w:rPr>
              <w:t>olympus.ask_question</w:t>
            </w:r>
          </w:p>
        </w:tc>
        <w:tc>
          <w:tcPr>
            <w:tcW w:type="dxa" w:w="5083"/>
            <w:vAlign w:val="top"/>
          </w:tcPr>
          <w:p>
            <w:pPr>
              <w:spacing w:after="40"/>
            </w:pPr>
            <w:r>
              <w:rPr>
                <w:rFonts w:ascii="Aptos" w:hAnsi="Aptos"/>
                <w:sz w:val="16"/>
              </w:rPr>
              <w:t>Create durable clarification request and checkpoint</w:t>
            </w:r>
          </w:p>
        </w:tc>
      </w:tr>
      <w:tr>
        <w:tc>
          <w:tcPr>
            <w:tcW w:type="dxa" w:w="5083"/>
            <w:vAlign w:val="top"/>
          </w:tcPr>
          <w:p>
            <w:pPr>
              <w:spacing w:after="40"/>
            </w:pPr>
            <w:r>
              <w:rPr>
                <w:rFonts w:ascii="Aptos" w:hAnsi="Aptos"/>
                <w:sz w:val="16"/>
              </w:rPr>
              <w:t>olympus.request_approval</w:t>
            </w:r>
          </w:p>
        </w:tc>
        <w:tc>
          <w:tcPr>
            <w:tcW w:type="dxa" w:w="5083"/>
            <w:vAlign w:val="top"/>
          </w:tcPr>
          <w:p>
            <w:pPr>
              <w:spacing w:after="40"/>
            </w:pPr>
            <w:r>
              <w:rPr>
                <w:rFonts w:ascii="Aptos" w:hAnsi="Aptos"/>
                <w:sz w:val="16"/>
              </w:rPr>
              <w:t>Create durable approval request and checkpoint</w:t>
            </w:r>
          </w:p>
        </w:tc>
      </w:tr>
      <w:tr>
        <w:tc>
          <w:tcPr>
            <w:tcW w:type="dxa" w:w="5083"/>
            <w:vAlign w:val="top"/>
          </w:tcPr>
          <w:p>
            <w:pPr>
              <w:spacing w:after="40"/>
            </w:pPr>
            <w:r>
              <w:rPr>
                <w:rFonts w:ascii="Aptos" w:hAnsi="Aptos"/>
                <w:sz w:val="16"/>
              </w:rPr>
              <w:t>olympus.submit_artifact</w:t>
            </w:r>
          </w:p>
        </w:tc>
        <w:tc>
          <w:tcPr>
            <w:tcW w:type="dxa" w:w="5083"/>
            <w:vAlign w:val="top"/>
          </w:tcPr>
          <w:p>
            <w:pPr>
              <w:spacing w:after="40"/>
            </w:pPr>
            <w:r>
              <w:rPr>
                <w:rFonts w:ascii="Aptos" w:hAnsi="Aptos"/>
                <w:sz w:val="16"/>
              </w:rPr>
              <w:t>Persist typed artifact metadata/content reference</w:t>
            </w:r>
          </w:p>
        </w:tc>
      </w:tr>
    </w:tbl>
    <w:p>
      <w:pPr>
        <w:pStyle w:val="Heading1"/>
      </w:pPr>
      <w:r>
        <w:t>13. Code Intelligence Index</w:t>
      </w:r>
    </w:p>
    <w:p>
      <w:pPr>
        <w:pStyle w:val="Heading2"/>
      </w:pPr>
      <w:r>
        <w:t>13.1 Python-first deterministic extraction</w:t>
      </w:r>
    </w:p>
    <w:p>
      <w:r>
        <w:t>The MVP indexes Python repositories using the built-in AST and framework-aware analyzers. The purpose is not perfect whole-program static analysis; it is reliable structural traversal for the SupportDesk reference system and change-impact selection.</w:t>
      </w:r>
    </w:p>
    <w:p>
      <w:pPr>
        <w:pStyle w:val="ListBullet"/>
      </w:pPr>
      <w:r>
        <w:t>File/package/module hierarchy</w:t>
      </w:r>
    </w:p>
    <w:p>
      <w:pPr>
        <w:pStyle w:val="ListBullet"/>
      </w:pPr>
      <w:r>
        <w:t>Classes, methods and functions with qualified names and line spans</w:t>
      </w:r>
    </w:p>
    <w:p>
      <w:pPr>
        <w:pStyle w:val="ListBullet"/>
      </w:pPr>
      <w:r>
        <w:t>Imports and resolvable local call edges</w:t>
      </w:r>
    </w:p>
    <w:p>
      <w:pPr>
        <w:pStyle w:val="ListBullet"/>
      </w:pPr>
      <w:r>
        <w:t>FastAPI routes and handler functions</w:t>
      </w:r>
    </w:p>
    <w:p>
      <w:pPr>
        <w:pStyle w:val="ListBullet"/>
      </w:pPr>
      <w:r>
        <w:t>Pydantic request/response schemas</w:t>
      </w:r>
    </w:p>
    <w:p>
      <w:pPr>
        <w:pStyle w:val="ListBullet"/>
      </w:pPr>
      <w:r>
        <w:t>SQLAlchemy models/tables/fields</w:t>
      </w:r>
    </w:p>
    <w:p>
      <w:pPr>
        <w:pStyle w:val="ListBullet"/>
      </w:pPr>
      <w:r>
        <w:t>pytest test functions/classes and explicit imports/calls</w:t>
      </w:r>
    </w:p>
    <w:p>
      <w:pPr>
        <w:pStyle w:val="ListBullet"/>
      </w:pPr>
      <w:r>
        <w:t>Git SHA and index version for every CodeEntity set</w:t>
      </w:r>
    </w:p>
    <w:p>
      <w:pPr>
        <w:pStyle w:val="Heading2"/>
      </w:pPr>
      <w:r>
        <w:t>13.2 Canonical data model</w:t>
      </w:r>
    </w:p>
    <w:p>
      <w:pPr>
        <w:pStyle w:val="CodeBlock"/>
        <w:keepLines/>
        <w:shd w:fill="F3F5F7"/>
      </w:pPr>
      <w:r>
        <w:rPr>
          <w:rFonts w:ascii="Liberation Mono" w:hAnsi="Liberation Mono"/>
          <w:color w:val="243447"/>
          <w:sz w:val="16"/>
        </w:rPr>
        <w:t>CodeEntity(</w:t>
        <w:br/>
        <w:t xml:space="preserve">  id, index_version_id, type, language, file_path,</w:t>
        <w:br/>
        <w:t xml:space="preserve">  qualified_name, start_line, end_line, metadata</w:t>
        <w:br/>
        <w:t>)</w:t>
        <w:br/>
        <w:br/>
        <w:t>CodeRelation(</w:t>
        <w:br/>
        <w:t xml:space="preserve">  source_entity_id, relation, target_entity_id,</w:t>
        <w:br/>
        <w:t xml:space="preserve">  provenance, confidence</w:t>
        <w:br/>
        <w:t>)</w:t>
        <w:br/>
        <w:br/>
        <w:t>SpecCodeLink(</w:t>
        <w:br/>
        <w:t xml:space="preserve">  spec_id, code_entity_id, relation, origin, confidence,</w:t>
        <w:br/>
        <w:t xml:space="preserve">  task_id?, execution_id?, commit_sha?, evidence_refs[]</w:t>
        <w:br/>
        <w:t>)</w:t>
        <w:br/>
      </w:r>
    </w:p>
    <w:p>
      <w:pPr>
        <w:pStyle w:val="Heading2"/>
      </w:pPr>
      <w:r>
        <w:t>13.3 Candidate vs canonical index</w:t>
      </w:r>
    </w:p>
    <w:p>
      <w:r>
        <w:t>Per-execution/worktree indexing may be created as temporary candidate intelligence. The authoritative Project code index is rebuilt/incrementally updated only for the exact IntegrationCandidate SHA that becomes the current assurance/release target. Feature/Spec impact traversal uses the current canonical index.</w:t>
      </w:r>
    </w:p>
    <w:p>
      <w:pPr>
        <w:pStyle w:val="Heading2"/>
      </w:pPr>
      <w:r>
        <w:t>13.4 Hybrid retrieval</w:t>
      </w:r>
    </w:p>
    <w:p>
      <w:r>
        <w:t>Retrieval combines structural traversal first, lexical/symbol search second and semantic retrieval third. Embeddings expand candidate context when terminology differs, but vector similarity does not replace explicit SpecCodeLink or CodeRelation edges as authoritative lineage.</w:t>
      </w:r>
    </w:p>
    <w:p>
      <w:pPr>
        <w:pStyle w:val="Heading1"/>
      </w:pPr>
      <w:r>
        <w:t>14. Product-to-Code Traceability Implementation</w:t>
      </w:r>
    </w:p>
    <w:p>
      <w:pPr>
        <w:pStyle w:val="CodeBlock"/>
        <w:keepLines/>
        <w:shd w:fill="F3F5F7"/>
      </w:pPr>
      <w:r>
        <w:rPr>
          <w:rFonts w:ascii="Liberation Mono" w:hAnsi="Liberation Mono"/>
          <w:color w:val="243447"/>
          <w:sz w:val="16"/>
        </w:rPr>
        <w:t>ProductSource</w:t>
        <w:br/>
        <w:t xml:space="preserve"> -&gt; Capability</w:t>
        <w:br/>
        <w:t xml:space="preserve"> -&gt; Feature</w:t>
        <w:br/>
        <w:t xml:space="preserve"> -&gt; FeatureSpec</w:t>
        <w:br/>
        <w:t xml:space="preserve"> -&gt; Requirement / UserStory / AcceptanceCriterion</w:t>
        <w:br/>
        <w:t xml:space="preserve"> -&gt; ImplementationSpec</w:t>
        <w:br/>
        <w:t xml:space="preserve"> -&gt; Task</w:t>
        <w:br/>
        <w:t xml:space="preserve"> -&gt; TaskContract</w:t>
        <w:br/>
        <w:t xml:space="preserve"> -&gt; Execution</w:t>
        <w:br/>
        <w:t xml:space="preserve"> -&gt; CandidateCommit</w:t>
        <w:br/>
        <w:t xml:space="preserve"> -&gt; IntegrationCandidate</w:t>
        <w:br/>
        <w:t xml:space="preserve"> -&gt; CodeEntity</w:t>
        <w:br/>
        <w:t xml:space="preserve"> -&gt; Test / Evidence</w:t>
        <w:br/>
        <w:t xml:space="preserve"> -&gt; Gate</w:t>
        <w:br/>
        <w:t xml:space="preserve"> -&gt; Release</w:t>
        <w:br/>
      </w:r>
    </w:p>
    <w:p>
      <w:r>
        <w:t>Greenfield links are strongest because Olympus observes the causal lineage from spec to task to execution to changed code. Brownfield links are discovered and therefore carry confidence/provenance until human or evidence-backed promotion.</w:t>
      </w:r>
    </w:p>
    <w:p>
      <w:pPr>
        <w:pStyle w:val="Heading2"/>
      </w:pPr>
      <w:r>
        <w:t>14.1 Link generation rules</w:t>
      </w:r>
    </w:p>
    <w:p>
      <w:pPr>
        <w:pStyle w:val="ListBullet"/>
      </w:pPr>
      <w:r>
        <w:t>Task creation automatically links Task to its ImplementationSpec/FeatureSpec/AC references.</w:t>
      </w:r>
    </w:p>
    <w:p>
      <w:pPr>
        <w:pStyle w:val="ListBullet"/>
      </w:pPr>
      <w:r>
        <w:t>Execution automatically links to TaskContract and Snapshot versions.</w:t>
      </w:r>
    </w:p>
    <w:p>
      <w:pPr>
        <w:pStyle w:val="ListBullet"/>
      </w:pPr>
      <w:r>
        <w:t>Candidate commit records changed files/symbols; after canonical indexing, matching entities inherit execution lineage.</w:t>
      </w:r>
    </w:p>
    <w:p>
      <w:pPr>
        <w:pStyle w:val="ListBullet"/>
      </w:pPr>
      <w:r>
        <w:t>Sentinel evidence links exact IntegrationCandidate SHA to AC/baseline obligations.</w:t>
      </w:r>
    </w:p>
    <w:p>
      <w:pPr>
        <w:pStyle w:val="ListBullet"/>
      </w:pPr>
      <w:r>
        <w:t>Brownfield SpecCodeLink origin is DISCOVERED and requires provenance; promotion may change origin to HUMAN_CONFIRMED without discarding discovery evidence.</w:t>
      </w:r>
    </w:p>
    <w:p>
      <w:pPr>
        <w:pStyle w:val="Heading1"/>
      </w:pPr>
      <w:r>
        <w:t>15. Inbound Integration Implementation</w:t>
      </w:r>
    </w:p>
    <w:p>
      <w:r>
        <w:t>Inbound adapters convert external product and engineering events into typed Olympus commands or source updates. External systems remain systems of record. Ingestion never directly mutates delivery lifecycle state without passing control-plane validation.</w:t>
      </w:r>
    </w:p>
    <w:p>
      <w:pPr>
        <w:pStyle w:val="Heading2"/>
      </w:pPr>
      <w:r>
        <w:t>15.1 Common inbound event envelope</w:t>
      </w:r>
    </w:p>
    <w:p>
      <w:pPr>
        <w:pStyle w:val="CodeBlock"/>
        <w:keepLines/>
        <w:shd w:fill="F3F5F7"/>
      </w:pPr>
      <w:r>
        <w:rPr>
          <w:rFonts w:ascii="Liberation Mono" w:hAnsi="Liberation Mono"/>
          <w:color w:val="243447"/>
          <w:sz w:val="16"/>
        </w:rPr>
        <w:t>class InboundEvent(BaseModel):</w:t>
        <w:br/>
        <w:t xml:space="preserve">    source_type: str</w:t>
        <w:br/>
        <w:t xml:space="preserve">    source_id: str</w:t>
        <w:br/>
        <w:t xml:space="preserve">    event_id: str</w:t>
        <w:br/>
        <w:t xml:space="preserve">    event_type: str</w:t>
        <w:br/>
        <w:t xml:space="preserve">    occurred_at: datetime</w:t>
        <w:br/>
        <w:t xml:space="preserve">    received_at: datetime</w:t>
        <w:br/>
        <w:t xml:space="preserve">    correlation_id: str</w:t>
        <w:br/>
        <w:t xml:space="preserve">    idempotency_key: str | None</w:t>
        <w:br/>
        <w:t xml:space="preserve">    source_version: str | None</w:t>
        <w:br/>
        <w:t xml:space="preserve">    payload_ref: str | None</w:t>
        <w:br/>
        <w:t xml:space="preserve">    payload: dict</w:t>
        <w:br/>
      </w:r>
    </w:p>
    <w:p>
      <w:pPr>
        <w:pStyle w:val="Heading2"/>
      </w:pPr>
      <w:r>
        <w:t>15.2 MVP inbound adapters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pPr>
              <w:spacing w:after="40"/>
            </w:pPr>
            <w:r>
              <w:rPr>
                <w:rFonts w:ascii="Aptos" w:hAnsi="Aptos"/>
                <w:b/>
                <w:color w:val="FFFFFF"/>
                <w:sz w:val="16"/>
              </w:rPr>
              <w:t>Source</w:t>
            </w:r>
          </w:p>
        </w:tc>
        <w:tc>
          <w:tcPr>
            <w:tcW w:type="dxa" w:w="3389"/>
            <w:shd w:fill="17365D"/>
            <w:vAlign w:val="center"/>
          </w:tcPr>
          <w:p>
            <w:pPr>
              <w:spacing w:after="40"/>
            </w:pPr>
            <w:r>
              <w:rPr>
                <w:rFonts w:ascii="Aptos" w:hAnsi="Aptos"/>
                <w:b/>
                <w:color w:val="FFFFFF"/>
                <w:sz w:val="16"/>
              </w:rPr>
              <w:t>MVP event/use</w:t>
            </w:r>
          </w:p>
        </w:tc>
        <w:tc>
          <w:tcPr>
            <w:tcW w:type="dxa" w:w="3389"/>
            <w:shd w:fill="17365D"/>
            <w:vAlign w:val="center"/>
          </w:tcPr>
          <w:p>
            <w:pPr>
              <w:spacing w:after="40"/>
            </w:pPr>
            <w:r>
              <w:rPr>
                <w:rFonts w:ascii="Aptos" w:hAnsi="Aptos"/>
                <w:b/>
                <w:color w:val="FFFFFF"/>
                <w:sz w:val="16"/>
              </w:rPr>
              <w:t>Olympus result</w:t>
            </w:r>
          </w:p>
        </w:tc>
      </w:tr>
      <w:tr>
        <w:tc>
          <w:tcPr>
            <w:tcW w:type="dxa" w:w="3389"/>
            <w:vAlign w:val="top"/>
          </w:tcPr>
          <w:p>
            <w:pPr>
              <w:spacing w:after="40"/>
            </w:pPr>
            <w:r>
              <w:rPr>
                <w:rFonts w:ascii="Aptos" w:hAnsi="Aptos"/>
                <w:sz w:val="16"/>
              </w:rPr>
              <w:t>Product document upload/API</w:t>
            </w:r>
          </w:p>
        </w:tc>
        <w:tc>
          <w:tcPr>
            <w:tcW w:type="dxa" w:w="3389"/>
            <w:vAlign w:val="top"/>
          </w:tcPr>
          <w:p>
            <w:pPr>
              <w:spacing w:after="40"/>
            </w:pPr>
            <w:r>
              <w:rPr>
                <w:rFonts w:ascii="Aptos" w:hAnsi="Aptos"/>
                <w:sz w:val="16"/>
              </w:rPr>
              <w:t>PRD/BRD/SRS or product description submitted</w:t>
            </w:r>
          </w:p>
        </w:tc>
        <w:tc>
          <w:tcPr>
            <w:tcW w:type="dxa" w:w="3389"/>
            <w:vAlign w:val="top"/>
          </w:tcPr>
          <w:p>
            <w:pPr>
              <w:spacing w:after="40"/>
            </w:pPr>
            <w:r>
              <w:rPr>
                <w:rFonts w:ascii="Aptos" w:hAnsi="Aptos"/>
                <w:sz w:val="16"/>
              </w:rPr>
              <w:t>Create immutable ProductSource version; schedule Kira decomposition after operator command</w:t>
            </w:r>
          </w:p>
        </w:tc>
      </w:tr>
      <w:tr>
        <w:tc>
          <w:tcPr>
            <w:tcW w:type="dxa" w:w="3389"/>
            <w:vAlign w:val="top"/>
          </w:tcPr>
          <w:p>
            <w:pPr>
              <w:spacing w:after="40"/>
            </w:pPr>
            <w:r>
              <w:rPr>
                <w:rFonts w:ascii="Aptos" w:hAnsi="Aptos"/>
                <w:sz w:val="16"/>
              </w:rPr>
              <w:t>Git provider / repository registration</w:t>
            </w:r>
          </w:p>
        </w:tc>
        <w:tc>
          <w:tcPr>
            <w:tcW w:type="dxa" w:w="3389"/>
            <w:vAlign w:val="top"/>
          </w:tcPr>
          <w:p>
            <w:pPr>
              <w:spacing w:after="40"/>
            </w:pPr>
            <w:r>
              <w:rPr>
                <w:rFonts w:ascii="Aptos" w:hAnsi="Aptos"/>
                <w:sz w:val="16"/>
              </w:rPr>
              <w:t>Repository URL/default branch, push/default-branch update</w:t>
            </w:r>
          </w:p>
        </w:tc>
        <w:tc>
          <w:tcPr>
            <w:tcW w:type="dxa" w:w="3389"/>
            <w:vAlign w:val="top"/>
          </w:tcPr>
          <w:p>
            <w:pPr>
              <w:spacing w:after="40"/>
            </w:pPr>
            <w:r>
              <w:rPr>
                <w:rFonts w:ascii="Aptos" w:hAnsi="Aptos"/>
                <w:sz w:val="16"/>
              </w:rPr>
              <w:t>Register/update repository source; schedule index refresh when relevant</w:t>
            </w:r>
          </w:p>
        </w:tc>
      </w:tr>
      <w:tr>
        <w:tc>
          <w:tcPr>
            <w:tcW w:type="dxa" w:w="3389"/>
            <w:vAlign w:val="top"/>
          </w:tcPr>
          <w:p>
            <w:pPr>
              <w:spacing w:after="40"/>
            </w:pPr>
            <w:r>
              <w:rPr>
                <w:rFonts w:ascii="Aptos" w:hAnsi="Aptos"/>
                <w:sz w:val="16"/>
              </w:rPr>
              <w:t>Issue/defect API</w:t>
            </w:r>
          </w:p>
        </w:tc>
        <w:tc>
          <w:tcPr>
            <w:tcW w:type="dxa" w:w="3389"/>
            <w:vAlign w:val="top"/>
          </w:tcPr>
          <w:p>
            <w:pPr>
              <w:spacing w:after="40"/>
            </w:pPr>
            <w:r>
              <w:rPr>
                <w:rFonts w:ascii="Aptos" w:hAnsi="Aptos"/>
                <w:sz w:val="16"/>
              </w:rPr>
              <w:t>Feature request or defect report created</w:t>
            </w:r>
          </w:p>
        </w:tc>
        <w:tc>
          <w:tcPr>
            <w:tcW w:type="dxa" w:w="3389"/>
            <w:vAlign w:val="top"/>
          </w:tcPr>
          <w:p>
            <w:pPr>
              <w:spacing w:after="40"/>
            </w:pPr>
            <w:r>
              <w:rPr>
                <w:rFonts w:ascii="Aptos" w:hAnsi="Aptos"/>
                <w:sz w:val="16"/>
              </w:rPr>
              <w:t>Create ChangeRequest/Defect intake record; lifecycle transition remains explicit</w:t>
            </w:r>
          </w:p>
        </w:tc>
      </w:tr>
      <w:tr>
        <w:tc>
          <w:tcPr>
            <w:tcW w:type="dxa" w:w="3389"/>
            <w:vAlign w:val="top"/>
          </w:tcPr>
          <w:p>
            <w:pPr>
              <w:spacing w:after="40"/>
            </w:pPr>
            <w:r>
              <w:rPr>
                <w:rFonts w:ascii="Aptos" w:hAnsi="Aptos"/>
                <w:sz w:val="16"/>
              </w:rPr>
              <w:t>CI/test callback</w:t>
            </w:r>
          </w:p>
        </w:tc>
        <w:tc>
          <w:tcPr>
            <w:tcW w:type="dxa" w:w="3389"/>
            <w:vAlign w:val="top"/>
          </w:tcPr>
          <w:p>
            <w:pPr>
              <w:spacing w:after="40"/>
            </w:pPr>
            <w:r>
              <w:rPr>
                <w:rFonts w:ascii="Aptos" w:hAnsi="Aptos"/>
                <w:sz w:val="16"/>
              </w:rPr>
              <w:t>Run completed against known SHA</w:t>
            </w:r>
          </w:p>
        </w:tc>
        <w:tc>
          <w:tcPr>
            <w:tcW w:type="dxa" w:w="3389"/>
            <w:vAlign w:val="top"/>
          </w:tcPr>
          <w:p>
            <w:pPr>
              <w:spacing w:after="40"/>
            </w:pPr>
            <w:r>
              <w:rPr>
                <w:rFonts w:ascii="Aptos" w:hAnsi="Aptos"/>
                <w:sz w:val="16"/>
              </w:rPr>
              <w:t>Create external Evidence only after commit/correlation validation</w:t>
            </w:r>
          </w:p>
        </w:tc>
      </w:tr>
      <w:tr>
        <w:tc>
          <w:tcPr>
            <w:tcW w:type="dxa" w:w="3389"/>
            <w:vAlign w:val="top"/>
          </w:tcPr>
          <w:p>
            <w:pPr>
              <w:spacing w:after="40"/>
            </w:pPr>
            <w:r>
              <w:rPr>
                <w:rFonts w:ascii="Aptos" w:hAnsi="Aptos"/>
                <w:sz w:val="16"/>
              </w:rPr>
              <w:t>UI/CLI</w:t>
            </w:r>
          </w:p>
        </w:tc>
        <w:tc>
          <w:tcPr>
            <w:tcW w:type="dxa" w:w="3389"/>
            <w:vAlign w:val="top"/>
          </w:tcPr>
          <w:p>
            <w:pPr>
              <w:spacing w:after="40"/>
            </w:pPr>
            <w:r>
              <w:rPr>
                <w:rFonts w:ascii="Aptos" w:hAnsi="Aptos"/>
                <w:sz w:val="16"/>
              </w:rPr>
              <w:t>Approvals, clarifications, commands</w:t>
            </w:r>
          </w:p>
        </w:tc>
        <w:tc>
          <w:tcPr>
            <w:tcW w:type="dxa" w:w="3389"/>
            <w:vAlign w:val="top"/>
          </w:tcPr>
          <w:p>
            <w:pPr>
              <w:spacing w:after="40"/>
            </w:pPr>
            <w:r>
              <w:rPr>
                <w:rFonts w:ascii="Aptos" w:hAnsi="Aptos"/>
                <w:sz w:val="16"/>
              </w:rPr>
              <w:t>Typed control command authenticated as human actor</w:t>
            </w:r>
          </w:p>
        </w:tc>
      </w:tr>
    </w:tbl>
    <w:p>
      <w:pPr>
        <w:pStyle w:val="Heading2"/>
      </w:pPr>
      <w:r>
        <w:t>15.3 Security and idempotency</w:t>
      </w:r>
    </w:p>
    <w:p>
      <w:pPr>
        <w:pStyle w:val="ListBullet"/>
      </w:pPr>
      <w:r>
        <w:t>Verify webhook signatures or authenticated callers before accepting state-changing events.</w:t>
      </w:r>
    </w:p>
    <w:p>
      <w:pPr>
        <w:pStyle w:val="ListBullet"/>
      </w:pPr>
      <w:r>
        <w:t>Persist event_id + source identity with uniqueness constraint.</w:t>
      </w:r>
    </w:p>
    <w:p>
      <w:pPr>
        <w:pStyle w:val="ListBullet"/>
      </w:pPr>
      <w:r>
        <w:t>Use source_version/commit SHA to reject stale updates where required.</w:t>
      </w:r>
    </w:p>
    <w:p>
      <w:pPr>
        <w:pStyle w:val="ListBullet"/>
      </w:pPr>
      <w:r>
        <w:t>Store large uploaded source bodies/artifacts in object/file storage and persist immutable hash/reference in PostgreSQL.</w:t>
      </w:r>
    </w:p>
    <w:p>
      <w:pPr>
        <w:pStyle w:val="ListBullet"/>
      </w:pPr>
      <w:r>
        <w:t>Duplicate delivery is acknowledged without repeating the command.</w:t>
      </w:r>
    </w:p>
    <w:p>
      <w:pPr>
        <w:pStyle w:val="Heading1"/>
      </w:pPr>
      <w:r>
        <w:t>16. Outbound Integration and Connector Framework</w:t>
      </w:r>
    </w:p>
    <w:p>
      <w:r>
        <w:t>Outbound operations are governed Actions. Agent code cannot instantiate arbitrary provider SDK clients with raw long-lived credentials. Connectors are invoked through ToolGateway after execution identity, TaskContract scope and deterministic policy are validated.</w:t>
      </w:r>
    </w:p>
    <w:p>
      <w:pPr>
        <w:pStyle w:val="Heading2"/>
      </w:pPr>
      <w:r>
        <w:t>16.1 Connector interface</w:t>
      </w:r>
    </w:p>
    <w:p>
      <w:pPr>
        <w:pStyle w:val="CodeBlock"/>
        <w:keepLines/>
        <w:shd w:fill="F3F5F7"/>
      </w:pPr>
      <w:r>
        <w:rPr>
          <w:rFonts w:ascii="Liberation Mono" w:hAnsi="Liberation Mono"/>
          <w:color w:val="243447"/>
          <w:sz w:val="16"/>
        </w:rPr>
        <w:t>class Connector(Protocol):</w:t>
        <w:br/>
        <w:t xml:space="preserve">    name: str</w:t>
        <w:br/>
        <w:t xml:space="preserve">    actions: set[str]</w:t>
        <w:br/>
        <w:t xml:space="preserve">    async def execute(self, action: ConnectorAction) -&gt; ConnectorResult: ...</w:t>
        <w:br/>
        <w:t xml:space="preserve">    async def reconcile(self, request: ReconciliationRequest) -&gt; ConnectorResult: ...</w:t>
        <w:br/>
      </w:r>
    </w:p>
    <w:p>
      <w:pPr>
        <w:pStyle w:val="Heading2"/>
      </w:pPr>
      <w:r>
        <w:t>16.2 Initial connectors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Connector</w:t>
            </w:r>
          </w:p>
        </w:tc>
        <w:tc>
          <w:tcPr>
            <w:tcW w:type="dxa" w:w="5083"/>
            <w:shd w:fill="17365D"/>
            <w:vAlign w:val="center"/>
          </w:tcPr>
          <w:p>
            <w:pPr>
              <w:spacing w:after="40"/>
            </w:pPr>
            <w:r>
              <w:rPr>
                <w:rFonts w:ascii="Aptos" w:hAnsi="Aptos"/>
                <w:b/>
                <w:color w:val="FFFFFF"/>
                <w:sz w:val="16"/>
              </w:rPr>
              <w:t>Actions needed for MVP</w:t>
            </w:r>
          </w:p>
        </w:tc>
      </w:tr>
      <w:tr>
        <w:tc>
          <w:tcPr>
            <w:tcW w:type="dxa" w:w="5083"/>
            <w:vAlign w:val="top"/>
          </w:tcPr>
          <w:p>
            <w:pPr>
              <w:spacing w:after="40"/>
            </w:pPr>
            <w:r>
              <w:rPr>
                <w:rFonts w:ascii="Aptos" w:hAnsi="Aptos"/>
                <w:sz w:val="16"/>
              </w:rPr>
              <w:t>git_local / git_provider</w:t>
            </w:r>
          </w:p>
        </w:tc>
        <w:tc>
          <w:tcPr>
            <w:tcW w:type="dxa" w:w="5083"/>
            <w:vAlign w:val="top"/>
          </w:tcPr>
          <w:p>
            <w:pPr>
              <w:spacing w:after="40"/>
            </w:pPr>
            <w:r>
              <w:rPr>
                <w:rFonts w:ascii="Aptos" w:hAnsi="Aptos"/>
                <w:sz w:val="16"/>
              </w:rPr>
              <w:t>create_branch/worktree, push candidate branch (optional), create PR (optional), resolve commit metadata</w:t>
            </w:r>
          </w:p>
        </w:tc>
      </w:tr>
      <w:tr>
        <w:tc>
          <w:tcPr>
            <w:tcW w:type="dxa" w:w="5083"/>
            <w:vAlign w:val="top"/>
          </w:tcPr>
          <w:p>
            <w:pPr>
              <w:spacing w:after="40"/>
            </w:pPr>
            <w:r>
              <w:rPr>
                <w:rFonts w:ascii="Aptos" w:hAnsi="Aptos"/>
                <w:sz w:val="16"/>
              </w:rPr>
              <w:t>ci</w:t>
            </w:r>
          </w:p>
        </w:tc>
        <w:tc>
          <w:tcPr>
            <w:tcW w:type="dxa" w:w="5083"/>
            <w:vAlign w:val="top"/>
          </w:tcPr>
          <w:p>
            <w:pPr>
              <w:spacing w:after="40"/>
            </w:pPr>
            <w:r>
              <w:rPr>
                <w:rFonts w:ascii="Aptos" w:hAnsi="Aptos"/>
                <w:sz w:val="16"/>
              </w:rPr>
              <w:t>trigger verification (optional), query/callback status, ingest exact-SHA test evidence</w:t>
            </w:r>
          </w:p>
        </w:tc>
      </w:tr>
      <w:tr>
        <w:tc>
          <w:tcPr>
            <w:tcW w:type="dxa" w:w="5083"/>
            <w:vAlign w:val="top"/>
          </w:tcPr>
          <w:p>
            <w:pPr>
              <w:spacing w:after="40"/>
            </w:pPr>
            <w:r>
              <w:rPr>
                <w:rFonts w:ascii="Aptos" w:hAnsi="Aptos"/>
                <w:sz w:val="16"/>
              </w:rPr>
              <w:t>artifact</w:t>
            </w:r>
          </w:p>
        </w:tc>
        <w:tc>
          <w:tcPr>
            <w:tcW w:type="dxa" w:w="5083"/>
            <w:vAlign w:val="top"/>
          </w:tcPr>
          <w:p>
            <w:pPr>
              <w:spacing w:after="40"/>
            </w:pPr>
            <w:r>
              <w:rPr>
                <w:rFonts w:ascii="Aptos" w:hAnsi="Aptos"/>
                <w:sz w:val="16"/>
              </w:rPr>
              <w:t>publish or reference build/test/review artifacts</w:t>
            </w:r>
          </w:p>
        </w:tc>
      </w:tr>
      <w:tr>
        <w:tc>
          <w:tcPr>
            <w:tcW w:type="dxa" w:w="5083"/>
            <w:vAlign w:val="top"/>
          </w:tcPr>
          <w:p>
            <w:pPr>
              <w:spacing w:after="40"/>
            </w:pPr>
            <w:r>
              <w:rPr>
                <w:rFonts w:ascii="Aptos" w:hAnsi="Aptos"/>
                <w:sz w:val="16"/>
              </w:rPr>
              <w:t>issue tracker</w:t>
            </w:r>
          </w:p>
        </w:tc>
        <w:tc>
          <w:tcPr>
            <w:tcW w:type="dxa" w:w="5083"/>
            <w:vAlign w:val="top"/>
          </w:tcPr>
          <w:p>
            <w:pPr>
              <w:spacing w:after="40"/>
            </w:pPr>
            <w:r>
              <w:rPr>
                <w:rFonts w:ascii="Aptos" w:hAnsi="Aptos"/>
                <w:sz w:val="16"/>
              </w:rPr>
              <w:t>post status/comment/link release - optional for core four journeys</w:t>
            </w:r>
          </w:p>
        </w:tc>
      </w:tr>
      <w:tr>
        <w:tc>
          <w:tcPr>
            <w:tcW w:type="dxa" w:w="5083"/>
            <w:vAlign w:val="top"/>
          </w:tcPr>
          <w:p>
            <w:pPr>
              <w:spacing w:after="40"/>
            </w:pPr>
            <w:r>
              <w:rPr>
                <w:rFonts w:ascii="Aptos" w:hAnsi="Aptos"/>
                <w:sz w:val="16"/>
              </w:rPr>
              <w:t>deployment</w:t>
            </w:r>
          </w:p>
        </w:tc>
        <w:tc>
          <w:tcPr>
            <w:tcW w:type="dxa" w:w="5083"/>
            <w:vAlign w:val="top"/>
          </w:tcPr>
          <w:p>
            <w:pPr>
              <w:spacing w:after="40"/>
            </w:pPr>
            <w:r>
              <w:rPr>
                <w:rFonts w:ascii="Aptos" w:hAnsi="Aptos"/>
                <w:sz w:val="16"/>
              </w:rPr>
              <w:t>deploy eligible release / status / rollback - optional until Stratos demo</w:t>
            </w:r>
          </w:p>
        </w:tc>
      </w:tr>
    </w:tbl>
    <w:p>
      <w:pPr>
        <w:pStyle w:val="Heading2"/>
      </w:pPr>
      <w:r>
        <w:t>16.3 Idempotency and reconciliation</w:t>
      </w:r>
    </w:p>
    <w:p>
      <w:r>
        <w:t>Every mutating ConnectorAction carries an idempotency key. Timeouts or unknown results are not blindly retried. Olympus first reconciles provider state using external correlation identifiers; only confirmed non-execution is safely retried. Partial/unknown outcomes create a ReconciliationItem and may checkpoint the DeliveryCycle/Task.</w:t>
      </w:r>
    </w:p>
    <w:p>
      <w:pPr>
        <w:pStyle w:val="Heading1"/>
      </w:pPr>
      <w:r>
        <w:t>17. Integration Candidate Implementation</w:t>
      </w:r>
    </w:p>
    <w:p>
      <w:r>
        <w:t>Candidate commits produced by Forge executions are not individually eligible for final assurance. Integration service creates one canonical candidate commit per integration attempt.</w:t>
      </w:r>
    </w:p>
    <w:p>
      <w:pPr>
        <w:pStyle w:val="CodeBlock"/>
        <w:keepLines/>
        <w:shd w:fill="F3F5F7"/>
      </w:pPr>
      <w:r>
        <w:rPr>
          <w:rFonts w:ascii="Liberation Mono" w:hAnsi="Liberation Mono"/>
          <w:color w:val="243447"/>
          <w:sz w:val="16"/>
        </w:rPr>
        <w:t>candidate commits</w:t>
        <w:br/>
        <w:t xml:space="preserve">    -&gt; validate common ancestry/base</w:t>
        <w:br/>
        <w:t xml:space="preserve">    -&gt; deterministic merge/rebase ordering</w:t>
        <w:br/>
        <w:t xml:space="preserve">    -&gt; detect conflict</w:t>
        <w:br/>
        <w:t xml:space="preserve">       -&gt; create Finding + RemediationTask if unresolved</w:t>
        <w:br/>
        <w:t xml:space="preserve">    -&gt; run integration checks</w:t>
        <w:br/>
        <w:t xml:space="preserve">    -&gt; persist integrated_sha</w:t>
        <w:br/>
        <w:t xml:space="preserve">    -&gt; status READY</w:t>
        <w:br/>
        <w:t xml:space="preserve">    -&gt; rebuild/update canonical CodeIndex at integrated_sha</w:t>
        <w:br/>
        <w:t xml:space="preserve">    -&gt; invoke Warden/Sentinel against that exact SHA</w:t>
        <w:br/>
      </w:r>
    </w:p>
    <w:p>
      <w:pPr>
        <w:pStyle w:val="Heading2"/>
      </w:pPr>
      <w:r>
        <w:t>17.1 IntegrationCandidate states</w:t>
      </w:r>
    </w:p>
    <w:p>
      <w:r>
        <w:t>CREATED → INTEGRATING → VALIDATING → READY, with CONFLICT / FAILED / SUPERSEDED exception states.</w:t>
      </w:r>
    </w:p>
    <w:p>
      <w:pPr>
        <w:pStyle w:val="Heading1"/>
      </w:pPr>
      <w:r>
        <w:t>18. Assurance, Evidence, Findings and Gate Finalization</w:t>
      </w:r>
    </w:p>
    <w:p>
      <w:pPr>
        <w:pStyle w:val="Heading2"/>
      </w:pPr>
      <w:r>
        <w:t>18.1 Evidence model</w:t>
      </w:r>
    </w:p>
    <w:p>
      <w:r>
        <w:t>Evidence records are tied to the exact IntegrationCandidate SHA and the AC/baseline/finding they prove or disprove. Test output, static review, runtime observation and external CI results are normalized into typed evidence records.</w:t>
      </w:r>
    </w:p>
    <w:p>
      <w:pPr>
        <w:pStyle w:val="Heading2"/>
      </w:pPr>
      <w:r>
        <w:t>18.2 Warden</w:t>
      </w:r>
    </w:p>
    <w:p>
      <w:r>
        <w:t>Warden performs independent engineering review with a live LLM where semantic review is required. Inputs include exact integrated diff, relevant FeatureSpec/ImplementationSpec, architecture constraints and risk. Warden returns structured findings and evidence/recommendation; it never sets the final Gate state.</w:t>
      </w:r>
    </w:p>
    <w:p>
      <w:pPr>
        <w:pStyle w:val="Heading2"/>
      </w:pPr>
      <w:r>
        <w:t>18.3 Sentinel</w:t>
      </w:r>
    </w:p>
    <w:p>
      <w:r>
        <w:t>Sentinel determines verification obligations from ACs, behavioral baselines and ImpactAssessment, runs/observes the required tests through governed tools, and persists evidence coverage. Semantic test design may use a live LLM; actual PASS/FAIL comes from executable/runtime evidence where possible.</w:t>
      </w:r>
    </w:p>
    <w:p>
      <w:pPr>
        <w:pStyle w:val="Heading2"/>
      </w:pPr>
      <w:r>
        <w:t>18.4 Deterministic gate finalization</w:t>
      </w:r>
    </w:p>
    <w:p>
      <w:pPr>
        <w:pStyle w:val="CodeBlock"/>
        <w:keepLines/>
        <w:shd w:fill="F3F5F7"/>
      </w:pPr>
      <w:r>
        <w:rPr>
          <w:rFonts w:ascii="Liberation Mono" w:hAnsi="Liberation Mono"/>
          <w:color w:val="243447"/>
          <w:sz w:val="16"/>
        </w:rPr>
        <w:t>finalize_gate(gate_id):</w:t>
        <w:br/>
        <w:t xml:space="preserve">    assert integration_candidate.status == READY</w:t>
        <w:br/>
        <w:t xml:space="preserve">    assert evidence.commit_sha == integration_candidate.integrated_sha</w:t>
        <w:br/>
        <w:t xml:space="preserve">    assert mandatory_coverage_complete()</w:t>
        <w:br/>
        <w:t xml:space="preserve">    assert no_blocking_findings()</w:t>
        <w:br/>
        <w:t xml:space="preserve">    apply_policy()</w:t>
        <w:br/>
        <w:t xml:space="preserve">    persist PASS/FAIL</w:t>
        <w:br/>
        <w:t xml:space="preserve">    recompute release eligibility</w:t>
        <w:br/>
      </w:r>
    </w:p>
    <w:p>
      <w:pPr>
        <w:pStyle w:val="Heading1"/>
      </w:pPr>
      <w:r>
        <w:t>19. Greenfield Journey - Technical Data Flow</w:t>
      </w:r>
    </w:p>
    <w:p>
      <w:pPr>
        <w:pStyle w:val="ListNumber"/>
      </w:pPr>
      <w:r>
        <w:t>POST/upload ProductSource. Persist immutable content hash/version.</w:t>
      </w:r>
    </w:p>
    <w:p>
      <w:pPr>
        <w:pStyle w:val="ListNumber"/>
      </w:pPr>
      <w:r>
        <w:t>Create GREENFIELD DeliveryCycle in DISCOVERY.</w:t>
      </w:r>
    </w:p>
    <w:p>
      <w:pPr>
        <w:pStyle w:val="ListNumber"/>
      </w:pPr>
      <w:r>
        <w:t>Kira performs live-LLM product decomposition into Capability/Feature/FeatureSpec/REQ/US/AC proposals.</w:t>
      </w:r>
    </w:p>
    <w:p>
      <w:pPr>
        <w:pStyle w:val="ListNumber"/>
      </w:pPr>
      <w:r>
        <w:t>Validate schemas; operator resolves open questions and approves scope.</w:t>
      </w:r>
    </w:p>
    <w:p>
      <w:pPr>
        <w:pStyle w:val="ListNumber"/>
      </w:pPr>
      <w:r>
        <w:t>Atlas uses live LLM to propose architecture baseline/contracts where required; persist approved architecture version.</w:t>
      </w:r>
    </w:p>
    <w:p>
      <w:pPr>
        <w:pStyle w:val="ListNumber"/>
      </w:pPr>
      <w:r>
        <w:t>Kira produces live-LLM ImplementationSpecs/TaskPlan. Olympus validates DAG and compiles immutable TaskContracts.</w:t>
      </w:r>
    </w:p>
    <w:p>
      <w:pPr>
        <w:pStyle w:val="ListNumber"/>
      </w:pPr>
      <w:r>
        <w:t>Scheduler creates eligible Executions. Forge runs against real TaskContracts in isolated worktrees using live LLM reasoning/code generation.</w:t>
      </w:r>
    </w:p>
    <w:p>
      <w:pPr>
        <w:pStyle w:val="ListNumber"/>
      </w:pPr>
      <w:r>
        <w:t>Persist candidate commits and lineage. Integration service creates exact integrated SHA.</w:t>
      </w:r>
    </w:p>
    <w:p>
      <w:pPr>
        <w:pStyle w:val="ListNumber"/>
      </w:pPr>
      <w:r>
        <w:t>Build canonical CodeIndex for integrated SHA and materialize SpecCodeLinks from execution lineage.</w:t>
      </w:r>
    </w:p>
    <w:p>
      <w:pPr>
        <w:pStyle w:val="ListNumber"/>
      </w:pPr>
      <w:r>
        <w:t>Warden and Sentinel execute against the same SHA; tests/evidence cover ACs.</w:t>
      </w:r>
    </w:p>
    <w:p>
      <w:pPr>
        <w:pStyle w:val="ListNumber"/>
      </w:pPr>
      <w:r>
        <w:t>Deterministic gates and release eligibility evaluate. Human release approval creates R1 manifest; Stratos deployment is optional for MVP proof.</w:t>
      </w:r>
    </w:p>
    <w:p>
      <w:pPr>
        <w:pStyle w:val="Heading1"/>
      </w:pPr>
      <w:r>
        <w:t>20. Brownfield Journey - Technical Data Flow</w:t>
      </w:r>
    </w:p>
    <w:p>
      <w:pPr>
        <w:pStyle w:val="ListNumber"/>
      </w:pPr>
      <w:r>
        <w:t>Register repository and exact base/default-branch SHA; create BROWNFIELD DeliveryCycle.</w:t>
      </w:r>
    </w:p>
    <w:p>
      <w:pPr>
        <w:pStyle w:val="ListNumber"/>
      </w:pPr>
      <w:r>
        <w:t>Run deterministic repository discovery and canonical CodeIndex first: AST, routes, schemas, models, tests, dependencies and Git metadata.</w:t>
      </w:r>
    </w:p>
    <w:p>
      <w:pPr>
        <w:pStyle w:val="ListNumber"/>
      </w:pPr>
      <w:r>
        <w:t>Scout receives structured facts plus selected code context and uses a live LLM to propose observed behaviors, recovered specifications, feature grouping, inferences, uncertainties and confidence.</w:t>
      </w:r>
    </w:p>
    <w:p>
      <w:pPr>
        <w:pStyle w:val="ListNumber"/>
      </w:pPr>
      <w:r>
        <w:t>Persist RecoveredSpec evidence and DISCOVERED SpecCodeLinks. Do not silently promote inferred intent to canonical product truth.</w:t>
      </w:r>
    </w:p>
    <w:p>
      <w:pPr>
        <w:pStyle w:val="ListNumber"/>
      </w:pPr>
      <w:r>
        <w:t>Generate executable BehavioralBaseline proposals from high-confidence observed behavior and existing tests.</w:t>
      </w:r>
    </w:p>
    <w:p>
      <w:pPr>
        <w:pStyle w:val="ListNumber"/>
      </w:pPr>
      <w:r>
        <w:t>Human review promotes trusted recovered specs/features/baselines where needed.</w:t>
      </w:r>
    </w:p>
    <w:p>
      <w:pPr>
        <w:pStyle w:val="ListNumber"/>
      </w:pPr>
      <w:r>
        <w:t>Compute readiness from code/spec coverage, baseline execution, confidence and unresolved uncertainties. Transition to READY_FOR_CHANGE only when required conditions pass.</w:t>
      </w:r>
    </w:p>
    <w:p>
      <w:pPr>
        <w:pStyle w:val="Heading1"/>
      </w:pPr>
      <w:r>
        <w:t>21. Feature Change Journey - Technical Data Flow</w:t>
      </w:r>
    </w:p>
    <w:p>
      <w:pPr>
        <w:pStyle w:val="ListNumber"/>
      </w:pPr>
      <w:r>
        <w:t>Create ChangeRequest and FEATURE_CHANGE DeliveryCycle.</w:t>
      </w:r>
    </w:p>
    <w:p>
      <w:pPr>
        <w:pStyle w:val="ListNumber"/>
      </w:pPr>
      <w:r>
        <w:t>Resolve request to existing Feature/FeatureSpec using structural/lexical retrieval; use live LLM interpretation when wording/context requires it.</w:t>
      </w:r>
    </w:p>
    <w:p>
      <w:pPr>
        <w:pStyle w:val="ListNumber"/>
      </w:pPr>
      <w:r>
        <w:t>Create versioned FeatureSpec/ImplementationSpec delta and obtain required approval.</w:t>
      </w:r>
    </w:p>
    <w:p>
      <w:pPr>
        <w:pStyle w:val="ListNumber"/>
      </w:pPr>
      <w:r>
        <w:t>Impact engine traverses SpecCodeLinks and CodeRelations to identify affected code, tests, contracts and behavioral baselines; semantic retrieval expands candidate impact only when necessary.</w:t>
      </w:r>
    </w:p>
    <w:p>
      <w:pPr>
        <w:pStyle w:val="ListNumber"/>
      </w:pPr>
      <w:r>
        <w:t>Kira uses live LLM to produce TaskPlan from approved spec delta; compiler emits TaskContracts.</w:t>
      </w:r>
    </w:p>
    <w:p>
      <w:pPr>
        <w:pStyle w:val="ListNumber"/>
      </w:pPr>
      <w:r>
        <w:t>Forge executes code changes with live LLM in isolated worktrees; integrate candidate commits.</w:t>
      </w:r>
    </w:p>
    <w:p>
      <w:pPr>
        <w:pStyle w:val="ListNumber"/>
      </w:pPr>
      <w:r>
        <w:t>Incrementally rebuild canonical index for integrated SHA and refresh affected SpecCodeLinks.</w:t>
      </w:r>
    </w:p>
    <w:p>
      <w:pPr>
        <w:pStyle w:val="ListNumber"/>
      </w:pPr>
      <w:r>
        <w:t>Sentinel verifies new ACs plus impacted baselines; Warden reviews exact integrated diff. Deterministic gates allow R2 only with complete evidence.</w:t>
      </w:r>
    </w:p>
    <w:p>
      <w:pPr>
        <w:pStyle w:val="Heading1"/>
      </w:pPr>
      <w:r>
        <w:t>22. Bug Fix Journey - Technical Data Flow</w:t>
      </w:r>
    </w:p>
    <w:p>
      <w:pPr>
        <w:pStyle w:val="ListNumber"/>
      </w:pPr>
      <w:r>
        <w:t>Create Defect and BUG_FIX DeliveryCycle.</w:t>
      </w:r>
    </w:p>
    <w:p>
      <w:pPr>
        <w:pStyle w:val="ListNumber"/>
      </w:pPr>
      <w:r>
        <w:t>Sentinel/diagnostic execution reproduces the failure and stores REPRODUCTION evidence against exact repository SHA.</w:t>
      </w:r>
    </w:p>
    <w:p>
      <w:pPr>
        <w:pStyle w:val="ListNumber"/>
      </w:pPr>
      <w:r>
        <w:t>Resolve expected behavior from existing FeatureSpec/AC/baseline. If undefined, checkpoint and request a human/specification decision instead of inventing expected behavior.</w:t>
      </w:r>
    </w:p>
    <w:p>
      <w:pPr>
        <w:pStyle w:val="ListNumber"/>
      </w:pPr>
      <w:r>
        <w:t>Use runtime trace, code graph and live-LLM root-cause reasoning to identify candidate faulty code path; persist evidence/probable cause separately.</w:t>
      </w:r>
    </w:p>
    <w:p>
      <w:pPr>
        <w:pStyle w:val="ListNumber"/>
      </w:pPr>
      <w:r>
        <w:t>Create minimal repair ImplementationSpec/TaskContract.</w:t>
      </w:r>
    </w:p>
    <w:p>
      <w:pPr>
        <w:pStyle w:val="ListNumber"/>
      </w:pPr>
      <w:r>
        <w:t>Forge executes repair; integration creates new exact SHA; canonical index refreshes.</w:t>
      </w:r>
    </w:p>
    <w:p>
      <w:pPr>
        <w:pStyle w:val="ListNumber"/>
      </w:pPr>
      <w:r>
        <w:t>Re-run original reproduction, generated regression test and impacted baselines. Warden/Sentinel produce findings/evidence.</w:t>
      </w:r>
    </w:p>
    <w:p>
      <w:pPr>
        <w:pStyle w:val="ListNumber"/>
      </w:pPr>
      <w:r>
        <w:t>Release R3 only if original failure now passes, regression evidence is present, blocking findings are zero and release eligibility passes.</w:t>
      </w:r>
    </w:p>
    <w:p>
      <w:pPr>
        <w:pStyle w:val="Heading1"/>
      </w:pPr>
      <w:r>
        <w:t>23. Control API Surface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Area</w:t>
            </w:r>
          </w:p>
        </w:tc>
        <w:tc>
          <w:tcPr>
            <w:tcW w:type="dxa" w:w="5083"/>
            <w:shd w:fill="17365D"/>
            <w:vAlign w:val="center"/>
          </w:tcPr>
          <w:p>
            <w:pPr>
              <w:spacing w:after="40"/>
            </w:pPr>
            <w:r>
              <w:rPr>
                <w:rFonts w:ascii="Aptos" w:hAnsi="Aptos"/>
                <w:b/>
                <w:color w:val="FFFFFF"/>
                <w:sz w:val="16"/>
              </w:rPr>
              <w:t>Representative endpoints</w:t>
            </w:r>
          </w:p>
        </w:tc>
      </w:tr>
      <w:tr>
        <w:tc>
          <w:tcPr>
            <w:tcW w:type="dxa" w:w="5083"/>
            <w:vAlign w:val="top"/>
          </w:tcPr>
          <w:p>
            <w:pPr>
              <w:spacing w:after="40"/>
            </w:pPr>
            <w:r>
              <w:rPr>
                <w:rFonts w:ascii="Aptos" w:hAnsi="Aptos"/>
                <w:sz w:val="16"/>
              </w:rPr>
              <w:t>Projects</w:t>
            </w:r>
          </w:p>
        </w:tc>
        <w:tc>
          <w:tcPr>
            <w:tcW w:type="dxa" w:w="5083"/>
            <w:vAlign w:val="top"/>
          </w:tcPr>
          <w:p>
            <w:pPr>
              <w:spacing w:after="40"/>
            </w:pPr>
            <w:r>
              <w:rPr>
                <w:rFonts w:ascii="Aptos" w:hAnsi="Aptos"/>
                <w:sz w:val="16"/>
              </w:rPr>
              <w:t>POST /projects; GET /projects/{id}; POST /projects/{id}/repositories</w:t>
            </w:r>
          </w:p>
        </w:tc>
      </w:tr>
      <w:tr>
        <w:tc>
          <w:tcPr>
            <w:tcW w:type="dxa" w:w="5083"/>
            <w:vAlign w:val="top"/>
          </w:tcPr>
          <w:p>
            <w:pPr>
              <w:spacing w:after="40"/>
            </w:pPr>
            <w:r>
              <w:rPr>
                <w:rFonts w:ascii="Aptos" w:hAnsi="Aptos"/>
                <w:sz w:val="16"/>
              </w:rPr>
              <w:t>Sources/Product</w:t>
            </w:r>
          </w:p>
        </w:tc>
        <w:tc>
          <w:tcPr>
            <w:tcW w:type="dxa" w:w="5083"/>
            <w:vAlign w:val="top"/>
          </w:tcPr>
          <w:p>
            <w:pPr>
              <w:spacing w:after="40"/>
            </w:pPr>
            <w:r>
              <w:rPr>
                <w:rFonts w:ascii="Aptos" w:hAnsi="Aptos"/>
                <w:sz w:val="16"/>
              </w:rPr>
              <w:t>POST /projects/{id}/sources; POST /sources/{id}/decompose; GET /projects/{id}/features</w:t>
            </w:r>
          </w:p>
        </w:tc>
      </w:tr>
      <w:tr>
        <w:tc>
          <w:tcPr>
            <w:tcW w:type="dxa" w:w="5083"/>
            <w:vAlign w:val="top"/>
          </w:tcPr>
          <w:p>
            <w:pPr>
              <w:spacing w:after="40"/>
            </w:pPr>
            <w:r>
              <w:rPr>
                <w:rFonts w:ascii="Aptos" w:hAnsi="Aptos"/>
                <w:sz w:val="16"/>
              </w:rPr>
              <w:t>Specs</w:t>
            </w:r>
          </w:p>
        </w:tc>
        <w:tc>
          <w:tcPr>
            <w:tcW w:type="dxa" w:w="5083"/>
            <w:vAlign w:val="top"/>
          </w:tcPr>
          <w:p>
            <w:pPr>
              <w:spacing w:after="40"/>
            </w:pPr>
            <w:r>
              <w:rPr>
                <w:rFonts w:ascii="Aptos" w:hAnsi="Aptos"/>
                <w:sz w:val="16"/>
              </w:rPr>
              <w:t>GET/POST /features/{id}/specs; POST /specs/{id}/approve; GET /specs/{id}/lineage</w:t>
            </w:r>
          </w:p>
        </w:tc>
      </w:tr>
      <w:tr>
        <w:tc>
          <w:tcPr>
            <w:tcW w:type="dxa" w:w="5083"/>
            <w:vAlign w:val="top"/>
          </w:tcPr>
          <w:p>
            <w:pPr>
              <w:spacing w:after="40"/>
            </w:pPr>
            <w:r>
              <w:rPr>
                <w:rFonts w:ascii="Aptos" w:hAnsi="Aptos"/>
                <w:sz w:val="16"/>
              </w:rPr>
              <w:t>Delivery</w:t>
            </w:r>
          </w:p>
        </w:tc>
        <w:tc>
          <w:tcPr>
            <w:tcW w:type="dxa" w:w="5083"/>
            <w:vAlign w:val="top"/>
          </w:tcPr>
          <w:p>
            <w:pPr>
              <w:spacing w:after="40"/>
            </w:pPr>
            <w:r>
              <w:rPr>
                <w:rFonts w:ascii="Aptos" w:hAnsi="Aptos"/>
                <w:sz w:val="16"/>
              </w:rPr>
              <w:t>POST /projects/{id}/delivery-cycles; GET /delivery-cycles/{id}; POST /delivery-cycles/{id}/commands/{command}</w:t>
            </w:r>
          </w:p>
        </w:tc>
      </w:tr>
      <w:tr>
        <w:tc>
          <w:tcPr>
            <w:tcW w:type="dxa" w:w="5083"/>
            <w:vAlign w:val="top"/>
          </w:tcPr>
          <w:p>
            <w:pPr>
              <w:spacing w:after="40"/>
            </w:pPr>
            <w:r>
              <w:rPr>
                <w:rFonts w:ascii="Aptos" w:hAnsi="Aptos"/>
                <w:sz w:val="16"/>
              </w:rPr>
              <w:t>Tasks</w:t>
            </w:r>
          </w:p>
        </w:tc>
        <w:tc>
          <w:tcPr>
            <w:tcW w:type="dxa" w:w="5083"/>
            <w:vAlign w:val="top"/>
          </w:tcPr>
          <w:p>
            <w:pPr>
              <w:spacing w:after="40"/>
            </w:pPr>
            <w:r>
              <w:rPr>
                <w:rFonts w:ascii="Aptos" w:hAnsi="Aptos"/>
                <w:sz w:val="16"/>
              </w:rPr>
              <w:t>GET /delivery-cycles/{id}/tasks; GET /tasks/{id}; GET /tasks/{id}/contract</w:t>
            </w:r>
          </w:p>
        </w:tc>
      </w:tr>
      <w:tr>
        <w:tc>
          <w:tcPr>
            <w:tcW w:type="dxa" w:w="5083"/>
            <w:vAlign w:val="top"/>
          </w:tcPr>
          <w:p>
            <w:pPr>
              <w:spacing w:after="40"/>
            </w:pPr>
            <w:r>
              <w:rPr>
                <w:rFonts w:ascii="Aptos" w:hAnsi="Aptos"/>
                <w:sz w:val="16"/>
              </w:rPr>
              <w:t>Executions</w:t>
            </w:r>
          </w:p>
        </w:tc>
        <w:tc>
          <w:tcPr>
            <w:tcW w:type="dxa" w:w="5083"/>
            <w:vAlign w:val="top"/>
          </w:tcPr>
          <w:p>
            <w:pPr>
              <w:spacing w:after="40"/>
            </w:pPr>
            <w:r>
              <w:rPr>
                <w:rFonts w:ascii="Aptos" w:hAnsi="Aptos"/>
                <w:sz w:val="16"/>
              </w:rPr>
              <w:t>GET /executions/{id}; POST /executions/{id}/cancel; GET /executions/{id}/events</w:t>
            </w:r>
          </w:p>
        </w:tc>
      </w:tr>
      <w:tr>
        <w:tc>
          <w:tcPr>
            <w:tcW w:type="dxa" w:w="5083"/>
            <w:vAlign w:val="top"/>
          </w:tcPr>
          <w:p>
            <w:pPr>
              <w:spacing w:after="40"/>
            </w:pPr>
            <w:r>
              <w:rPr>
                <w:rFonts w:ascii="Aptos" w:hAnsi="Aptos"/>
                <w:sz w:val="16"/>
              </w:rPr>
              <w:t>Approvals</w:t>
            </w:r>
          </w:p>
        </w:tc>
        <w:tc>
          <w:tcPr>
            <w:tcW w:type="dxa" w:w="5083"/>
            <w:vAlign w:val="top"/>
          </w:tcPr>
          <w:p>
            <w:pPr>
              <w:spacing w:after="40"/>
            </w:pPr>
            <w:r>
              <w:rPr>
                <w:rFonts w:ascii="Aptos" w:hAnsi="Aptos"/>
                <w:sz w:val="16"/>
              </w:rPr>
              <w:t>GET /approvals; POST /approvals/{id}/decision</w:t>
            </w:r>
          </w:p>
        </w:tc>
      </w:tr>
      <w:tr>
        <w:tc>
          <w:tcPr>
            <w:tcW w:type="dxa" w:w="5083"/>
            <w:vAlign w:val="top"/>
          </w:tcPr>
          <w:p>
            <w:pPr>
              <w:spacing w:after="40"/>
            </w:pPr>
            <w:r>
              <w:rPr>
                <w:rFonts w:ascii="Aptos" w:hAnsi="Aptos"/>
                <w:sz w:val="16"/>
              </w:rPr>
              <w:t>Code intelligence</w:t>
            </w:r>
          </w:p>
        </w:tc>
        <w:tc>
          <w:tcPr>
            <w:tcW w:type="dxa" w:w="5083"/>
            <w:vAlign w:val="top"/>
          </w:tcPr>
          <w:p>
            <w:pPr>
              <w:spacing w:after="40"/>
            </w:pPr>
            <w:r>
              <w:rPr>
                <w:rFonts w:ascii="Aptos" w:hAnsi="Aptos"/>
                <w:sz w:val="16"/>
              </w:rPr>
              <w:t>GET /code/entities; GET /features/{id}/code; GET /specs/{id}/impact</w:t>
            </w:r>
          </w:p>
        </w:tc>
      </w:tr>
      <w:tr>
        <w:tc>
          <w:tcPr>
            <w:tcW w:type="dxa" w:w="5083"/>
            <w:vAlign w:val="top"/>
          </w:tcPr>
          <w:p>
            <w:pPr>
              <w:spacing w:after="40"/>
            </w:pPr>
            <w:r>
              <w:rPr>
                <w:rFonts w:ascii="Aptos" w:hAnsi="Aptos"/>
                <w:sz w:val="16"/>
              </w:rPr>
              <w:t>Assurance</w:t>
            </w:r>
          </w:p>
        </w:tc>
        <w:tc>
          <w:tcPr>
            <w:tcW w:type="dxa" w:w="5083"/>
            <w:vAlign w:val="top"/>
          </w:tcPr>
          <w:p>
            <w:pPr>
              <w:spacing w:after="40"/>
            </w:pPr>
            <w:r>
              <w:rPr>
                <w:rFonts w:ascii="Aptos" w:hAnsi="Aptos"/>
                <w:sz w:val="16"/>
              </w:rPr>
              <w:t>GET /delivery-cycles/{id}/evidence; GET /delivery-cycles/{id}/findings; GET /gates/{id}</w:t>
            </w:r>
          </w:p>
        </w:tc>
      </w:tr>
      <w:tr>
        <w:tc>
          <w:tcPr>
            <w:tcW w:type="dxa" w:w="5083"/>
            <w:vAlign w:val="top"/>
          </w:tcPr>
          <w:p>
            <w:pPr>
              <w:spacing w:after="40"/>
            </w:pPr>
            <w:r>
              <w:rPr>
                <w:rFonts w:ascii="Aptos" w:hAnsi="Aptos"/>
                <w:sz w:val="16"/>
              </w:rPr>
              <w:t>Release</w:t>
            </w:r>
          </w:p>
        </w:tc>
        <w:tc>
          <w:tcPr>
            <w:tcW w:type="dxa" w:w="5083"/>
            <w:vAlign w:val="top"/>
          </w:tcPr>
          <w:p>
            <w:pPr>
              <w:spacing w:after="40"/>
            </w:pPr>
            <w:r>
              <w:rPr>
                <w:rFonts w:ascii="Aptos" w:hAnsi="Aptos"/>
                <w:sz w:val="16"/>
              </w:rPr>
              <w:t>GET /delivery-cycles/{id}/release-eligibility; POST /releases/{id}/approve; POST /releases/{id}/execute</w:t>
            </w:r>
          </w:p>
        </w:tc>
      </w:tr>
      <w:tr>
        <w:tc>
          <w:tcPr>
            <w:tcW w:type="dxa" w:w="5083"/>
            <w:vAlign w:val="top"/>
          </w:tcPr>
          <w:p>
            <w:pPr>
              <w:spacing w:after="40"/>
            </w:pPr>
            <w:r>
              <w:rPr>
                <w:rFonts w:ascii="Aptos" w:hAnsi="Aptos"/>
                <w:sz w:val="16"/>
              </w:rPr>
              <w:t>Integrations</w:t>
            </w:r>
          </w:p>
        </w:tc>
        <w:tc>
          <w:tcPr>
            <w:tcW w:type="dxa" w:w="5083"/>
            <w:vAlign w:val="top"/>
          </w:tcPr>
          <w:p>
            <w:pPr>
              <w:spacing w:after="40"/>
            </w:pPr>
            <w:r>
              <w:rPr>
                <w:rFonts w:ascii="Aptos" w:hAnsi="Aptos"/>
                <w:sz w:val="16"/>
              </w:rPr>
              <w:t>POST /integrations/inbound/{source}; GET /connector-actions/{id}; POST /reconciliation/{id}/retry</w:t>
            </w:r>
          </w:p>
        </w:tc>
      </w:tr>
    </w:tbl>
    <w:p>
      <w:pPr>
        <w:pStyle w:val="Heading2"/>
      </w:pPr>
      <w:r>
        <w:t>23.1 Command API principle</w:t>
      </w:r>
    </w:p>
    <w:p>
      <w:r>
        <w:t>Clients should request commands such as approve_scope, start_planning, cancel_execution or approve_release rather than directly PATCHing lifecycle status fields. The domain service owns transition validation.</w:t>
      </w:r>
    </w:p>
    <w:p>
      <w:pPr>
        <w:pStyle w:val="Heading1"/>
      </w:pPr>
      <w:r>
        <w:t>24. Event Model and Observability</w:t>
      </w:r>
    </w:p>
    <w:p>
      <w:pPr>
        <w:pStyle w:val="Heading2"/>
      </w:pPr>
      <w:r>
        <w:t>24.1 Domain events</w:t>
      </w:r>
    </w:p>
    <w:p>
      <w:pPr>
        <w:pStyle w:val="CodeBlock"/>
        <w:keepLines/>
        <w:shd w:fill="F3F5F7"/>
      </w:pPr>
      <w:r>
        <w:rPr>
          <w:rFonts w:ascii="Liberation Mono" w:hAnsi="Liberation Mono"/>
          <w:color w:val="243447"/>
          <w:sz w:val="16"/>
        </w:rPr>
        <w:t>project.created</w:t>
        <w:br/>
        <w:t>delivery_cycle.created</w:t>
        <w:br/>
        <w:t>delivery_cycle.transitioned</w:t>
        <w:br/>
        <w:t>product_source.ingested</w:t>
        <w:br/>
        <w:t>feature_spec.proposed / approved</w:t>
        <w:br/>
        <w:t>task.ready / queued</w:t>
        <w:br/>
        <w:t>execution.created / started / checkpointed / completed / failed</w:t>
        <w:br/>
        <w:t>artifact.created</w:t>
        <w:br/>
        <w:t>candidate_commit.created</w:t>
        <w:br/>
        <w:t>integration.created / ready / conflict</w:t>
        <w:br/>
        <w:t>code_index.updated</w:t>
        <w:br/>
        <w:t>finding.created / resolved</w:t>
        <w:br/>
        <w:t>gate.finalized</w:t>
        <w:br/>
        <w:t>approval.requested / decided</w:t>
        <w:br/>
        <w:t>release.eligible / blocked / executed</w:t>
        <w:br/>
        <w:t>connector.requested / completed / reconciliation_required</w:t>
        <w:br/>
      </w:r>
    </w:p>
    <w:p>
      <w:pPr>
        <w:pStyle w:val="Heading2"/>
      </w:pPr>
      <w:r>
        <w:t>24.2 Correlation identifiers</w:t>
      </w:r>
    </w:p>
    <w:p>
      <w:pPr>
        <w:pStyle w:val="ListBullet"/>
      </w:pPr>
      <w:r>
        <w:t>project_id</w:t>
      </w:r>
    </w:p>
    <w:p>
      <w:pPr>
        <w:pStyle w:val="ListBullet"/>
      </w:pPr>
      <w:r>
        <w:t>delivery_cycle_id</w:t>
      </w:r>
    </w:p>
    <w:p>
      <w:pPr>
        <w:pStyle w:val="ListBullet"/>
      </w:pPr>
      <w:r>
        <w:t>feature/spec IDs</w:t>
      </w:r>
    </w:p>
    <w:p>
      <w:pPr>
        <w:pStyle w:val="ListBullet"/>
      </w:pPr>
      <w:r>
        <w:t>task_id and task_contract_version</w:t>
      </w:r>
    </w:p>
    <w:p>
      <w:pPr>
        <w:pStyle w:val="ListBullet"/>
      </w:pPr>
      <w:r>
        <w:t>execution_id and snapshot_id</w:t>
      </w:r>
    </w:p>
    <w:p>
      <w:pPr>
        <w:pStyle w:val="ListBullet"/>
      </w:pPr>
      <w:r>
        <w:t>integration_candidate_id and commit SHA</w:t>
      </w:r>
    </w:p>
    <w:p>
      <w:pPr>
        <w:pStyle w:val="ListBullet"/>
      </w:pPr>
      <w:r>
        <w:t>provider/model request ID for LLM calls</w:t>
      </w:r>
    </w:p>
    <w:p>
      <w:pPr>
        <w:pStyle w:val="ListBullet"/>
      </w:pPr>
      <w:r>
        <w:t>connector action/result IDs</w:t>
      </w:r>
    </w:p>
    <w:p>
      <w:pPr>
        <w:pStyle w:val="ListBullet"/>
      </w:pPr>
      <w:r>
        <w:t>correlation_id propagated end-to-end</w:t>
      </w:r>
    </w:p>
    <w:p>
      <w:pPr>
        <w:pStyle w:val="Heading2"/>
      </w:pPr>
      <w:r>
        <w:t>24.3 LLM observability</w:t>
      </w:r>
    </w:p>
    <w:p>
      <w:r>
        <w:t>Capture provider/model, prompt/template version, input/output token counts, latency, retry count, schema-validation failures and cost estimate. Do not persist secrets. Store full prompts/responses only according to explicit data-retention policy; at minimum retain hashes/metadata and structured outputs needed for audit.</w:t>
      </w:r>
    </w:p>
    <w:p>
      <w:pPr>
        <w:pStyle w:val="Heading1"/>
      </w:pPr>
      <w:r>
        <w:t>25. Dashboard Implementation</w:t>
      </w:r>
    </w:p>
    <w:p>
      <w:r>
        <w:t>The dashboard is a thin projection of authoritative APIs and events. It must emphasize delivery outcomes and lineage, not model chat transcripts.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View</w:t>
            </w:r>
          </w:p>
        </w:tc>
        <w:tc>
          <w:tcPr>
            <w:tcW w:type="dxa" w:w="5083"/>
            <w:shd w:fill="17365D"/>
            <w:vAlign w:val="center"/>
          </w:tcPr>
          <w:p>
            <w:pPr>
              <w:spacing w:after="40"/>
            </w:pPr>
            <w:r>
              <w:rPr>
                <w:rFonts w:ascii="Aptos" w:hAnsi="Aptos"/>
                <w:b/>
                <w:color w:val="FFFFFF"/>
                <w:sz w:val="16"/>
              </w:rPr>
              <w:t>Core content</w:t>
            </w:r>
          </w:p>
        </w:tc>
      </w:tr>
      <w:tr>
        <w:tc>
          <w:tcPr>
            <w:tcW w:type="dxa" w:w="5083"/>
            <w:vAlign w:val="top"/>
          </w:tcPr>
          <w:p>
            <w:pPr>
              <w:spacing w:after="40"/>
            </w:pPr>
            <w:r>
              <w:rPr>
                <w:rFonts w:ascii="Aptos" w:hAnsi="Aptos"/>
                <w:sz w:val="16"/>
              </w:rPr>
              <w:t>Project</w:t>
            </w:r>
          </w:p>
        </w:tc>
        <w:tc>
          <w:tcPr>
            <w:tcW w:type="dxa" w:w="5083"/>
            <w:vAlign w:val="top"/>
          </w:tcPr>
          <w:p>
            <w:pPr>
              <w:spacing w:after="40"/>
            </w:pPr>
            <w:r>
              <w:rPr>
                <w:rFonts w:ascii="Aptos" w:hAnsi="Aptos"/>
                <w:sz w:val="16"/>
              </w:rPr>
              <w:t>Current release, active cycle, product/spec/code coverage, blockers</w:t>
            </w:r>
          </w:p>
        </w:tc>
      </w:tr>
      <w:tr>
        <w:tc>
          <w:tcPr>
            <w:tcW w:type="dxa" w:w="5083"/>
            <w:vAlign w:val="top"/>
          </w:tcPr>
          <w:p>
            <w:pPr>
              <w:spacing w:after="40"/>
            </w:pPr>
            <w:r>
              <w:rPr>
                <w:rFonts w:ascii="Aptos" w:hAnsi="Aptos"/>
                <w:sz w:val="16"/>
              </w:rPr>
              <w:t>Delivery Cycle</w:t>
            </w:r>
          </w:p>
        </w:tc>
        <w:tc>
          <w:tcPr>
            <w:tcW w:type="dxa" w:w="5083"/>
            <w:vAlign w:val="top"/>
          </w:tcPr>
          <w:p>
            <w:pPr>
              <w:spacing w:after="40"/>
            </w:pPr>
            <w:r>
              <w:rPr>
                <w:rFonts w:ascii="Aptos" w:hAnsi="Aptos"/>
                <w:sz w:val="16"/>
              </w:rPr>
              <w:t>Stage, requirements/spec approvals, task DAG, executions, current action</w:t>
            </w:r>
          </w:p>
        </w:tc>
      </w:tr>
      <w:tr>
        <w:tc>
          <w:tcPr>
            <w:tcW w:type="dxa" w:w="5083"/>
            <w:vAlign w:val="top"/>
          </w:tcPr>
          <w:p>
            <w:pPr>
              <w:spacing w:after="40"/>
            </w:pPr>
            <w:r>
              <w:rPr>
                <w:rFonts w:ascii="Aptos" w:hAnsi="Aptos"/>
                <w:sz w:val="16"/>
              </w:rPr>
              <w:t>Product / Specs</w:t>
            </w:r>
          </w:p>
        </w:tc>
        <w:tc>
          <w:tcPr>
            <w:tcW w:type="dxa" w:w="5083"/>
            <w:vAlign w:val="top"/>
          </w:tcPr>
          <w:p>
            <w:pPr>
              <w:spacing w:after="40"/>
            </w:pPr>
            <w:r>
              <w:rPr>
                <w:rFonts w:ascii="Aptos" w:hAnsi="Aptos"/>
                <w:sz w:val="16"/>
              </w:rPr>
              <w:t>Capabilities, Features, FeatureSpec/ImplementationSpec versions, AC coverage</w:t>
            </w:r>
          </w:p>
        </w:tc>
      </w:tr>
      <w:tr>
        <w:tc>
          <w:tcPr>
            <w:tcW w:type="dxa" w:w="5083"/>
            <w:vAlign w:val="top"/>
          </w:tcPr>
          <w:p>
            <w:pPr>
              <w:spacing w:after="40"/>
            </w:pPr>
            <w:r>
              <w:rPr>
                <w:rFonts w:ascii="Aptos" w:hAnsi="Aptos"/>
                <w:sz w:val="16"/>
              </w:rPr>
              <w:t>Code Intelligence</w:t>
            </w:r>
          </w:p>
        </w:tc>
        <w:tc>
          <w:tcPr>
            <w:tcW w:type="dxa" w:w="5083"/>
            <w:vAlign w:val="top"/>
          </w:tcPr>
          <w:p>
            <w:pPr>
              <w:spacing w:after="40"/>
            </w:pPr>
            <w:r>
              <w:rPr>
                <w:rFonts w:ascii="Aptos" w:hAnsi="Aptos"/>
                <w:sz w:val="16"/>
              </w:rPr>
              <w:t>Feature/Spec → CodeEntity traversal, code graph neighborhood, canonical index SHA</w:t>
            </w:r>
          </w:p>
        </w:tc>
      </w:tr>
      <w:tr>
        <w:tc>
          <w:tcPr>
            <w:tcW w:type="dxa" w:w="5083"/>
            <w:vAlign w:val="top"/>
          </w:tcPr>
          <w:p>
            <w:pPr>
              <w:spacing w:after="40"/>
            </w:pPr>
            <w:r>
              <w:rPr>
                <w:rFonts w:ascii="Aptos" w:hAnsi="Aptos"/>
                <w:sz w:val="16"/>
              </w:rPr>
              <w:t>Executions</w:t>
            </w:r>
          </w:p>
        </w:tc>
        <w:tc>
          <w:tcPr>
            <w:tcW w:type="dxa" w:w="5083"/>
            <w:vAlign w:val="top"/>
          </w:tcPr>
          <w:p>
            <w:pPr>
              <w:spacing w:after="40"/>
            </w:pPr>
            <w:r>
              <w:rPr>
                <w:rFonts w:ascii="Aptos" w:hAnsi="Aptos"/>
                <w:sz w:val="16"/>
              </w:rPr>
              <w:t>TaskContract, snapshot, worktree/branch, events, candidate commit, model/tool usage</w:t>
            </w:r>
          </w:p>
        </w:tc>
      </w:tr>
      <w:tr>
        <w:tc>
          <w:tcPr>
            <w:tcW w:type="dxa" w:w="5083"/>
            <w:vAlign w:val="top"/>
          </w:tcPr>
          <w:p>
            <w:pPr>
              <w:spacing w:after="40"/>
            </w:pPr>
            <w:r>
              <w:rPr>
                <w:rFonts w:ascii="Aptos" w:hAnsi="Aptos"/>
                <w:sz w:val="16"/>
              </w:rPr>
              <w:t>Brownfield Intelligence</w:t>
            </w:r>
          </w:p>
        </w:tc>
        <w:tc>
          <w:tcPr>
            <w:tcW w:type="dxa" w:w="5083"/>
            <w:vAlign w:val="top"/>
          </w:tcPr>
          <w:p>
            <w:pPr>
              <w:spacing w:after="40"/>
            </w:pPr>
            <w:r>
              <w:rPr>
                <w:rFonts w:ascii="Aptos" w:hAnsi="Aptos"/>
                <w:sz w:val="16"/>
              </w:rPr>
              <w:t>Facts, inferences, uncertainties, recovered specs, baselines, readiness</w:t>
            </w:r>
          </w:p>
        </w:tc>
      </w:tr>
      <w:tr>
        <w:tc>
          <w:tcPr>
            <w:tcW w:type="dxa" w:w="5083"/>
            <w:vAlign w:val="top"/>
          </w:tcPr>
          <w:p>
            <w:pPr>
              <w:spacing w:after="40"/>
            </w:pPr>
            <w:r>
              <w:rPr>
                <w:rFonts w:ascii="Aptos" w:hAnsi="Aptos"/>
                <w:sz w:val="16"/>
              </w:rPr>
              <w:t>Impact</w:t>
            </w:r>
          </w:p>
        </w:tc>
        <w:tc>
          <w:tcPr>
            <w:tcW w:type="dxa" w:w="5083"/>
            <w:vAlign w:val="top"/>
          </w:tcPr>
          <w:p>
            <w:pPr>
              <w:spacing w:after="40"/>
            </w:pPr>
            <w:r>
              <w:rPr>
                <w:rFonts w:ascii="Aptos" w:hAnsi="Aptos"/>
                <w:sz w:val="16"/>
              </w:rPr>
              <w:t>Affected specs/code/tests/baselines and rationale</w:t>
            </w:r>
          </w:p>
        </w:tc>
      </w:tr>
      <w:tr>
        <w:tc>
          <w:tcPr>
            <w:tcW w:type="dxa" w:w="5083"/>
            <w:vAlign w:val="top"/>
          </w:tcPr>
          <w:p>
            <w:pPr>
              <w:spacing w:after="40"/>
            </w:pPr>
            <w:r>
              <w:rPr>
                <w:rFonts w:ascii="Aptos" w:hAnsi="Aptos"/>
                <w:sz w:val="16"/>
              </w:rPr>
              <w:t>Assurance</w:t>
            </w:r>
          </w:p>
        </w:tc>
        <w:tc>
          <w:tcPr>
            <w:tcW w:type="dxa" w:w="5083"/>
            <w:vAlign w:val="top"/>
          </w:tcPr>
          <w:p>
            <w:pPr>
              <w:spacing w:after="40"/>
            </w:pPr>
            <w:r>
              <w:rPr>
                <w:rFonts w:ascii="Aptos" w:hAnsi="Aptos"/>
                <w:sz w:val="16"/>
              </w:rPr>
              <w:t>Warden findings, Sentinel evidence, AC/baseline coverage, repair loops</w:t>
            </w:r>
          </w:p>
        </w:tc>
      </w:tr>
      <w:tr>
        <w:tc>
          <w:tcPr>
            <w:tcW w:type="dxa" w:w="5083"/>
            <w:vAlign w:val="top"/>
          </w:tcPr>
          <w:p>
            <w:pPr>
              <w:spacing w:after="40"/>
            </w:pPr>
            <w:r>
              <w:rPr>
                <w:rFonts w:ascii="Aptos" w:hAnsi="Aptos"/>
                <w:sz w:val="16"/>
              </w:rPr>
              <w:t>Integrations</w:t>
            </w:r>
          </w:p>
        </w:tc>
        <w:tc>
          <w:tcPr>
            <w:tcW w:type="dxa" w:w="5083"/>
            <w:vAlign w:val="top"/>
          </w:tcPr>
          <w:p>
            <w:pPr>
              <w:spacing w:after="40"/>
            </w:pPr>
            <w:r>
              <w:rPr>
                <w:rFonts w:ascii="Aptos" w:hAnsi="Aptos"/>
                <w:sz w:val="16"/>
              </w:rPr>
              <w:t>Inbound events, connector actions, failures/reconciliation</w:t>
            </w:r>
          </w:p>
        </w:tc>
      </w:tr>
      <w:tr>
        <w:tc>
          <w:tcPr>
            <w:tcW w:type="dxa" w:w="5083"/>
            <w:vAlign w:val="top"/>
          </w:tcPr>
          <w:p>
            <w:pPr>
              <w:spacing w:after="40"/>
            </w:pPr>
            <w:r>
              <w:rPr>
                <w:rFonts w:ascii="Aptos" w:hAnsi="Aptos"/>
                <w:sz w:val="16"/>
              </w:rPr>
              <w:t>Release</w:t>
            </w:r>
          </w:p>
        </w:tc>
        <w:tc>
          <w:tcPr>
            <w:tcW w:type="dxa" w:w="5083"/>
            <w:vAlign w:val="top"/>
          </w:tcPr>
          <w:p>
            <w:pPr>
              <w:spacing w:after="40"/>
            </w:pPr>
            <w:r>
              <w:rPr>
                <w:rFonts w:ascii="Aptos" w:hAnsi="Aptos"/>
                <w:sz w:val="16"/>
              </w:rPr>
              <w:t>Manifest, exact SHA, gates, approvals, eligibility and deployment state</w:t>
            </w:r>
          </w:p>
        </w:tc>
      </w:tr>
    </w:tbl>
    <w:p>
      <w:pPr>
        <w:pStyle w:val="Heading1"/>
      </w:pPr>
      <w:r>
        <w:t>26. Security and Execution Hardening</w:t>
      </w:r>
    </w:p>
    <w:p>
      <w:pPr>
        <w:pStyle w:val="ListBullet"/>
      </w:pPr>
      <w:r>
        <w:t>Secrets are injected at runtime from environment/secret manager; never embedded in prompts, artifacts or Git.</w:t>
      </w:r>
    </w:p>
    <w:p>
      <w:pPr>
        <w:pStyle w:val="ListBullet"/>
      </w:pPr>
      <w:r>
        <w:t>Workers receive only run-scoped platform tokens; no direct database credentials if deployment is split into stronger trust zones.</w:t>
      </w:r>
    </w:p>
    <w:p>
      <w:pPr>
        <w:pStyle w:val="ListBullet"/>
      </w:pPr>
      <w:r>
        <w:t>ToolGateway validates resolved filesystem paths to prevent traversal outside the assigned worktree.</w:t>
      </w:r>
    </w:p>
    <w:p>
      <w:pPr>
        <w:pStyle w:val="ListBullet"/>
      </w:pPr>
      <w:r>
        <w:t>Shell execution uses a restricted command policy, bounded cwd, wall-clock timeout and output-size limit.</w:t>
      </w:r>
    </w:p>
    <w:p>
      <w:pPr>
        <w:pStyle w:val="ListBullet"/>
      </w:pPr>
      <w:r>
        <w:t>Outbound providers use short-lived/scoped credentials where supported; connector secrets stay outside agent context.</w:t>
      </w:r>
    </w:p>
    <w:p>
      <w:pPr>
        <w:pStyle w:val="ListBullet"/>
      </w:pPr>
      <w:r>
        <w:t>Repository content is untrusted input and cannot change ToolGateway permissions or control-plane policy.</w:t>
      </w:r>
    </w:p>
    <w:p>
      <w:pPr>
        <w:pStyle w:val="ListBullet"/>
      </w:pPr>
      <w:r>
        <w:t>Generated code remains untrusted until integrated and required assurance gates pass.</w:t>
      </w:r>
    </w:p>
    <w:p>
      <w:pPr>
        <w:pStyle w:val="ListBullet"/>
      </w:pPr>
      <w:r>
        <w:t>Release/deployment actions are unavailable to Forge and are available to Stratos only after release eligibility is computed by Olympus.</w:t>
      </w:r>
    </w:p>
    <w:p>
      <w:pPr>
        <w:pStyle w:val="Heading1"/>
      </w:pPr>
      <w:r>
        <w:t>27. Testing Strategy</w:t>
      </w:r>
    </w:p>
    <w:p>
      <w:pPr>
        <w:pStyle w:val="Heading2"/>
      </w:pPr>
      <w:r>
        <w:t>27.1 Test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Layer</w:t>
            </w:r>
          </w:p>
        </w:tc>
        <w:tc>
          <w:tcPr>
            <w:tcW w:type="dxa" w:w="5083"/>
            <w:shd w:fill="17365D"/>
            <w:vAlign w:val="center"/>
          </w:tcPr>
          <w:p>
            <w:pPr>
              <w:spacing w:after="40"/>
            </w:pPr>
            <w:r>
              <w:rPr>
                <w:rFonts w:ascii="Aptos" w:hAnsi="Aptos"/>
                <w:b/>
                <w:color w:val="FFFFFF"/>
                <w:sz w:val="16"/>
              </w:rPr>
              <w:t>Coverage</w:t>
            </w:r>
          </w:p>
        </w:tc>
      </w:tr>
      <w:tr>
        <w:tc>
          <w:tcPr>
            <w:tcW w:type="dxa" w:w="5083"/>
            <w:vAlign w:val="top"/>
          </w:tcPr>
          <w:p>
            <w:pPr>
              <w:spacing w:after="40"/>
            </w:pPr>
            <w:r>
              <w:rPr>
                <w:rFonts w:ascii="Aptos" w:hAnsi="Aptos"/>
                <w:sz w:val="16"/>
              </w:rPr>
              <w:t>Unit</w:t>
            </w:r>
          </w:p>
        </w:tc>
        <w:tc>
          <w:tcPr>
            <w:tcW w:type="dxa" w:w="5083"/>
            <w:vAlign w:val="top"/>
          </w:tcPr>
          <w:p>
            <w:pPr>
              <w:spacing w:after="40"/>
            </w:pPr>
            <w:r>
              <w:rPr>
                <w:rFonts w:ascii="Aptos" w:hAnsi="Aptos"/>
                <w:sz w:val="16"/>
              </w:rPr>
              <w:t>State transitions, TaskContract compiler, DAG validation, policy, eligibility, parsers, relation extraction, gate/release logic</w:t>
            </w:r>
          </w:p>
        </w:tc>
      </w:tr>
      <w:tr>
        <w:tc>
          <w:tcPr>
            <w:tcW w:type="dxa" w:w="5083"/>
            <w:vAlign w:val="top"/>
          </w:tcPr>
          <w:p>
            <w:pPr>
              <w:spacing w:after="40"/>
            </w:pPr>
            <w:r>
              <w:rPr>
                <w:rFonts w:ascii="Aptos" w:hAnsi="Aptos"/>
                <w:sz w:val="16"/>
              </w:rPr>
              <w:t>Persistence</w:t>
            </w:r>
          </w:p>
        </w:tc>
        <w:tc>
          <w:tcPr>
            <w:tcW w:type="dxa" w:w="5083"/>
            <w:vAlign w:val="top"/>
          </w:tcPr>
          <w:p>
            <w:pPr>
              <w:spacing w:after="40"/>
            </w:pPr>
            <w:r>
              <w:rPr>
                <w:rFonts w:ascii="Aptos" w:hAnsi="Aptos"/>
                <w:sz w:val="16"/>
              </w:rPr>
              <w:t>Transactions, versioning, immutable records, leases, idempotency, unique constraints</w:t>
            </w:r>
          </w:p>
        </w:tc>
      </w:tr>
      <w:tr>
        <w:tc>
          <w:tcPr>
            <w:tcW w:type="dxa" w:w="5083"/>
            <w:vAlign w:val="top"/>
          </w:tcPr>
          <w:p>
            <w:pPr>
              <w:spacing w:after="40"/>
            </w:pPr>
            <w:r>
              <w:rPr>
                <w:rFonts w:ascii="Aptos" w:hAnsi="Aptos"/>
                <w:sz w:val="16"/>
              </w:rPr>
              <w:t>Runtime contract</w:t>
            </w:r>
          </w:p>
        </w:tc>
        <w:tc>
          <w:tcPr>
            <w:tcW w:type="dxa" w:w="5083"/>
            <w:vAlign w:val="top"/>
          </w:tcPr>
          <w:p>
            <w:pPr>
              <w:spacing w:after="40"/>
            </w:pPr>
            <w:r>
              <w:rPr>
                <w:rFonts w:ascii="Aptos" w:hAnsi="Aptos"/>
                <w:sz w:val="16"/>
              </w:rPr>
              <w:t>AgentRuntime and ModelRouter adapters, schema validation, cancellation, streaming</w:t>
            </w:r>
          </w:p>
        </w:tc>
      </w:tr>
      <w:tr>
        <w:tc>
          <w:tcPr>
            <w:tcW w:type="dxa" w:w="5083"/>
            <w:vAlign w:val="top"/>
          </w:tcPr>
          <w:p>
            <w:pPr>
              <w:spacing w:after="40"/>
            </w:pPr>
            <w:r>
              <w:rPr>
                <w:rFonts w:ascii="Aptos" w:hAnsi="Aptos"/>
                <w:sz w:val="16"/>
              </w:rPr>
              <w:t>Tool security</w:t>
            </w:r>
          </w:p>
        </w:tc>
        <w:tc>
          <w:tcPr>
            <w:tcW w:type="dxa" w:w="5083"/>
            <w:vAlign w:val="top"/>
          </w:tcPr>
          <w:p>
            <w:pPr>
              <w:spacing w:after="40"/>
            </w:pPr>
            <w:r>
              <w:rPr>
                <w:rFonts w:ascii="Aptos" w:hAnsi="Aptos"/>
                <w:sz w:val="16"/>
              </w:rPr>
              <w:t>Path traversal, unauthorized tool/action, shell restrictions, worktree isolation</w:t>
            </w:r>
          </w:p>
        </w:tc>
      </w:tr>
      <w:tr>
        <w:tc>
          <w:tcPr>
            <w:tcW w:type="dxa" w:w="5083"/>
            <w:vAlign w:val="top"/>
          </w:tcPr>
          <w:p>
            <w:pPr>
              <w:spacing w:after="40"/>
            </w:pPr>
            <w:r>
              <w:rPr>
                <w:rFonts w:ascii="Aptos" w:hAnsi="Aptos"/>
                <w:sz w:val="16"/>
              </w:rPr>
              <w:t>Integration</w:t>
            </w:r>
          </w:p>
        </w:tc>
        <w:tc>
          <w:tcPr>
            <w:tcW w:type="dxa" w:w="5083"/>
            <w:vAlign w:val="top"/>
          </w:tcPr>
          <w:p>
            <w:pPr>
              <w:spacing w:after="40"/>
            </w:pPr>
            <w:r>
              <w:rPr>
                <w:rFonts w:ascii="Aptos" w:hAnsi="Aptos"/>
                <w:sz w:val="16"/>
              </w:rPr>
              <w:t>Scheduler → Snapshot → Worktree → live AgentRuntime → CandidateCommit; connector/idempotency/reconciliation</w:t>
            </w:r>
          </w:p>
        </w:tc>
      </w:tr>
      <w:tr>
        <w:tc>
          <w:tcPr>
            <w:tcW w:type="dxa" w:w="5083"/>
            <w:vAlign w:val="top"/>
          </w:tcPr>
          <w:p>
            <w:pPr>
              <w:spacing w:after="40"/>
            </w:pPr>
            <w:r>
              <w:rPr>
                <w:rFonts w:ascii="Aptos" w:hAnsi="Aptos"/>
                <w:sz w:val="16"/>
              </w:rPr>
              <w:t>Workflow</w:t>
            </w:r>
          </w:p>
        </w:tc>
        <w:tc>
          <w:tcPr>
            <w:tcW w:type="dxa" w:w="5083"/>
            <w:vAlign w:val="top"/>
          </w:tcPr>
          <w:p>
            <w:pPr>
              <w:spacing w:after="40"/>
            </w:pPr>
            <w:r>
              <w:rPr>
                <w:rFonts w:ascii="Aptos" w:hAnsi="Aptos"/>
                <w:sz w:val="16"/>
              </w:rPr>
              <w:t>Lifecycle with failure/checkpoint/retry/remediation paths</w:t>
            </w:r>
          </w:p>
        </w:tc>
      </w:tr>
      <w:tr>
        <w:tc>
          <w:tcPr>
            <w:tcW w:type="dxa" w:w="5083"/>
            <w:vAlign w:val="top"/>
          </w:tcPr>
          <w:p>
            <w:pPr>
              <w:spacing w:after="40"/>
            </w:pPr>
            <w:r>
              <w:rPr>
                <w:rFonts w:ascii="Aptos" w:hAnsi="Aptos"/>
                <w:sz w:val="16"/>
              </w:rPr>
              <w:t>Journey</w:t>
            </w:r>
          </w:p>
        </w:tc>
        <w:tc>
          <w:tcPr>
            <w:tcW w:type="dxa" w:w="5083"/>
            <w:vAlign w:val="top"/>
          </w:tcPr>
          <w:p>
            <w:pPr>
              <w:spacing w:after="40"/>
            </w:pPr>
            <w:r>
              <w:rPr>
                <w:rFonts w:ascii="Aptos" w:hAnsi="Aptos"/>
                <w:sz w:val="16"/>
              </w:rPr>
              <w:t>Greenfield, Brownfield, Feature Change, Bug Fix using real LLM calls for model-dependent steps</w:t>
            </w:r>
          </w:p>
        </w:tc>
      </w:tr>
      <w:tr>
        <w:tc>
          <w:tcPr>
            <w:tcW w:type="dxa" w:w="5083"/>
            <w:vAlign w:val="top"/>
          </w:tcPr>
          <w:p>
            <w:pPr>
              <w:spacing w:after="40"/>
            </w:pPr>
            <w:r>
              <w:rPr>
                <w:rFonts w:ascii="Aptos" w:hAnsi="Aptos"/>
                <w:sz w:val="16"/>
              </w:rPr>
              <w:t>UI E2E</w:t>
            </w:r>
          </w:p>
        </w:tc>
        <w:tc>
          <w:tcPr>
            <w:tcW w:type="dxa" w:w="5083"/>
            <w:vAlign w:val="top"/>
          </w:tcPr>
          <w:p>
            <w:pPr>
              <w:spacing w:after="40"/>
            </w:pPr>
            <w:r>
              <w:rPr>
                <w:rFonts w:ascii="Aptos" w:hAnsi="Aptos"/>
                <w:sz w:val="16"/>
              </w:rPr>
              <w:t>Product source to delivery/release views and human approvals through Playwright</w:t>
            </w:r>
          </w:p>
        </w:tc>
      </w:tr>
    </w:tbl>
    <w:p>
      <w:pPr>
        <w:pStyle w:val="Heading2"/>
      </w:pPr>
      <w:r>
        <w:t>27.2 Live-LLM test configuration</w:t>
      </w:r>
    </w:p>
    <w:p>
      <w:r>
        <w:t>CI should separate deterministic fast tests from a gated live-LLM suite. The live suite requires provider credentials and uses small canonical fixtures, explicit token/cost budgets, model-call tagging and retry limits. A skipped live suite is not sufficient evidence for a release/demo candidate; it must run in the integration environment before the MVP journey is declared passing.</w:t>
      </w:r>
    </w:p>
    <w:p>
      <w:pPr>
        <w:pStyle w:val="Heading2"/>
      </w:pPr>
      <w:r>
        <w:t>27.3 What may be mocked</w:t>
      </w:r>
    </w:p>
    <w:p>
      <w:pPr>
        <w:pStyle w:val="ListBullet"/>
      </w:pPr>
      <w:r>
        <w:t>Network failures/timeouts in connector unit tests.</w:t>
      </w:r>
    </w:p>
    <w:p>
      <w:pPr>
        <w:pStyle w:val="ListBullet"/>
      </w:pPr>
      <w:r>
        <w:t>Provider SDK transport in a unit test specifically testing retry/error classification.</w:t>
      </w:r>
    </w:p>
    <w:p>
      <w:pPr>
        <w:pStyle w:val="ListBullet"/>
      </w:pPr>
      <w:r>
        <w:t>Time/clock and worker heartbeat mechanics.</w:t>
      </w:r>
    </w:p>
    <w:p>
      <w:pPr>
        <w:pStyle w:val="ListBullet"/>
      </w:pPr>
      <w:r>
        <w:t>Filesystem adapter failures in isolated unit tests.</w:t>
      </w:r>
    </w:p>
    <w:p>
      <w:pPr>
        <w:pStyle w:val="Heading2"/>
      </w:pPr>
      <w:r>
        <w:t>27.4 What must not be mocked for journey proof</w:t>
      </w:r>
    </w:p>
    <w:p>
      <w:pPr>
        <w:pStyle w:val="ListBullet"/>
      </w:pPr>
      <w:r>
        <w:t>PRD → Features/Specs decomposition.</w:t>
      </w:r>
    </w:p>
    <w:p>
      <w:pPr>
        <w:pStyle w:val="ListBullet"/>
      </w:pPr>
      <w:r>
        <w:t>Repository facts → recovered specification reasoning.</w:t>
      </w:r>
    </w:p>
    <w:p>
      <w:pPr>
        <w:pStyle w:val="ListBullet"/>
      </w:pPr>
      <w:r>
        <w:t>Feature/defect interpretation where semantic reasoning is required.</w:t>
      </w:r>
    </w:p>
    <w:p>
      <w:pPr>
        <w:pStyle w:val="ListBullet"/>
      </w:pPr>
      <w:r>
        <w:t>Forge implementation/code generation.</w:t>
      </w:r>
    </w:p>
    <w:p>
      <w:pPr>
        <w:pStyle w:val="ListBullet"/>
      </w:pPr>
      <w:r>
        <w:t>Warden semantic engineering review.</w:t>
      </w:r>
    </w:p>
    <w:p>
      <w:pPr>
        <w:pStyle w:val="ListBullet"/>
      </w:pPr>
      <w:r>
        <w:t>Sentinel semantic test/verification planning when required.</w:t>
      </w:r>
    </w:p>
    <w:p>
      <w:pPr>
        <w:pStyle w:val="Heading1"/>
      </w:pPr>
      <w:r>
        <w:t>28. Engineering Implementation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pPr>
              <w:spacing w:after="40"/>
            </w:pPr>
            <w:r>
              <w:rPr>
                <w:rFonts w:ascii="Aptos" w:hAnsi="Aptos"/>
                <w:b/>
                <w:color w:val="FFFFFF"/>
                <w:sz w:val="16"/>
              </w:rPr>
              <w:t>Increment</w:t>
            </w:r>
          </w:p>
        </w:tc>
        <w:tc>
          <w:tcPr>
            <w:tcW w:type="dxa" w:w="3389"/>
            <w:shd w:fill="17365D"/>
            <w:vAlign w:val="center"/>
          </w:tcPr>
          <w:p>
            <w:pPr>
              <w:spacing w:after="40"/>
            </w:pPr>
            <w:r>
              <w:rPr>
                <w:rFonts w:ascii="Aptos" w:hAnsi="Aptos"/>
                <w:b/>
                <w:color w:val="FFFFFF"/>
                <w:sz w:val="16"/>
              </w:rPr>
              <w:t>Build scope</w:t>
            </w:r>
          </w:p>
        </w:tc>
        <w:tc>
          <w:tcPr>
            <w:tcW w:type="dxa" w:w="3389"/>
            <w:shd w:fill="17365D"/>
            <w:vAlign w:val="center"/>
          </w:tcPr>
          <w:p>
            <w:pPr>
              <w:spacing w:after="40"/>
            </w:pPr>
            <w:r>
              <w:rPr>
                <w:rFonts w:ascii="Aptos" w:hAnsi="Aptos"/>
                <w:b/>
                <w:color w:val="FFFFFF"/>
                <w:sz w:val="16"/>
              </w:rPr>
              <w:t>Exit proof</w:t>
            </w:r>
          </w:p>
        </w:tc>
      </w:tr>
      <w:tr>
        <w:tc>
          <w:tcPr>
            <w:tcW w:type="dxa" w:w="3389"/>
            <w:vAlign w:val="top"/>
          </w:tcPr>
          <w:p>
            <w:pPr>
              <w:spacing w:after="40"/>
            </w:pPr>
            <w:r>
              <w:rPr>
                <w:rFonts w:ascii="Aptos" w:hAnsi="Aptos"/>
                <w:sz w:val="16"/>
              </w:rPr>
              <w:t>T0 - Foundation</w:t>
            </w:r>
          </w:p>
        </w:tc>
        <w:tc>
          <w:tcPr>
            <w:tcW w:type="dxa" w:w="3389"/>
            <w:vAlign w:val="top"/>
          </w:tcPr>
          <w:p>
            <w:pPr>
              <w:spacing w:after="40"/>
            </w:pPr>
            <w:r>
              <w:rPr>
                <w:rFonts w:ascii="Aptos" w:hAnsi="Aptos"/>
                <w:sz w:val="16"/>
              </w:rPr>
              <w:t>Repository, config, PostgreSQL/Alembic, core entities, command/state service, audit/event base</w:t>
            </w:r>
          </w:p>
        </w:tc>
        <w:tc>
          <w:tcPr>
            <w:tcW w:type="dxa" w:w="3389"/>
            <w:vAlign w:val="top"/>
          </w:tcPr>
          <w:p>
            <w:pPr>
              <w:spacing w:after="40"/>
            </w:pPr>
            <w:r>
              <w:rPr>
                <w:rFonts w:ascii="Aptos" w:hAnsi="Aptos"/>
                <w:sz w:val="16"/>
              </w:rPr>
              <w:t>Create Project/DeliveryCycle/Task/TaskContract and reject illegal transitions</w:t>
            </w:r>
          </w:p>
        </w:tc>
      </w:tr>
      <w:tr>
        <w:tc>
          <w:tcPr>
            <w:tcW w:type="dxa" w:w="3389"/>
            <w:vAlign w:val="top"/>
          </w:tcPr>
          <w:p>
            <w:pPr>
              <w:spacing w:after="40"/>
            </w:pPr>
            <w:r>
              <w:rPr>
                <w:rFonts w:ascii="Aptos" w:hAnsi="Aptos"/>
                <w:sz w:val="16"/>
              </w:rPr>
              <w:t>T1 - Execution spine</w:t>
            </w:r>
          </w:p>
        </w:tc>
        <w:tc>
          <w:tcPr>
            <w:tcW w:type="dxa" w:w="3389"/>
            <w:vAlign w:val="top"/>
          </w:tcPr>
          <w:p>
            <w:pPr>
              <w:spacing w:after="40"/>
            </w:pPr>
            <w:r>
              <w:rPr>
                <w:rFonts w:ascii="Aptos" w:hAnsi="Aptos"/>
                <w:sz w:val="16"/>
              </w:rPr>
              <w:t>Scheduler, Execution/Snapshot/Lease, worktree manager, AgentRuntime, ModelRouter, ToolGateway</w:t>
            </w:r>
          </w:p>
        </w:tc>
        <w:tc>
          <w:tcPr>
            <w:tcW w:type="dxa" w:w="3389"/>
            <w:vAlign w:val="top"/>
          </w:tcPr>
          <w:p>
            <w:pPr>
              <w:spacing w:after="40"/>
            </w:pPr>
            <w:r>
              <w:rPr>
                <w:rFonts w:ascii="Aptos" w:hAnsi="Aptos"/>
                <w:sz w:val="16"/>
              </w:rPr>
              <w:t>One live-LLM bounded Task produces an isolated candidate commit with persisted lineage</w:t>
            </w:r>
          </w:p>
        </w:tc>
      </w:tr>
      <w:tr>
        <w:tc>
          <w:tcPr>
            <w:tcW w:type="dxa" w:w="3389"/>
            <w:vAlign w:val="top"/>
          </w:tcPr>
          <w:p>
            <w:pPr>
              <w:spacing w:after="40"/>
            </w:pPr>
            <w:r>
              <w:rPr>
                <w:rFonts w:ascii="Aptos" w:hAnsi="Aptos"/>
                <w:sz w:val="16"/>
              </w:rPr>
              <w:t>T2 - Product/spec spine</w:t>
            </w:r>
          </w:p>
        </w:tc>
        <w:tc>
          <w:tcPr>
            <w:tcW w:type="dxa" w:w="3389"/>
            <w:vAlign w:val="top"/>
          </w:tcPr>
          <w:p>
            <w:pPr>
              <w:spacing w:after="40"/>
            </w:pPr>
            <w:r>
              <w:rPr>
                <w:rFonts w:ascii="Aptos" w:hAnsi="Aptos"/>
                <w:sz w:val="16"/>
              </w:rPr>
              <w:t>ProductSource, Capability/Feature/FeatureSpec/REQ/US/AC/ImplementationSpec, Kira/Atlas structured outputs</w:t>
            </w:r>
          </w:p>
        </w:tc>
        <w:tc>
          <w:tcPr>
            <w:tcW w:type="dxa" w:w="3389"/>
            <w:vAlign w:val="top"/>
          </w:tcPr>
          <w:p>
            <w:pPr>
              <w:spacing w:after="40"/>
            </w:pPr>
            <w:r>
              <w:rPr>
                <w:rFonts w:ascii="Aptos" w:hAnsi="Aptos"/>
                <w:sz w:val="16"/>
              </w:rPr>
              <w:t>Real PRD reaches approved structured product/spec model</w:t>
            </w:r>
          </w:p>
        </w:tc>
      </w:tr>
      <w:tr>
        <w:tc>
          <w:tcPr>
            <w:tcW w:type="dxa" w:w="3389"/>
            <w:vAlign w:val="top"/>
          </w:tcPr>
          <w:p>
            <w:pPr>
              <w:spacing w:after="40"/>
            </w:pPr>
            <w:r>
              <w:rPr>
                <w:rFonts w:ascii="Aptos" w:hAnsi="Aptos"/>
                <w:sz w:val="16"/>
              </w:rPr>
              <w:t>T3 - Greenfield vertical</w:t>
            </w:r>
          </w:p>
        </w:tc>
        <w:tc>
          <w:tcPr>
            <w:tcW w:type="dxa" w:w="3389"/>
            <w:vAlign w:val="top"/>
          </w:tcPr>
          <w:p>
            <w:pPr>
              <w:spacing w:after="40"/>
            </w:pPr>
            <w:r>
              <w:rPr>
                <w:rFonts w:ascii="Aptos" w:hAnsi="Aptos"/>
                <w:sz w:val="16"/>
              </w:rPr>
              <w:t>Task DAG, Forge, IntegrationCandidate, code index, SpecCodeLink, Warden/Sentinel, release eligibility</w:t>
            </w:r>
          </w:p>
        </w:tc>
        <w:tc>
          <w:tcPr>
            <w:tcW w:type="dxa" w:w="3389"/>
            <w:vAlign w:val="top"/>
          </w:tcPr>
          <w:p>
            <w:pPr>
              <w:spacing w:after="40"/>
            </w:pPr>
            <w:r>
              <w:rPr>
                <w:rFonts w:ascii="Aptos" w:hAnsi="Aptos"/>
                <w:sz w:val="16"/>
              </w:rPr>
              <w:t>ProductSource → verified Release R1 using live model calls</w:t>
            </w:r>
          </w:p>
        </w:tc>
      </w:tr>
      <w:tr>
        <w:tc>
          <w:tcPr>
            <w:tcW w:type="dxa" w:w="3389"/>
            <w:vAlign w:val="top"/>
          </w:tcPr>
          <w:p>
            <w:pPr>
              <w:spacing w:after="40"/>
            </w:pPr>
            <w:r>
              <w:rPr>
                <w:rFonts w:ascii="Aptos" w:hAnsi="Aptos"/>
                <w:sz w:val="16"/>
              </w:rPr>
              <w:t>T4 - Brownfield</w:t>
            </w:r>
          </w:p>
        </w:tc>
        <w:tc>
          <w:tcPr>
            <w:tcW w:type="dxa" w:w="3389"/>
            <w:vAlign w:val="top"/>
          </w:tcPr>
          <w:p>
            <w:pPr>
              <w:spacing w:after="40"/>
            </w:pPr>
            <w:r>
              <w:rPr>
                <w:rFonts w:ascii="Aptos" w:hAnsi="Aptos"/>
                <w:sz w:val="16"/>
              </w:rPr>
              <w:t>Repository discovery, canonical index, Scout, recovered specs, baseline/readiness</w:t>
            </w:r>
          </w:p>
        </w:tc>
        <w:tc>
          <w:tcPr>
            <w:tcW w:type="dxa" w:w="3389"/>
            <w:vAlign w:val="top"/>
          </w:tcPr>
          <w:p>
            <w:pPr>
              <w:spacing w:after="40"/>
            </w:pPr>
            <w:r>
              <w:rPr>
                <w:rFonts w:ascii="Aptos" w:hAnsi="Aptos"/>
                <w:sz w:val="16"/>
              </w:rPr>
              <w:t>Unknown R1 repo → trusted baseline → READY_FOR_CHANGE</w:t>
            </w:r>
          </w:p>
        </w:tc>
      </w:tr>
      <w:tr>
        <w:tc>
          <w:tcPr>
            <w:tcW w:type="dxa" w:w="3389"/>
            <w:vAlign w:val="top"/>
          </w:tcPr>
          <w:p>
            <w:pPr>
              <w:spacing w:after="40"/>
            </w:pPr>
            <w:r>
              <w:rPr>
                <w:rFonts w:ascii="Aptos" w:hAnsi="Aptos"/>
                <w:sz w:val="16"/>
              </w:rPr>
              <w:t>T5 - Change intelligence</w:t>
            </w:r>
          </w:p>
        </w:tc>
        <w:tc>
          <w:tcPr>
            <w:tcW w:type="dxa" w:w="3389"/>
            <w:vAlign w:val="top"/>
          </w:tcPr>
          <w:p>
            <w:pPr>
              <w:spacing w:after="40"/>
            </w:pPr>
            <w:r>
              <w:rPr>
                <w:rFonts w:ascii="Aptos" w:hAnsi="Aptos"/>
                <w:sz w:val="16"/>
              </w:rPr>
              <w:t>ChangeRequest, spec delta, impact traversal, incremental indexing</w:t>
            </w:r>
          </w:p>
        </w:tc>
        <w:tc>
          <w:tcPr>
            <w:tcW w:type="dxa" w:w="3389"/>
            <w:vAlign w:val="top"/>
          </w:tcPr>
          <w:p>
            <w:pPr>
              <w:spacing w:after="40"/>
            </w:pPr>
            <w:r>
              <w:rPr>
                <w:rFonts w:ascii="Aptos" w:hAnsi="Aptos"/>
                <w:sz w:val="16"/>
              </w:rPr>
              <w:t>Ticket priority change → safe delta → regression-safe R2</w:t>
            </w:r>
          </w:p>
        </w:tc>
      </w:tr>
      <w:tr>
        <w:tc>
          <w:tcPr>
            <w:tcW w:type="dxa" w:w="3389"/>
            <w:vAlign w:val="top"/>
          </w:tcPr>
          <w:p>
            <w:pPr>
              <w:spacing w:after="40"/>
            </w:pPr>
            <w:r>
              <w:rPr>
                <w:rFonts w:ascii="Aptos" w:hAnsi="Aptos"/>
                <w:sz w:val="16"/>
              </w:rPr>
              <w:t>T6 - Bug/repair</w:t>
            </w:r>
          </w:p>
        </w:tc>
        <w:tc>
          <w:tcPr>
            <w:tcW w:type="dxa" w:w="3389"/>
            <w:vAlign w:val="top"/>
          </w:tcPr>
          <w:p>
            <w:pPr>
              <w:spacing w:after="40"/>
            </w:pPr>
            <w:r>
              <w:rPr>
                <w:rFonts w:ascii="Aptos" w:hAnsi="Aptos"/>
                <w:sz w:val="16"/>
              </w:rPr>
              <w:t>Defect/reproduction, root cause, findings/remediation, targeted revalidation</w:t>
            </w:r>
          </w:p>
        </w:tc>
        <w:tc>
          <w:tcPr>
            <w:tcW w:type="dxa" w:w="3389"/>
            <w:vAlign w:val="top"/>
          </w:tcPr>
          <w:p>
            <w:pPr>
              <w:spacing w:after="40"/>
            </w:pPr>
            <w:r>
              <w:rPr>
                <w:rFonts w:ascii="Aptos" w:hAnsi="Aptos"/>
                <w:sz w:val="16"/>
              </w:rPr>
              <w:t>Closed-ticket failure → reproduced → repaired → regression-proven R3</w:t>
            </w:r>
          </w:p>
        </w:tc>
      </w:tr>
      <w:tr>
        <w:tc>
          <w:tcPr>
            <w:tcW w:type="dxa" w:w="3389"/>
            <w:vAlign w:val="top"/>
          </w:tcPr>
          <w:p>
            <w:pPr>
              <w:spacing w:after="40"/>
            </w:pPr>
            <w:r>
              <w:rPr>
                <w:rFonts w:ascii="Aptos" w:hAnsi="Aptos"/>
                <w:sz w:val="16"/>
              </w:rPr>
              <w:t>T7 - Integration hardening</w:t>
            </w:r>
          </w:p>
        </w:tc>
        <w:tc>
          <w:tcPr>
            <w:tcW w:type="dxa" w:w="3389"/>
            <w:vAlign w:val="top"/>
          </w:tcPr>
          <w:p>
            <w:pPr>
              <w:spacing w:after="40"/>
            </w:pPr>
            <w:r>
              <w:rPr>
                <w:rFonts w:ascii="Aptos" w:hAnsi="Aptos"/>
                <w:sz w:val="16"/>
              </w:rPr>
              <w:t>Inbound envelopes, Git/CI connector, idempotency/reconciliation, UI integration views</w:t>
            </w:r>
          </w:p>
        </w:tc>
        <w:tc>
          <w:tcPr>
            <w:tcW w:type="dxa" w:w="3389"/>
            <w:vAlign w:val="top"/>
          </w:tcPr>
          <w:p>
            <w:pPr>
              <w:spacing w:after="40"/>
            </w:pPr>
            <w:r>
              <w:rPr>
                <w:rFonts w:ascii="Aptos" w:hAnsi="Aptos"/>
                <w:sz w:val="16"/>
              </w:rPr>
              <w:t>Events/actions are traceable, safe to retry and linked to delivery/evidence</w:t>
            </w:r>
          </w:p>
        </w:tc>
      </w:tr>
      <w:tr>
        <w:tc>
          <w:tcPr>
            <w:tcW w:type="dxa" w:w="3389"/>
            <w:vAlign w:val="top"/>
          </w:tcPr>
          <w:p>
            <w:pPr>
              <w:spacing w:after="40"/>
            </w:pPr>
            <w:r>
              <w:rPr>
                <w:rFonts w:ascii="Aptos" w:hAnsi="Aptos"/>
                <w:sz w:val="16"/>
              </w:rPr>
              <w:t>T8 - Demo hardening</w:t>
            </w:r>
          </w:p>
        </w:tc>
        <w:tc>
          <w:tcPr>
            <w:tcW w:type="dxa" w:w="3389"/>
            <w:vAlign w:val="top"/>
          </w:tcPr>
          <w:p>
            <w:pPr>
              <w:spacing w:after="40"/>
            </w:pPr>
            <w:r>
              <w:rPr>
                <w:rFonts w:ascii="Aptos" w:hAnsi="Aptos"/>
                <w:sz w:val="16"/>
              </w:rPr>
              <w:t>Recovery, security, observability, Playwright E2E, docs/scripts</w:t>
            </w:r>
          </w:p>
        </w:tc>
        <w:tc>
          <w:tcPr>
            <w:tcW w:type="dxa" w:w="3389"/>
            <w:vAlign w:val="top"/>
          </w:tcPr>
          <w:p>
            <w:pPr>
              <w:spacing w:after="40"/>
            </w:pPr>
            <w:r>
              <w:rPr>
                <w:rFonts w:ascii="Aptos" w:hAnsi="Aptos"/>
                <w:sz w:val="16"/>
              </w:rPr>
              <w:t>Continuous four-journey demonstration passes from clean environment</w:t>
            </w:r>
          </w:p>
        </w:tc>
      </w:tr>
    </w:tbl>
    <w:p>
      <w:pPr>
        <w:pStyle w:val="Heading1"/>
      </w:pPr>
      <w:r>
        <w:t>29. Configuration and Deployment</w:t>
      </w:r>
    </w:p>
    <w:p>
      <w:pPr>
        <w:pStyle w:val="Heading2"/>
      </w:pPr>
      <w:r>
        <w:t>29.1 Environment configuration</w:t>
      </w:r>
    </w:p>
    <w:p>
      <w:pPr>
        <w:pStyle w:val="CodeBlock"/>
        <w:keepLines/>
        <w:shd w:fill="F3F5F7"/>
      </w:pPr>
      <w:r>
        <w:rPr>
          <w:rFonts w:ascii="Liberation Mono" w:hAnsi="Liberation Mono"/>
          <w:color w:val="243447"/>
          <w:sz w:val="16"/>
        </w:rPr>
        <w:t>DATABASE_URL=postgresql+psycopg://...</w:t>
        <w:br/>
        <w:t>OLYMPUS_STORAGE_ROOT=/var/lib/olympus</w:t>
        <w:br/>
        <w:t>OLYMPUS_WORKTREE_ROOT=/var/lib/olympus/worktrees</w:t>
        <w:br/>
        <w:t>MODEL_PROVIDER=anthropic|openai</w:t>
        <w:br/>
        <w:t>MODEL_DEFAULT=...</w:t>
        <w:br/>
        <w:t>ANTHROPIC_API_KEY=...   # if provider enabled</w:t>
        <w:br/>
        <w:t>OPENAI_API_KEY=...      # if provider enabled</w:t>
        <w:br/>
        <w:t>LLM_LIVE_TESTS=1</w:t>
        <w:br/>
        <w:t>LLM_TEST_BUDGET_USD=...</w:t>
        <w:br/>
        <w:t>GIT_PROVIDER=local|github|...</w:t>
        <w:br/>
        <w:t>OTEL_EXPORTER_OTLP_ENDPOINT=...</w:t>
        <w:br/>
      </w:r>
    </w:p>
    <w:p>
      <w:pPr>
        <w:pStyle w:val="Heading2"/>
      </w:pPr>
      <w:r>
        <w:t>29.2 Local development</w:t>
      </w:r>
    </w:p>
    <w:p>
      <w:r>
        <w:t>Docker Compose should start PostgreSQL, control-api and optional dashboard. Scheduler/execution workers can run as local processes or containers. Reference SupportDesk repository is mounted/registered as an external Git repository, not embedded into Olympus domain state.</w:t>
      </w:r>
    </w:p>
    <w:p>
      <w:pPr>
        <w:pStyle w:val="Heading2"/>
      </w:pPr>
      <w:r>
        <w:t>29.3 MVP deployment</w:t>
      </w:r>
    </w:p>
    <w:p>
      <w:r>
        <w:t>Deploy as containerized control-api + scheduler-worker + execution-worker + dashboard + PostgreSQL. Workers need filesystem/Git workspace storage. A later hardened topology can isolate workers and credential brokering more strongly without changing core contracts.</w:t>
      </w:r>
    </w:p>
    <w:p>
      <w:pPr>
        <w:pStyle w:val="Heading1"/>
      </w:pPr>
      <w:r>
        <w:t>30. Suggested Database Migration Order</w:t>
      </w:r>
    </w:p>
    <w:p>
      <w:pPr>
        <w:pStyle w:val="ListNumber"/>
      </w:pPr>
      <w:r>
        <w:t>001_projects_delivery_cycles</w:t>
      </w:r>
    </w:p>
    <w:p>
      <w:pPr>
        <w:pStyle w:val="ListNumber"/>
      </w:pPr>
      <w:r>
        <w:t>002_product_sources_capabilities_features</w:t>
      </w:r>
    </w:p>
    <w:p>
      <w:pPr>
        <w:pStyle w:val="ListNumber"/>
      </w:pPr>
      <w:r>
        <w:t>003_feature_specs_requirements_stories_acceptance</w:t>
      </w:r>
    </w:p>
    <w:p>
      <w:pPr>
        <w:pStyle w:val="ListNumber"/>
      </w:pPr>
      <w:r>
        <w:t>004_implementation_specs</w:t>
      </w:r>
    </w:p>
    <w:p>
      <w:pPr>
        <w:pStyle w:val="ListNumber"/>
      </w:pPr>
      <w:r>
        <w:t>005_tasks_dependencies_task_contracts</w:t>
      </w:r>
    </w:p>
    <w:p>
      <w:pPr>
        <w:pStyle w:val="ListNumber"/>
      </w:pPr>
      <w:r>
        <w:t>006_executions_snapshots_leases_artifacts</w:t>
      </w:r>
    </w:p>
    <w:p>
      <w:pPr>
        <w:pStyle w:val="ListNumber"/>
      </w:pPr>
      <w:r>
        <w:t>007_candidate_commits_integration_candidates</w:t>
      </w:r>
    </w:p>
    <w:p>
      <w:pPr>
        <w:pStyle w:val="ListNumber"/>
      </w:pPr>
      <w:r>
        <w:t>008_code_index_entities_relations_spec_links</w:t>
      </w:r>
    </w:p>
    <w:p>
      <w:pPr>
        <w:pStyle w:val="ListNumber"/>
      </w:pPr>
      <w:r>
        <w:t>009_behavioral_baselines_impact_change_defect</w:t>
      </w:r>
    </w:p>
    <w:p>
      <w:pPr>
        <w:pStyle w:val="ListNumber"/>
      </w:pPr>
      <w:r>
        <w:t>010_evidence_coverage_findings_gates</w:t>
      </w:r>
    </w:p>
    <w:p>
      <w:pPr>
        <w:pStyle w:val="ListNumber"/>
      </w:pPr>
      <w:r>
        <w:t>011_approvals_release_manifests</w:t>
      </w:r>
    </w:p>
    <w:p>
      <w:pPr>
        <w:pStyle w:val="ListNumber"/>
      </w:pPr>
      <w:r>
        <w:t>012_inbound_events_connector_actions_reconciliation</w:t>
      </w:r>
    </w:p>
    <w:p>
      <w:pPr>
        <w:pStyle w:val="ListNumber"/>
      </w:pPr>
      <w:r>
        <w:t>013_audit_domain_events_observability_metadata</w:t>
      </w:r>
    </w:p>
    <w:p>
      <w:pPr>
        <w:pStyle w:val="Heading1"/>
      </w:pPr>
      <w:r>
        <w:t>31. Mandatory Technical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pPr>
              <w:spacing w:after="40"/>
            </w:pPr>
            <w:r>
              <w:rPr>
                <w:rFonts w:ascii="Aptos" w:hAnsi="Aptos"/>
                <w:b/>
                <w:color w:val="FFFFFF"/>
                <w:sz w:val="16"/>
              </w:rPr>
              <w:t>Area</w:t>
            </w:r>
          </w:p>
        </w:tc>
        <w:tc>
          <w:tcPr>
            <w:tcW w:type="dxa" w:w="5083"/>
            <w:shd w:fill="17365D"/>
            <w:vAlign w:val="center"/>
          </w:tcPr>
          <w:p>
            <w:pPr>
              <w:spacing w:after="40"/>
            </w:pPr>
            <w:r>
              <w:rPr>
                <w:rFonts w:ascii="Aptos" w:hAnsi="Aptos"/>
                <w:b/>
                <w:color w:val="FFFFFF"/>
                <w:sz w:val="16"/>
              </w:rPr>
              <w:t>Acceptance criterion</w:t>
            </w:r>
          </w:p>
        </w:tc>
      </w:tr>
      <w:tr>
        <w:tc>
          <w:tcPr>
            <w:tcW w:type="dxa" w:w="5083"/>
            <w:vAlign w:val="top"/>
          </w:tcPr>
          <w:p>
            <w:pPr>
              <w:spacing w:after="40"/>
            </w:pPr>
            <w:r>
              <w:rPr>
                <w:rFonts w:ascii="Aptos" w:hAnsi="Aptos"/>
                <w:sz w:val="16"/>
              </w:rPr>
              <w:t>Canonical state</w:t>
            </w:r>
          </w:p>
        </w:tc>
        <w:tc>
          <w:tcPr>
            <w:tcW w:type="dxa" w:w="5083"/>
            <w:vAlign w:val="top"/>
          </w:tcPr>
          <w:p>
            <w:pPr>
              <w:spacing w:after="40"/>
            </w:pPr>
            <w:r>
              <w:rPr>
                <w:rFonts w:ascii="Aptos" w:hAnsi="Aptos"/>
                <w:sz w:val="16"/>
              </w:rPr>
              <w:t>Restarting/clearing AgentRuntime state does not lose Project, DeliveryCycle, Task, Execution, Evidence, Gate or Release truth.</w:t>
            </w:r>
          </w:p>
        </w:tc>
      </w:tr>
      <w:tr>
        <w:tc>
          <w:tcPr>
            <w:tcW w:type="dxa" w:w="5083"/>
            <w:vAlign w:val="top"/>
          </w:tcPr>
          <w:p>
            <w:pPr>
              <w:spacing w:after="40"/>
            </w:pPr>
            <w:r>
              <w:rPr>
                <w:rFonts w:ascii="Aptos" w:hAnsi="Aptos"/>
                <w:sz w:val="16"/>
              </w:rPr>
              <w:t>Live LLM</w:t>
            </w:r>
          </w:p>
        </w:tc>
        <w:tc>
          <w:tcPr>
            <w:tcW w:type="dxa" w:w="5083"/>
            <w:vAlign w:val="top"/>
          </w:tcPr>
          <w:p>
            <w:pPr>
              <w:spacing w:after="40"/>
            </w:pPr>
            <w:r>
              <w:rPr>
                <w:rFonts w:ascii="Aptos" w:hAnsi="Aptos"/>
                <w:sz w:val="16"/>
              </w:rPr>
              <w:t>All model-dependent stages in the four journey tests call a configured live provider; no canned successful responses are used as journey evidence.</w:t>
            </w:r>
          </w:p>
        </w:tc>
      </w:tr>
      <w:tr>
        <w:tc>
          <w:tcPr>
            <w:tcW w:type="dxa" w:w="5083"/>
            <w:vAlign w:val="top"/>
          </w:tcPr>
          <w:p>
            <w:pPr>
              <w:spacing w:after="40"/>
            </w:pPr>
            <w:r>
              <w:rPr>
                <w:rFonts w:ascii="Aptos" w:hAnsi="Aptos"/>
                <w:sz w:val="16"/>
              </w:rPr>
              <w:t>Planning</w:t>
            </w:r>
          </w:p>
        </w:tc>
        <w:tc>
          <w:tcPr>
            <w:tcW w:type="dxa" w:w="5083"/>
            <w:vAlign w:val="top"/>
          </w:tcPr>
          <w:p>
            <w:pPr>
              <w:spacing w:after="40"/>
            </w:pPr>
            <w:r>
              <w:rPr>
                <w:rFonts w:ascii="Aptos" w:hAnsi="Aptos"/>
                <w:sz w:val="16"/>
              </w:rPr>
              <w:t>Invalid/cyclic TaskPlan is rejected before Tasks become READY.</w:t>
            </w:r>
          </w:p>
        </w:tc>
      </w:tr>
      <w:tr>
        <w:tc>
          <w:tcPr>
            <w:tcW w:type="dxa" w:w="5083"/>
            <w:vAlign w:val="top"/>
          </w:tcPr>
          <w:p>
            <w:pPr>
              <w:spacing w:after="40"/>
            </w:pPr>
            <w:r>
              <w:rPr>
                <w:rFonts w:ascii="Aptos" w:hAnsi="Aptos"/>
                <w:sz w:val="16"/>
              </w:rPr>
              <w:t>Execution</w:t>
            </w:r>
          </w:p>
        </w:tc>
        <w:tc>
          <w:tcPr>
            <w:tcW w:type="dxa" w:w="5083"/>
            <w:vAlign w:val="top"/>
          </w:tcPr>
          <w:p>
            <w:pPr>
              <w:spacing w:after="40"/>
            </w:pPr>
            <w:r>
              <w:rPr>
                <w:rFonts w:ascii="Aptos" w:hAnsi="Aptos"/>
                <w:sz w:val="16"/>
              </w:rPr>
              <w:t>Every writable run has immutable TaskContract + Snapshot + isolated worktree + persisted candidate commit.</w:t>
            </w:r>
          </w:p>
        </w:tc>
      </w:tr>
      <w:tr>
        <w:tc>
          <w:tcPr>
            <w:tcW w:type="dxa" w:w="5083"/>
            <w:vAlign w:val="top"/>
          </w:tcPr>
          <w:p>
            <w:pPr>
              <w:spacing w:after="40"/>
            </w:pPr>
            <w:r>
              <w:rPr>
                <w:rFonts w:ascii="Aptos" w:hAnsi="Aptos"/>
                <w:sz w:val="16"/>
              </w:rPr>
              <w:t>Code intelligence</w:t>
            </w:r>
          </w:p>
        </w:tc>
        <w:tc>
          <w:tcPr>
            <w:tcW w:type="dxa" w:w="5083"/>
            <w:vAlign w:val="top"/>
          </w:tcPr>
          <w:p>
            <w:pPr>
              <w:spacing w:after="40"/>
            </w:pPr>
            <w:r>
              <w:rPr>
                <w:rFonts w:ascii="Aptos" w:hAnsi="Aptos"/>
                <w:sz w:val="16"/>
              </w:rPr>
              <w:t>Canonical index SHA equals the current IntegrationCandidate/Release SHA; SpecCodeLinks are queryable.</w:t>
            </w:r>
          </w:p>
        </w:tc>
      </w:tr>
      <w:tr>
        <w:tc>
          <w:tcPr>
            <w:tcW w:type="dxa" w:w="5083"/>
            <w:vAlign w:val="top"/>
          </w:tcPr>
          <w:p>
            <w:pPr>
              <w:spacing w:after="40"/>
            </w:pPr>
            <w:r>
              <w:rPr>
                <w:rFonts w:ascii="Aptos" w:hAnsi="Aptos"/>
                <w:sz w:val="16"/>
              </w:rPr>
              <w:t>Brownfield</w:t>
            </w:r>
          </w:p>
        </w:tc>
        <w:tc>
          <w:tcPr>
            <w:tcW w:type="dxa" w:w="5083"/>
            <w:vAlign w:val="top"/>
          </w:tcPr>
          <w:p>
            <w:pPr>
              <w:spacing w:after="40"/>
            </w:pPr>
            <w:r>
              <w:rPr>
                <w:rFonts w:ascii="Aptos" w:hAnsi="Aptos"/>
                <w:sz w:val="16"/>
              </w:rPr>
              <w:t>Facts/inferences/uncertainties are distinguishable and recovered intent is not silently promoted.</w:t>
            </w:r>
          </w:p>
        </w:tc>
      </w:tr>
      <w:tr>
        <w:tc>
          <w:tcPr>
            <w:tcW w:type="dxa" w:w="5083"/>
            <w:vAlign w:val="top"/>
          </w:tcPr>
          <w:p>
            <w:pPr>
              <w:spacing w:after="40"/>
            </w:pPr>
            <w:r>
              <w:rPr>
                <w:rFonts w:ascii="Aptos" w:hAnsi="Aptos"/>
                <w:sz w:val="16"/>
              </w:rPr>
              <w:t>Change</w:t>
            </w:r>
          </w:p>
        </w:tc>
        <w:tc>
          <w:tcPr>
            <w:tcW w:type="dxa" w:w="5083"/>
            <w:vAlign w:val="top"/>
          </w:tcPr>
          <w:p>
            <w:pPr>
              <w:spacing w:after="40"/>
            </w:pPr>
            <w:r>
              <w:rPr>
                <w:rFonts w:ascii="Aptos" w:hAnsi="Aptos"/>
                <w:sz w:val="16"/>
              </w:rPr>
              <w:t>Feature change selects impacted code/tests/baselines through persisted lineage/graph plus bounded semantic expansion.</w:t>
            </w:r>
          </w:p>
        </w:tc>
      </w:tr>
      <w:tr>
        <w:tc>
          <w:tcPr>
            <w:tcW w:type="dxa" w:w="5083"/>
            <w:vAlign w:val="top"/>
          </w:tcPr>
          <w:p>
            <w:pPr>
              <w:spacing w:after="40"/>
            </w:pPr>
            <w:r>
              <w:rPr>
                <w:rFonts w:ascii="Aptos" w:hAnsi="Aptos"/>
                <w:sz w:val="16"/>
              </w:rPr>
              <w:t>Bug</w:t>
            </w:r>
          </w:p>
        </w:tc>
        <w:tc>
          <w:tcPr>
            <w:tcW w:type="dxa" w:w="5083"/>
            <w:vAlign w:val="top"/>
          </w:tcPr>
          <w:p>
            <w:pPr>
              <w:spacing w:after="40"/>
            </w:pPr>
            <w:r>
              <w:rPr>
                <w:rFonts w:ascii="Aptos" w:hAnsi="Aptos"/>
                <w:sz w:val="16"/>
              </w:rPr>
              <w:t>Reproduction evidence exists before repair when feasible; expected behavior is explicit; original failure and relevant regressions pass after repair.</w:t>
            </w:r>
          </w:p>
        </w:tc>
      </w:tr>
      <w:tr>
        <w:tc>
          <w:tcPr>
            <w:tcW w:type="dxa" w:w="5083"/>
            <w:vAlign w:val="top"/>
          </w:tcPr>
          <w:p>
            <w:pPr>
              <w:spacing w:after="40"/>
            </w:pPr>
            <w:r>
              <w:rPr>
                <w:rFonts w:ascii="Aptos" w:hAnsi="Aptos"/>
                <w:sz w:val="16"/>
              </w:rPr>
              <w:t>Assurance</w:t>
            </w:r>
          </w:p>
        </w:tc>
        <w:tc>
          <w:tcPr>
            <w:tcW w:type="dxa" w:w="5083"/>
            <w:vAlign w:val="top"/>
          </w:tcPr>
          <w:p>
            <w:pPr>
              <w:spacing w:after="40"/>
            </w:pPr>
            <w:r>
              <w:rPr>
                <w:rFonts w:ascii="Aptos" w:hAnsi="Aptos"/>
                <w:sz w:val="16"/>
              </w:rPr>
              <w:t>Mandatory AC cannot be satisfied by model assertion alone when executable evidence is required.</w:t>
            </w:r>
          </w:p>
        </w:tc>
      </w:tr>
      <w:tr>
        <w:tc>
          <w:tcPr>
            <w:tcW w:type="dxa" w:w="5083"/>
            <w:vAlign w:val="top"/>
          </w:tcPr>
          <w:p>
            <w:pPr>
              <w:spacing w:after="40"/>
            </w:pPr>
            <w:r>
              <w:rPr>
                <w:rFonts w:ascii="Aptos" w:hAnsi="Aptos"/>
                <w:sz w:val="16"/>
              </w:rPr>
              <w:t>Release</w:t>
            </w:r>
          </w:p>
        </w:tc>
        <w:tc>
          <w:tcPr>
            <w:tcW w:type="dxa" w:w="5083"/>
            <w:vAlign w:val="top"/>
          </w:tcPr>
          <w:p>
            <w:pPr>
              <w:spacing w:after="40"/>
            </w:pPr>
            <w:r>
              <w:rPr>
                <w:rFonts w:ascii="Aptos" w:hAnsi="Aptos"/>
                <w:sz w:val="16"/>
              </w:rPr>
              <w:t>Release manifest points to exact integrated SHA verified by required gates.</w:t>
            </w:r>
          </w:p>
        </w:tc>
      </w:tr>
      <w:tr>
        <w:tc>
          <w:tcPr>
            <w:tcW w:type="dxa" w:w="5083"/>
            <w:vAlign w:val="top"/>
          </w:tcPr>
          <w:p>
            <w:pPr>
              <w:spacing w:after="40"/>
            </w:pPr>
            <w:r>
              <w:rPr>
                <w:rFonts w:ascii="Aptos" w:hAnsi="Aptos"/>
                <w:sz w:val="16"/>
              </w:rPr>
              <w:t>Inbound</w:t>
            </w:r>
          </w:p>
        </w:tc>
        <w:tc>
          <w:tcPr>
            <w:tcW w:type="dxa" w:w="5083"/>
            <w:vAlign w:val="top"/>
          </w:tcPr>
          <w:p>
            <w:pPr>
              <w:spacing w:after="40"/>
            </w:pPr>
            <w:r>
              <w:rPr>
                <w:rFonts w:ascii="Aptos" w:hAnsi="Aptos"/>
                <w:sz w:val="16"/>
              </w:rPr>
              <w:t>Events are authenticated/attributed, idempotent and source-version/correlation aware.</w:t>
            </w:r>
          </w:p>
        </w:tc>
      </w:tr>
      <w:tr>
        <w:tc>
          <w:tcPr>
            <w:tcW w:type="dxa" w:w="5083"/>
            <w:vAlign w:val="top"/>
          </w:tcPr>
          <w:p>
            <w:pPr>
              <w:spacing w:after="40"/>
            </w:pPr>
            <w:r>
              <w:rPr>
                <w:rFonts w:ascii="Aptos" w:hAnsi="Aptos"/>
                <w:sz w:val="16"/>
              </w:rPr>
              <w:t>Outbound</w:t>
            </w:r>
          </w:p>
        </w:tc>
        <w:tc>
          <w:tcPr>
            <w:tcW w:type="dxa" w:w="5083"/>
            <w:vAlign w:val="top"/>
          </w:tcPr>
          <w:p>
            <w:pPr>
              <w:spacing w:after="40"/>
            </w:pPr>
            <w:r>
              <w:rPr>
                <w:rFonts w:ascii="Aptos" w:hAnsi="Aptos"/>
                <w:sz w:val="16"/>
              </w:rPr>
              <w:t>External mutations cross ToolGateway, are policy/scope checked, idempotent and auditable.</w:t>
            </w:r>
          </w:p>
        </w:tc>
      </w:tr>
      <w:tr>
        <w:tc>
          <w:tcPr>
            <w:tcW w:type="dxa" w:w="5083"/>
            <w:vAlign w:val="top"/>
          </w:tcPr>
          <w:p>
            <w:pPr>
              <w:spacing w:after="40"/>
            </w:pPr>
            <w:r>
              <w:rPr>
                <w:rFonts w:ascii="Aptos" w:hAnsi="Aptos"/>
                <w:sz w:val="16"/>
              </w:rPr>
              <w:t>Recovery</w:t>
            </w:r>
          </w:p>
        </w:tc>
        <w:tc>
          <w:tcPr>
            <w:tcW w:type="dxa" w:w="5083"/>
            <w:vAlign w:val="top"/>
          </w:tcPr>
          <w:p>
            <w:pPr>
              <w:spacing w:after="40"/>
            </w:pPr>
            <w:r>
              <w:rPr>
                <w:rFonts w:ascii="Aptos" w:hAnsi="Aptos"/>
                <w:sz w:val="16"/>
              </w:rPr>
              <w:t>Worker crash/lease expiry/checkpoint/retry preserve complete immutable history.</w:t>
            </w:r>
          </w:p>
        </w:tc>
      </w:tr>
    </w:tbl>
    <w:p>
      <w:pPr>
        <w:pStyle w:val="Heading1"/>
      </w:pPr>
      <w:r>
        <w:t>32. Technical Definition of Done</w:t>
      </w:r>
    </w:p>
    <w:p>
      <w:pPr>
        <w:pStyle w:val="CodeBlock"/>
        <w:keepLines/>
        <w:shd w:fill="F3F5F7"/>
      </w:pPr>
      <w:r>
        <w:rPr>
          <w:rFonts w:ascii="Liberation Mono" w:hAnsi="Liberation Mono"/>
          <w:color w:val="243447"/>
          <w:sz w:val="16"/>
        </w:rPr>
        <w:t>TECHNICAL_MVP_COMPLETE =</w:t>
        <w:br/>
        <w:t xml:space="preserve">    greenfield_PRD_to_live_LLM_specs_to_verified_R1</w:t>
        <w:br/>
        <w:t xml:space="preserve">    AND brownfield_repo_to_live_LLM_recovered_specs_to_READY_FOR_CHANGE</w:t>
        <w:br/>
        <w:t xml:space="preserve">    AND feature_change_spec_delta_to_code_delta_to_regression_safe_R2</w:t>
        <w:br/>
        <w:t xml:space="preserve">    AND bug_reproduction_to_root_cause_to_regression_proven_R3</w:t>
        <w:br/>
        <w:t xml:space="preserve">    AND canonical_product_to_code_lineage_is_queryable</w:t>
        <w:br/>
        <w:t xml:space="preserve">    AND canonical_code_index_matches_verified_integration_sha</w:t>
        <w:br/>
        <w:t xml:space="preserve">    AND task_contract_snapshot_execution_history_is_reproducible</w:t>
        <w:br/>
        <w:t xml:space="preserve">    AND live_LLM_required_flows_do_not_depend_on_mock_outputs</w:t>
        <w:br/>
        <w:t xml:space="preserve">    AND inbound_events_are_authenticated_idempotent_and_traceable</w:t>
        <w:br/>
        <w:t xml:space="preserve">    AND outbound_actions_are_governed_idempotent_and_auditable</w:t>
        <w:br/>
        <w:t xml:space="preserve">    AND required_acceptance_evidence_exists</w:t>
        <w:br/>
        <w:t xml:space="preserve">    AND required_baselines_and_gates_pass</w:t>
        <w:br/>
        <w:t xml:space="preserve">    AND no_blocking_findings_remain</w:t>
        <w:br/>
        <w:t xml:space="preserve">    AND required_human_approvals_exist</w:t>
        <w:br/>
        <w:t xml:space="preserve">    AND release_manifest_points_to_exact_verified_candidate</w:t>
        <w:br/>
      </w:r>
    </w:p>
    <w:p>
      <w:r>
        <w:t>The technical proof is not that an LLM can write code. The proof is that Olympus can repeatedly transform product or engineering intent into controlled, traceable and evidence-backed software outcomes while preserving authoritative state outside the model runtime.</w:t>
      </w:r>
    </w:p>
    <w:p>
      <w:pPr>
        <w:pStyle w:val="Heading1"/>
      </w:pPr>
      <w:r>
        <w:t>Appendix A - Initial Agent Model Policy</w:t>
      </w:r>
    </w:p>
    <w:p>
      <w:r>
        <w:t>The core platform must not hard-code one named model. Configure model aliases by capability so the team can change providers/models without modifying domain logic.</w:t>
      </w:r>
    </w:p>
    <w:p>
      <w:pPr>
        <w:pStyle w:val="CodeBlock"/>
        <w:keepLines/>
        <w:shd w:fill="F3F5F7"/>
      </w:pPr>
      <w:r>
        <w:rPr>
          <w:rFonts w:ascii="Liberation Mono" w:hAnsi="Liberation Mono"/>
          <w:color w:val="243447"/>
          <w:sz w:val="16"/>
        </w:rPr>
        <w:t>model_policy:</w:t>
        <w:br/>
        <w:t xml:space="preserve">  product_decomposition: ${MODEL_PRODUCT_REASONING}</w:t>
        <w:br/>
        <w:t xml:space="preserve">  architecture: ${MODEL_ARCHITECTURE_REASONING}</w:t>
        <w:br/>
        <w:t xml:space="preserve">  repository_reasoning: ${MODEL_REPOSITORY_REASONING}</w:t>
        <w:br/>
        <w:t xml:space="preserve">  implementation: ${MODEL_CODE_IMPLEMENTATION}</w:t>
        <w:br/>
        <w:t xml:space="preserve">  review: ${MODEL_CODE_REVIEW}</w:t>
        <w:br/>
        <w:t xml:space="preserve">  verification_planning: ${MODEL_VERIFICATION}</w:t>
        <w:br/>
      </w:r>
    </w:p>
    <w:p>
      <w:r>
        <w:t>For MVP implementation, it is acceptable to point all aliases to one strong coding/reasoning model initially, then specialize after E2E correctness is proven.</w:t>
      </w:r>
    </w:p>
    <w:p>
      <w:pPr>
        <w:pStyle w:val="Heading1"/>
      </w:pPr>
      <w:r>
        <w:t>Appendix B - First Implementation Milestone Checklist</w:t>
      </w:r>
    </w:p>
    <w:p>
      <w:pPr>
        <w:pStyle w:val="ListBullet"/>
      </w:pPr>
      <w:r>
        <w:t>PostgreSQL + migrations start cleanly.</w:t>
      </w:r>
    </w:p>
    <w:p>
      <w:pPr>
        <w:pStyle w:val="ListBullet"/>
      </w:pPr>
      <w:r>
        <w:t>Project/DeliveryCycle/Task/TaskContract APIs work.</w:t>
      </w:r>
    </w:p>
    <w:p>
      <w:pPr>
        <w:pStyle w:val="ListBullet"/>
      </w:pPr>
      <w:r>
        <w:t>Illegal lifecycle transitions are rejected.</w:t>
      </w:r>
    </w:p>
    <w:p>
      <w:pPr>
        <w:pStyle w:val="ListBullet"/>
      </w:pPr>
      <w:r>
        <w:t>Scheduler creates one eligible Execution and lease.</w:t>
      </w:r>
    </w:p>
    <w:p>
      <w:pPr>
        <w:pStyle w:val="ListBullet"/>
      </w:pPr>
      <w:r>
        <w:t>Execution worker creates snapshot + isolated worktree.</w:t>
      </w:r>
    </w:p>
    <w:p>
      <w:pPr>
        <w:pStyle w:val="ListBullet"/>
      </w:pPr>
      <w:r>
        <w:t>ModelRouter performs a real structured-output call against configured provider.</w:t>
      </w:r>
    </w:p>
    <w:p>
      <w:pPr>
        <w:pStyle w:val="ListBullet"/>
      </w:pPr>
      <w:r>
        <w:t>Forge receives a real TaskContract, modifies the worktree and creates a candidate commit.</w:t>
      </w:r>
    </w:p>
    <w:p>
      <w:pPr>
        <w:pStyle w:val="ListBullet"/>
      </w:pPr>
      <w:r>
        <w:t>ToolGateway records every file/shell/test action used by Forge.</w:t>
      </w:r>
    </w:p>
    <w:p>
      <w:pPr>
        <w:pStyle w:val="ListBullet"/>
      </w:pPr>
      <w:r>
        <w:t>Candidate commit, model usage and execution history are visible in API/UI.</w:t>
      </w:r>
    </w:p>
    <w:p>
      <w:pPr>
        <w:pStyle w:val="ListBullet"/>
      </w:pPr>
      <w:r>
        <w:t>No mocked model output is used in this end-to-end milestone.</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OLYMPUS  |  MVP Technical Implementation Specification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5"/>
      </w:rPr>
      <w:t>OLYMPUS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B4BC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color w:val="1F293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02" w:right="115"/>
    </w:pPr>
    <w:rPr>
      <w:rFonts w:ascii="Liberation Mono" w:hAnsi="Liberation Mono"/>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