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44"/>
          <w:szCs w:val="44"/>
        </w:rPr>
        <w:t xml:space="preserve">THE GLASS SUBSTRATE PROTOCOL</w:t>
      </w:r>
    </w:p>
    <w:p>
      <w:pPr>
        <w:spacing w:after="120"/>
        <w:jc w:val="center"/>
      </w:pPr>
      <w:r>
        <w:rPr>
          <w:sz w:val="28"/>
          <w:szCs w:val="28"/>
        </w:rPr>
        <w:t xml:space="preserve">A Hardware-Enforced Framework for Transparent,</w:t>
      </w:r>
    </w:p>
    <w:p>
      <w:pPr>
        <w:spacing w:after="960"/>
        <w:jc w:val="center"/>
      </w:pPr>
      <w:r>
        <w:rPr>
          <w:sz w:val="28"/>
          <w:szCs w:val="28"/>
        </w:rPr>
        <w:t xml:space="preserve">Accountable, and Liability-Aligned AI Systems</w:t>
      </w:r>
    </w:p>
    <w:p>
      <w:pPr>
        <w:spacing w:after="480"/>
        <w:jc w:val="center"/>
      </w:pPr>
      <w:r>
        <w:rPr>
          <w:i/>
          <w:iCs/>
          <w:sz w:val="26"/>
          <w:szCs w:val="26"/>
        </w:rPr>
        <w:t xml:space="preserve">Comprehensive White Paper</w:t>
      </w:r>
    </w:p>
    <w:p>
      <w:pPr>
        <w:spacing w:after="120"/>
        <w:jc w:val="center"/>
      </w:pPr>
      <w:r>
        <w:rPr>
          <w:sz w:val="24"/>
          <w:szCs w:val="24"/>
        </w:rPr>
        <w:t xml:space="preserve">Author: Sierra N. Warren</w:t>
      </w:r>
    </w:p>
    <w:p>
      <w:pPr>
        <w:spacing w:after="120"/>
        <w:jc w:val="center"/>
      </w:pPr>
      <w:r>
        <w:rPr>
          <w:sz w:val="22"/>
          <w:szCs w:val="22"/>
        </w:rPr>
        <w:t xml:space="preserve">Organization: The Governing Board for AI Liability Oversight (G-BALO)</w:t>
      </w:r>
    </w:p>
    <w:p>
      <w:pPr>
        <w:spacing w:after="1440"/>
        <w:jc w:val="center"/>
      </w:pPr>
      <w:r>
        <w:rPr>
          <w:sz w:val="22"/>
          <w:szCs w:val="22"/>
        </w:rPr>
        <w:t xml:space="preserve">Date: February 2026</w:t>
      </w:r>
    </w:p>
    <w:p>
      <w:pPr>
        <w:spacing w:after="120"/>
        <w:jc w:val="center"/>
      </w:pPr>
      <w:r>
        <w:rPr>
          <w:i/>
          <w:iCs/>
          <w:sz w:val="20"/>
          <w:szCs w:val="20"/>
        </w:rPr>
        <w:t xml:space="preserve">© 2026 Sierra N. Warren. All Rights Reserved.</w:t>
      </w:r>
    </w:p>
    <w:p>
      <w:pPr>
        <w:jc w:val="center"/>
      </w:pPr>
      <w:r>
        <w:rPr>
          <w:i/>
          <w:iCs/>
          <w:sz w:val="18"/>
          <w:szCs w:val="18"/>
        </w:rPr>
        <w:t xml:space="preserve">GSP™, G-BALO™, and Sierra Certified™ are trademarks of Sierra Warren.</w:t>
      </w:r>
    </w:p>
    <w:p>
      <w:r>
        <w:br w:type="page"/>
      </w:r>
    </w:p>
    <w:p>
      <w:pPr>
        <w:pStyle w:val="Heading1"/>
      </w:pPr>
      <w:r>
        <w:t xml:space="preserve">Table of Contents</w:t>
      </w:r>
    </w:p>
    <w:sdt>
      <w:sdtPr>
        <w:alias w:val="Summary"/>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Current artificial intelligence systems operate within opaque computational pathways that obscure accountability, complicate liability attribution, and undermine public trust. The Glass Substrate Protocol (GSP) addresses these systemic failures through a hardware-enforced governance architecture that separates intelligence execution from ethical reasoning, enabling transparent, auditable, and legally defensible AI deployment.</w:t>
      </w:r>
    </w:p>
    <w:p>
      <w:pPr>
        <w:spacing w:after="200"/>
      </w:pPr>
      <w:r>
        <w:t xml:space="preserve">GSP introduces a novel architectural layer—the \"glass substrate\"—which functions as cryptographically-verified middleware between AI models and their operational environments. This substrate enforces immutable audit trails, real-time governance injection, and precise fault attribution without requiring model retraining or architectural modification of existing AI systems.</w:t>
      </w:r>
    </w:p>
    <w:p>
      <w:pPr>
        <w:spacing w:after="120"/>
      </w:pPr>
      <w:r>
        <w:rPr>
          <w:b/>
          <w:bCs/>
        </w:rPr>
        <w:t xml:space="preserve">Key Innovations:</w:t>
      </w:r>
    </w:p>
    <w:p>
      <w:pPr>
        <w:pStyle w:val="ListParagraph"/>
        <w:numPr>
          <w:ilvl w:val="0"/>
          <w:numId w:val="2"/>
        </w:numPr>
      </w:pPr>
      <w:r>
        <w:t xml:space="preserve">Hardware-enforced ethical governance layer operating independently of model weights</w:t>
      </w:r>
    </w:p>
    <w:p>
      <w:pPr>
        <w:pStyle w:val="ListParagraph"/>
        <w:numPr>
          <w:ilvl w:val="0"/>
          <w:numId w:val="2"/>
        </w:numPr>
      </w:pPr>
      <w:r>
        <w:t xml:space="preserve">Cryptographically-verified \"Moral Receipts\" providing immutable audit trails</w:t>
      </w:r>
    </w:p>
    <w:p>
      <w:pPr>
        <w:pStyle w:val="ListParagraph"/>
        <w:numPr>
          <w:ilvl w:val="0"/>
          <w:numId w:val="2"/>
        </w:numPr>
      </w:pPr>
      <w:r>
        <w:t xml:space="preserve">Write-Once-Read-Many (WORM) storage ensuring tamper-proof logging</w:t>
      </w:r>
    </w:p>
    <w:p>
      <w:pPr>
        <w:pStyle w:val="ListParagraph"/>
        <w:numPr>
          <w:ilvl w:val="0"/>
          <w:numId w:val="2"/>
        </w:numPr>
      </w:pPr>
      <w:r>
        <w:t xml:space="preserve">Reconstruction capability enabling post-hoc verification of system behavior</w:t>
      </w:r>
    </w:p>
    <w:p>
      <w:pPr>
        <w:pStyle w:val="ListParagraph"/>
        <w:numPr>
          <w:ilvl w:val="0"/>
          <w:numId w:val="2"/>
        </w:numPr>
      </w:pPr>
      <w:r>
        <w:t xml:space="preserve">Fault attribution mechanisms distinguishing user, system, and developer responsibility</w:t>
      </w:r>
    </w:p>
    <w:p>
      <w:pPr>
        <w:pStyle w:val="ListParagraph"/>
        <w:numPr>
          <w:ilvl w:val="0"/>
          <w:numId w:val="2"/>
        </w:numPr>
      </w:pPr>
      <w:r>
        <w:t xml:space="preserve">Sierra Certified™ compliance framework providing third-party validation</w:t>
      </w:r>
    </w:p>
    <w:p>
      <w:pPr>
        <w:spacing w:before="200" w:after="200"/>
      </w:pPr>
      <w:r>
        <w:t xml:space="preserve">The protocol operates under the governance of G-BALO (The Governing Board for AI Liability Oversight), an institutional framework designed to provide international standards, legal jurisprudence, and certification oversight for AI accountability. GSP was architected from inception to mature beyond founder authority through independent certification bodies, multi-stakeholder collaboration, and alignment with established standards organizations including NIST, IEEE, and ISO.</w:t>
      </w:r>
    </w:p>
    <w:p>
      <w:r>
        <w:t xml:space="preserve">This white paper presents the complete technical architecture, governance framework, implementation pathways, and institutional roadmap for the Glass Substrate Protocol.</w:t>
      </w:r>
    </w:p>
    <w:p>
      <w:r>
        <w:br w:type="page"/>
      </w:r>
    </w:p>
    <w:p>
      <w:pPr>
        <w:pStyle w:val="Heading1"/>
      </w:pPr>
      <w:r>
        <w:t xml:space="preserve">The AI Accountability Crisis</w:t>
      </w:r>
    </w:p>
    <w:p>
      <w:pPr>
        <w:pStyle w:val="Heading2"/>
      </w:pPr>
      <w:r>
        <w:t xml:space="preserve">Current State of AI Governance</w:t>
      </w:r>
    </w:p>
    <w:p>
      <w:pPr>
        <w:spacing w:after="120"/>
      </w:pPr>
      <w:r>
        <w:t xml:space="preserve">Contemporary AI systems present unprecedented challenges for accountability, transparency, and liability attribution. These challenges stem from fundamental architectural decisions that prioritize performance optimization over governance capabilities:</w:t>
      </w:r>
    </w:p>
    <w:p>
      <w:pPr>
        <w:pStyle w:val="ListParagraph"/>
        <w:numPr>
          <w:ilvl w:val="0"/>
          <w:numId w:val="2"/>
        </w:numPr>
      </w:pPr>
      <w:r>
        <w:rPr>
          <w:b/>
          <w:bCs/>
        </w:rPr>
        <w:t xml:space="preserve">Opaque Decision Pathways: </w:t>
      </w:r>
      <w:r>
        <w:t xml:space="preserve">Neural network architectures obscure the causal chain between inputs and outputs, making post-hoc analysis virtually impossible.</w:t>
      </w:r>
    </w:p>
    <w:p>
      <w:pPr>
        <w:pStyle w:val="ListParagraph"/>
        <w:numPr>
          <w:ilvl w:val="0"/>
          <w:numId w:val="2"/>
        </w:numPr>
      </w:pPr>
      <w:r>
        <w:rPr>
          <w:b/>
          <w:bCs/>
        </w:rPr>
        <w:t xml:space="preserve">Mutable System State: </w:t>
      </w:r>
      <w:r>
        <w:t xml:space="preserve">Absence of immutable logging enables evidence tampering and prevents reliable reconstruction of historical system behavior.</w:t>
      </w:r>
    </w:p>
    <w:p>
      <w:pPr>
        <w:pStyle w:val="ListParagraph"/>
        <w:numPr>
          <w:ilvl w:val="0"/>
          <w:numId w:val="2"/>
        </w:numPr>
      </w:pPr>
      <w:r>
        <w:rPr>
          <w:b/>
          <w:bCs/>
        </w:rPr>
        <w:t xml:space="preserve">Conflated Responsibility: </w:t>
      </w:r>
      <w:r>
        <w:t xml:space="preserve">Current architectures provide no mechanism to distinguish between user error, system malfunction, and developer negligence.</w:t>
      </w:r>
    </w:p>
    <w:p>
      <w:pPr>
        <w:pStyle w:val="ListParagraph"/>
        <w:numPr>
          <w:ilvl w:val="0"/>
          <w:numId w:val="2"/>
        </w:numPr>
      </w:pPr>
      <w:r>
        <w:rPr>
          <w:b/>
          <w:bCs/>
        </w:rPr>
        <w:t xml:space="preserve">Governance Through Retraining: </w:t>
      </w:r>
      <w:r>
        <w:t xml:space="preserve">Ethical adjustments require complete model retraining, creating prohibitive costs and deployment delays.</w:t>
      </w:r>
    </w:p>
    <w:p>
      <w:pPr>
        <w:pStyle w:val="ListParagraph"/>
        <w:numPr>
          <w:ilvl w:val="0"/>
          <w:numId w:val="2"/>
        </w:numPr>
      </w:pPr>
      <w:r>
        <w:rPr>
          <w:b/>
          <w:bCs/>
        </w:rPr>
        <w:t xml:space="preserve">Fragmented Standards: </w:t>
      </w:r>
      <w:r>
        <w:t xml:space="preserve">Lack of universal audit standards prevents cross-system verification and international regulatory alignment.</w:t>
      </w:r>
    </w:p>
    <w:p>
      <w:pPr>
        <w:pStyle w:val="Heading2"/>
        <w:spacing w:before="240"/>
      </w:pPr>
      <w:r>
        <w:t xml:space="preserve">Consequences of Current Approaches</w:t>
      </w:r>
    </w:p>
    <w:p>
      <w:pPr>
        <w:spacing w:after="120"/>
      </w:pPr>
      <w:r>
        <w:t xml:space="preserve">These architectural deficiencies produce systemic failures across legal, institutional, and operational domains:</w:t>
      </w:r>
    </w:p>
    <w:p>
      <w:pPr>
        <w:pStyle w:val="ListParagraph"/>
        <w:numPr>
          <w:ilvl w:val="0"/>
          <w:numId w:val="2"/>
        </w:numPr>
      </w:pPr>
      <w:r>
        <w:rPr>
          <w:b/>
          <w:bCs/>
        </w:rPr>
        <w:t xml:space="preserve">Legal Uncertainty: </w:t>
      </w:r>
      <w:r>
        <w:t xml:space="preserve">Courts cannot establish causation when system behavior cannot be reconstructed, leading to liability gaps and accountability voids.</w:t>
      </w:r>
    </w:p>
    <w:p>
      <w:pPr>
        <w:pStyle w:val="ListParagraph"/>
        <w:numPr>
          <w:ilvl w:val="0"/>
          <w:numId w:val="2"/>
        </w:numPr>
      </w:pPr>
      <w:r>
        <w:rPr>
          <w:b/>
          <w:bCs/>
        </w:rPr>
        <w:t xml:space="preserve">Regulatory Capture: </w:t>
      </w:r>
      <w:r>
        <w:t xml:space="preserve">Absence of verifiable audit trails forces regulators to rely on developer self-certification, enabling systematic regulatory evasion.</w:t>
      </w:r>
    </w:p>
    <w:p>
      <w:pPr>
        <w:pStyle w:val="ListParagraph"/>
        <w:numPr>
          <w:ilvl w:val="0"/>
          <w:numId w:val="2"/>
        </w:numPr>
      </w:pPr>
      <w:r>
        <w:rPr>
          <w:b/>
          <w:bCs/>
        </w:rPr>
        <w:t xml:space="preserve">Public Distrust: </w:t>
      </w:r>
      <w:r>
        <w:t xml:space="preserve">Opaque systems undermine democratic accountability and erode public confidence in AI deployment.</w:t>
      </w:r>
    </w:p>
    <w:p>
      <w:pPr>
        <w:pStyle w:val="ListParagraph"/>
        <w:numPr>
          <w:ilvl w:val="0"/>
          <w:numId w:val="2"/>
        </w:numPr>
      </w:pPr>
      <w:r>
        <w:rPr>
          <w:b/>
          <w:bCs/>
        </w:rPr>
        <w:t xml:space="preserve">Market Fragmentation: </w:t>
      </w:r>
      <w:r>
        <w:t xml:space="preserve">Incompatible governance approaches prevent international cooperation and create regulatory arbitrage opportunities.</w:t>
      </w:r>
    </w:p>
    <w:p>
      <w:pPr>
        <w:pStyle w:val="ListParagraph"/>
        <w:numPr>
          <w:ilvl w:val="0"/>
          <w:numId w:val="2"/>
        </w:numPr>
      </w:pPr>
      <w:r>
        <w:rPr>
          <w:b/>
          <w:bCs/>
        </w:rPr>
        <w:t xml:space="preserve">Innovation Constraints: </w:t>
      </w:r>
      <w:r>
        <w:t xml:space="preserve">Risk-averse institutions delay AI adoption due to liability exposure, suppressing beneficial applications.</w:t>
      </w:r>
    </w:p>
    <w:p>
      <w:pPr>
        <w:pStyle w:val="Heading2"/>
        <w:spacing w:before="240"/>
      </w:pPr>
      <w:r>
        <w:t xml:space="preserve">Required Solution Characteristics</w:t>
      </w:r>
    </w:p>
    <w:p>
      <w:pPr>
        <w:spacing w:after="120"/>
      </w:pPr>
      <w:r>
        <w:t xml:space="preserve">Effective AI governance requires architectural solutions that provide:</w:t>
      </w:r>
    </w:p>
    <w:p>
      <w:pPr>
        <w:pStyle w:val="ListParagraph"/>
        <w:numPr>
          <w:ilvl w:val="0"/>
          <w:numId w:val="2"/>
        </w:numPr>
      </w:pPr>
      <w:r>
        <w:rPr>
          <w:b/>
          <w:bCs/>
        </w:rPr>
        <w:t xml:space="preserve">Hardware-Level Enforcement: </w:t>
      </w:r>
      <w:r>
        <w:t xml:space="preserve">Governance that cannot be circumvented through software modification</w:t>
      </w:r>
    </w:p>
    <w:p>
      <w:pPr>
        <w:pStyle w:val="ListParagraph"/>
        <w:numPr>
          <w:ilvl w:val="0"/>
          <w:numId w:val="2"/>
        </w:numPr>
      </w:pPr>
      <w:r>
        <w:rPr>
          <w:b/>
          <w:bCs/>
        </w:rPr>
        <w:t xml:space="preserve">Cryptographic Verification: </w:t>
      </w:r>
      <w:r>
        <w:t xml:space="preserve">Tamper-proof audit trails with mathematical verification guarantees</w:t>
      </w:r>
    </w:p>
    <w:p>
      <w:pPr>
        <w:pStyle w:val="ListParagraph"/>
        <w:numPr>
          <w:ilvl w:val="0"/>
          <w:numId w:val="2"/>
        </w:numPr>
      </w:pPr>
      <w:r>
        <w:rPr>
          <w:b/>
          <w:bCs/>
        </w:rPr>
        <w:t xml:space="preserve">Model Independence: </w:t>
      </w:r>
      <w:r>
        <w:t xml:space="preserve">Governance mechanisms that operate without requiring model architecture modification</w:t>
      </w:r>
    </w:p>
    <w:p>
      <w:pPr>
        <w:pStyle w:val="ListParagraph"/>
        <w:numPr>
          <w:ilvl w:val="0"/>
          <w:numId w:val="2"/>
        </w:numPr>
      </w:pPr>
      <w:r>
        <w:rPr>
          <w:b/>
          <w:bCs/>
        </w:rPr>
        <w:t xml:space="preserve">Retroactive Reconstruction: </w:t>
      </w:r>
      <w:r>
        <w:t xml:space="preserve">Ability to precisely replay system behavior for litigation and regulatory review</w:t>
      </w:r>
    </w:p>
    <w:p>
      <w:pPr>
        <w:pStyle w:val="ListParagraph"/>
        <w:numPr>
          <w:ilvl w:val="0"/>
          <w:numId w:val="2"/>
        </w:numPr>
      </w:pPr>
      <w:r>
        <w:rPr>
          <w:b/>
          <w:bCs/>
        </w:rPr>
        <w:t xml:space="preserve">Liability Clarity: </w:t>
      </w:r>
      <w:r>
        <w:t xml:space="preserve">Mechanisms to distinguish and attribute responsibility across stakeholders</w:t>
      </w:r>
    </w:p>
    <w:p>
      <w:pPr>
        <w:pStyle w:val="ListParagraph"/>
        <w:numPr>
          <w:ilvl w:val="0"/>
          <w:numId w:val="2"/>
        </w:numPr>
      </w:pPr>
      <w:r>
        <w:rPr>
          <w:b/>
          <w:bCs/>
        </w:rPr>
        <w:t xml:space="preserve">International Standards Alignment: </w:t>
      </w:r>
      <w:r>
        <w:t xml:space="preserve">Compatibility with emerging global AI governance frameworks</w:t>
      </w:r>
    </w:p>
    <w:p>
      <w:pPr>
        <w:spacing w:before="240" w:after="200"/>
      </w:pPr>
      <w:r>
        <w:t xml:space="preserve">The Glass Substrate Protocol was designed to meet all of these requirements through a unified hardware-enforced architecture.</w:t>
      </w:r>
    </w:p>
    <w:p>
      <w:r>
        <w:br w:type="page"/>
      </w:r>
    </w:p>
    <w:p>
      <w:pPr>
        <w:pStyle w:val="Heading1"/>
      </w:pPr>
      <w:r>
        <w:t xml:space="preserve">Technical Architecture</w:t>
      </w:r>
    </w:p>
    <w:p>
      <w:pPr>
        <w:pStyle w:val="Heading2"/>
      </w:pPr>
      <w:r>
        <w:t xml:space="preserve">Core Architectural Principles</w:t>
      </w:r>
    </w:p>
    <w:p>
      <w:r>
        <w:t xml:space="preserve">The Glass Substrate Protocol implements a novel separation of concerns, introducing an independent governance layer between AI models and their operational environments. This architecture enables ethical oversight, compliance enforcement, and liability attribution without modifying underlying model implementations.</w:t>
      </w:r>
    </w:p>
    <w:p>
      <w:pPr>
        <w:pStyle w:val="Heading3"/>
        <w:spacing w:before="240"/>
      </w:pPr>
      <w:r>
        <w:t xml:space="preserve">Layer Separation Architecture</w:t>
      </w:r>
    </w:p>
    <w:p>
      <w:pPr>
        <w:spacing w:after="120"/>
      </w:pPr>
      <w:r>
        <w:t xml:space="preserve">GSP introduces three distinct operational layers:</w:t>
      </w:r>
    </w:p>
    <w:p>
      <w:pPr>
        <w:pStyle w:val="ListParagraph"/>
        <w:numPr>
          <w:ilvl w:val="0"/>
          <w:numId w:val="2"/>
        </w:numPr>
      </w:pPr>
      <w:r>
        <w:rPr>
          <w:b/>
          <w:bCs/>
        </w:rPr>
        <w:t xml:space="preserve">Intelligence Execution Layer: </w:t>
      </w:r>
      <w:r>
        <w:t xml:space="preserve">The AI model itself, responsible for inference, prediction, and decision generation. This layer remains architecturally unchanged, preserving existing model performance and capabilities.</w:t>
      </w:r>
    </w:p>
    <w:p>
      <w:pPr>
        <w:pStyle w:val="ListParagraph"/>
        <w:numPr>
          <w:ilvl w:val="0"/>
          <w:numId w:val="2"/>
        </w:numPr>
      </w:pPr>
      <w:r>
        <w:rPr>
          <w:b/>
          <w:bCs/>
        </w:rPr>
        <w:t xml:space="preserve">Glass Substrate Layer: </w:t>
      </w:r>
      <w:r>
        <w:t xml:space="preserve">Hardware-enforced middleware providing governance injection, audit trail generation, and compliance verification. This layer operates independently of model weights and cannot be bypassed through software modification.</w:t>
      </w:r>
    </w:p>
    <w:p>
      <w:pPr>
        <w:pStyle w:val="ListParagraph"/>
        <w:numPr>
          <w:ilvl w:val="0"/>
          <w:numId w:val="2"/>
        </w:numPr>
      </w:pPr>
      <w:r>
        <w:rPr>
          <w:b/>
          <w:bCs/>
        </w:rPr>
        <w:t xml:space="preserve">Evidence Infrastructure Layer: </w:t>
      </w:r>
      <w:r>
        <w:t xml:space="preserve">Immutable storage substrate utilizing Write-Once-Read-Many (WORM) protocols to ensure tamper-proof preservation of audit trails, system states, and governance decisions.</w:t>
      </w:r>
    </w:p>
    <w:p>
      <w:pPr>
        <w:pStyle w:val="Heading3"/>
        <w:spacing w:before="240"/>
      </w:pPr>
      <w:r>
        <w:t xml:space="preserve">Cryptographic Attestation System</w:t>
      </w:r>
    </w:p>
    <w:p>
      <w:pPr>
        <w:spacing w:after="120"/>
      </w:pPr>
      <w:r>
        <w:t xml:space="preserve">Every interaction with a GSP-governed AI system generates a cryptographically-verified attestation (\"Moral Receipt\") containing:</w:t>
      </w:r>
    </w:p>
    <w:p>
      <w:pPr>
        <w:pStyle w:val="ListParagraph"/>
        <w:numPr>
          <w:ilvl w:val="0"/>
          <w:numId w:val="2"/>
        </w:numPr>
      </w:pPr>
      <w:r>
        <w:t xml:space="preserve">Unique user identifier</w:t>
      </w:r>
    </w:p>
    <w:p>
      <w:pPr>
        <w:pStyle w:val="ListParagraph"/>
        <w:numPr>
          <w:ilvl w:val="0"/>
          <w:numId w:val="2"/>
        </w:numPr>
      </w:pPr>
      <w:r>
        <w:t xml:space="preserve">Timestamped action descriptor</w:t>
      </w:r>
    </w:p>
    <w:p>
      <w:pPr>
        <w:pStyle w:val="ListParagraph"/>
        <w:numPr>
          <w:ilvl w:val="0"/>
          <w:numId w:val="2"/>
        </w:numPr>
      </w:pPr>
      <w:r>
        <w:t xml:space="preserve">Complete context metadata</w:t>
      </w:r>
    </w:p>
    <w:p>
      <w:pPr>
        <w:pStyle w:val="ListParagraph"/>
        <w:numPr>
          <w:ilvl w:val="0"/>
          <w:numId w:val="2"/>
        </w:numPr>
      </w:pPr>
      <w:r>
        <w:t xml:space="preserve">SHA-256 cryptographic hash of the complete payload</w:t>
      </w:r>
    </w:p>
    <w:p>
      <w:pPr>
        <w:pStyle w:val="ListParagraph"/>
        <w:numPr>
          <w:ilvl w:val="0"/>
          <w:numId w:val="2"/>
        </w:numPr>
      </w:pPr>
      <w:r>
        <w:t xml:space="preserve">Chain linkage to previous attestations</w:t>
      </w:r>
    </w:p>
    <w:p>
      <w:pPr>
        <w:spacing w:before="200" w:after="200"/>
      </w:pPr>
      <w:r>
        <w:t xml:space="preserve">Attestations form an immutable hash-chain where each entry cryptographically links to its predecessor, creating a verifiable chronological record immune to tampering or selective deletion.</w:t>
      </w:r>
    </w:p>
    <w:p>
      <w:pPr>
        <w:pStyle w:val="Heading2"/>
      </w:pPr>
      <w:r>
        <w:t xml:space="preserve">Implementation Components</w:t>
      </w:r>
    </w:p>
    <w:p>
      <w:pPr>
        <w:pStyle w:val="Heading3"/>
        <w:spacing w:before="240"/>
      </w:pPr>
      <w:r>
        <w:t xml:space="preserve">Write-Once-Read-Many (WORM) Storage</w:t>
      </w:r>
    </w:p>
    <w:p>
      <w:r>
        <w:t xml:space="preserve">GSP leverages cloud infrastructure with object-level immutability guarantees to create tamper-proof evidence substrates. Reference implementations utilize AWS S3 Object Lock in GOVERNANCE mode with configurable retention periods (default: 365 days).</w:t>
      </w:r>
    </w:p>
    <w:p>
      <w:pPr>
        <w:spacing w:before="200"/>
      </w:pPr>
      <w:r>
        <w:rPr>
          <w:b/>
          <w:bCs/>
        </w:rPr>
        <w:t xml:space="preserve">Storage Configuration:</w:t>
      </w:r>
    </w:p>
    <w:p>
      <w:pPr>
        <w:pStyle w:val="ListParagraph"/>
        <w:numPr>
          <w:ilvl w:val="0"/>
          <w:numId w:val="2"/>
        </w:numPr>
      </w:pPr>
      <w:r>
        <w:t xml:space="preserve">Object Lock enabled at bucket creation</w:t>
      </w:r>
    </w:p>
    <w:p>
      <w:pPr>
        <w:pStyle w:val="ListParagraph"/>
        <w:numPr>
          <w:ilvl w:val="0"/>
          <w:numId w:val="2"/>
        </w:numPr>
      </w:pPr>
      <w:r>
        <w:t xml:space="preserve">Versioning mandatory for all objects</w:t>
      </w:r>
    </w:p>
    <w:p>
      <w:pPr>
        <w:pStyle w:val="ListParagraph"/>
        <w:numPr>
          <w:ilvl w:val="0"/>
          <w:numId w:val="2"/>
        </w:numPr>
      </w:pPr>
      <w:r>
        <w:t xml:space="preserve">KMS encryption for data at rest</w:t>
      </w:r>
    </w:p>
    <w:p>
      <w:pPr>
        <w:pStyle w:val="ListParagraph"/>
        <w:numPr>
          <w:ilvl w:val="0"/>
          <w:numId w:val="2"/>
        </w:numPr>
      </w:pPr>
      <w:r>
        <w:t xml:space="preserve">Public access completely blocked</w:t>
      </w:r>
    </w:p>
    <w:p>
      <w:pPr>
        <w:pStyle w:val="ListParagraph"/>
        <w:numPr>
          <w:ilvl w:val="0"/>
          <w:numId w:val="2"/>
        </w:numPr>
      </w:pPr>
      <w:r>
        <w:t xml:space="preserve">Default retention policies preventing premature deletion</w:t>
      </w:r>
    </w:p>
    <w:p>
      <w:pPr>
        <w:pStyle w:val="Heading3"/>
        <w:spacing w:before="240"/>
      </w:pPr>
      <w:r>
        <w:t xml:space="preserve">CloudTrail Integration</w:t>
      </w:r>
    </w:p>
    <w:p>
      <w:pPr>
        <w:spacing w:after="120"/>
      </w:pPr>
      <w:r>
        <w:t xml:space="preserve">GSP implementations integrate with AWS CloudTrail to create comprehensive audit trails of all system interactions:</w:t>
      </w:r>
    </w:p>
    <w:p>
      <w:pPr>
        <w:pStyle w:val="ListParagraph"/>
        <w:numPr>
          <w:ilvl w:val="0"/>
          <w:numId w:val="2"/>
        </w:numPr>
      </w:pPr>
      <w:r>
        <w:t xml:space="preserve">Multi-region trail coverage</w:t>
      </w:r>
    </w:p>
    <w:p>
      <w:pPr>
        <w:pStyle w:val="ListParagraph"/>
        <w:numPr>
          <w:ilvl w:val="0"/>
          <w:numId w:val="2"/>
        </w:numPr>
      </w:pPr>
      <w:r>
        <w:t xml:space="preserve">Global service event capture</w:t>
      </w:r>
    </w:p>
    <w:p>
      <w:pPr>
        <w:pStyle w:val="ListParagraph"/>
        <w:numPr>
          <w:ilvl w:val="0"/>
          <w:numId w:val="2"/>
        </w:numPr>
      </w:pPr>
      <w:r>
        <w:t xml:space="preserve">Log file validation enabled</w:t>
      </w:r>
    </w:p>
    <w:p>
      <w:pPr>
        <w:pStyle w:val="ListParagraph"/>
        <w:numPr>
          <w:ilvl w:val="0"/>
          <w:numId w:val="2"/>
        </w:numPr>
      </w:pPr>
      <w:r>
        <w:t xml:space="preserve">KMS-encrypted log files</w:t>
      </w:r>
    </w:p>
    <w:p>
      <w:pPr>
        <w:pStyle w:val="ListParagraph"/>
        <w:numPr>
          <w:ilvl w:val="0"/>
          <w:numId w:val="2"/>
        </w:numPr>
      </w:pPr>
      <w:r>
        <w:t xml:space="preserve">Automatic delivery to WORM storage</w:t>
      </w:r>
    </w:p>
    <w:p>
      <w:pPr>
        <w:pStyle w:val="Heading3"/>
        <w:spacing w:before="240"/>
      </w:pPr>
      <w:r>
        <w:t xml:space="preserve">Compliance Monitoring</w:t>
      </w:r>
    </w:p>
    <w:p>
      <w:pPr>
        <w:spacing w:after="120"/>
      </w:pPr>
      <w:r>
        <w:t xml:space="preserve">AWS Config provides continuous compliance assessment against GSP requirements:</w:t>
      </w:r>
    </w:p>
    <w:p>
      <w:pPr>
        <w:pStyle w:val="ListParagraph"/>
        <w:numPr>
          <w:ilvl w:val="0"/>
          <w:numId w:val="2"/>
        </w:numPr>
      </w:pPr>
      <w:r>
        <w:t xml:space="preserve">Automated verification of encryption status</w:t>
      </w:r>
    </w:p>
    <w:p>
      <w:pPr>
        <w:pStyle w:val="ListParagraph"/>
        <w:numPr>
          <w:ilvl w:val="0"/>
          <w:numId w:val="2"/>
        </w:numPr>
      </w:pPr>
      <w:r>
        <w:t xml:space="preserve">Object Lock configuration monitoring</w:t>
      </w:r>
    </w:p>
    <w:p>
      <w:pPr>
        <w:pStyle w:val="ListParagraph"/>
        <w:numPr>
          <w:ilvl w:val="0"/>
          <w:numId w:val="2"/>
        </w:numPr>
      </w:pPr>
      <w:r>
        <w:t xml:space="preserve">Public access policy validation</w:t>
      </w:r>
    </w:p>
    <w:p>
      <w:pPr>
        <w:pStyle w:val="ListParagraph"/>
        <w:numPr>
          <w:ilvl w:val="0"/>
          <w:numId w:val="2"/>
        </w:numPr>
      </w:pPr>
      <w:r>
        <w:t xml:space="preserve">Continuous drift detection</w:t>
      </w:r>
    </w:p>
    <w:p>
      <w:pPr>
        <w:pStyle w:val="ListParagraph"/>
        <w:numPr>
          <w:ilvl w:val="0"/>
          <w:numId w:val="2"/>
        </w:numPr>
      </w:pPr>
      <w:r>
        <w:t xml:space="preserve">Automated remediation triggers</w:t>
      </w:r>
    </w:p>
    <w:p>
      <w:pPr>
        <w:pStyle w:val="Heading2"/>
      </w:pPr>
      <w:r>
        <w:t xml:space="preserve">Reconstruction Capability</w:t>
      </w:r>
    </w:p>
    <w:p>
      <w:pPr>
        <w:spacing w:after="120"/>
      </w:pPr>
      <w:r>
        <w:t xml:space="preserve">A defining characteristic of GSP is the ability to precisely reconstruct system behavior for any historical time period. This reconstruction capability operates through:</w:t>
      </w:r>
    </w:p>
    <w:p>
      <w:pPr>
        <w:pStyle w:val="ListParagraph"/>
        <w:numPr>
          <w:ilvl w:val="0"/>
          <w:numId w:val="2"/>
        </w:numPr>
      </w:pPr>
      <w:r>
        <w:rPr>
          <w:b/>
          <w:bCs/>
        </w:rPr>
        <w:t xml:space="preserve">Complete State Capture: </w:t>
      </w:r>
      <w:r>
        <w:t xml:space="preserve">Every system interaction, configuration change, and governance decision is recorded with full context.</w:t>
      </w:r>
    </w:p>
    <w:p>
      <w:pPr>
        <w:pStyle w:val="ListParagraph"/>
        <w:numPr>
          <w:ilvl w:val="0"/>
          <w:numId w:val="2"/>
        </w:numPr>
      </w:pPr>
      <w:r>
        <w:rPr>
          <w:b/>
          <w:bCs/>
        </w:rPr>
        <w:t xml:space="preserve">Temporal Coherence: </w:t>
      </w:r>
      <w:r>
        <w:t xml:space="preserve">Cryptographic timestamps enable precise chronological ordering of all events.</w:t>
      </w:r>
    </w:p>
    <w:p>
      <w:pPr>
        <w:pStyle w:val="ListParagraph"/>
        <w:numPr>
          <w:ilvl w:val="0"/>
          <w:numId w:val="2"/>
        </w:numPr>
      </w:pPr>
      <w:r>
        <w:rPr>
          <w:b/>
          <w:bCs/>
        </w:rPr>
        <w:t xml:space="preserve">Hash-Chain Verification: </w:t>
      </w:r>
      <w:r>
        <w:t xml:space="preserve">Cryptographic linkages between attestations prove completeness and detect tampering attempts.</w:t>
      </w:r>
    </w:p>
    <w:p>
      <w:pPr>
        <w:pStyle w:val="ListParagraph"/>
        <w:numPr>
          <w:ilvl w:val="0"/>
          <w:numId w:val="2"/>
        </w:numPr>
      </w:pPr>
      <w:r>
        <w:rPr>
          <w:b/>
          <w:bCs/>
        </w:rPr>
        <w:t xml:space="preserve">Immutability Guarantees: </w:t>
      </w:r>
      <w:r>
        <w:t xml:space="preserve">WORM storage prevents retroactive modification of evidence.</w:t>
      </w:r>
    </w:p>
    <w:p>
      <w:pPr>
        <w:spacing w:before="200"/>
      </w:pPr>
      <w:r>
        <w:t xml:space="preserve">This reconstruction capability enables regulators, courts, and auditors to definitively answer questions about system behavior that would be impossible to resolve in traditional AI architectures.</w:t>
      </w:r>
    </w:p>
    <w:p>
      <w:r>
        <w:br w:type="page"/>
      </w:r>
    </w:p>
    <w:p>
      <w:pPr>
        <w:pStyle w:val="Heading1"/>
      </w:pPr>
      <w:r>
        <w:t xml:space="preserve">Governance Framework: G-BALO</w:t>
      </w:r>
    </w:p>
    <w:p>
      <w:pPr>
        <w:pStyle w:val="Heading2"/>
      </w:pPr>
      <w:r>
        <w:t xml:space="preserve">The Governing Board for AI Liability Oversight</w:t>
      </w:r>
    </w:p>
    <w:p>
      <w:r>
        <w:t xml:space="preserve">G-BALO (The Governing Board for AI Liability Oversight) provides the institutional foundation for GSP certification, standards development, and international governance. G-BALO was designed from inception to function as an independent standards body, operating through multi-stakeholder collaboration rather than centralized control.</w:t>
      </w:r>
    </w:p>
    <w:p>
      <w:pPr>
        <w:pStyle w:val="Heading3"/>
        <w:spacing w:before="240"/>
      </w:pPr>
      <w:r>
        <w:t xml:space="preserve">Institutional Mission</w:t>
      </w:r>
    </w:p>
    <w:p>
      <w:pPr>
        <w:spacing w:after="120"/>
      </w:pPr>
      <w:r>
        <w:t xml:space="preserve">G-BALO's mission encompasses:</w:t>
      </w:r>
    </w:p>
    <w:p>
      <w:pPr>
        <w:pStyle w:val="ListParagraph"/>
        <w:numPr>
          <w:ilvl w:val="0"/>
          <w:numId w:val="2"/>
        </w:numPr>
      </w:pPr>
      <w:r>
        <w:t xml:space="preserve">Development and maintenance of GSP technical standards</w:t>
      </w:r>
    </w:p>
    <w:p>
      <w:pPr>
        <w:pStyle w:val="ListParagraph"/>
        <w:numPr>
          <w:ilvl w:val="0"/>
          <w:numId w:val="2"/>
        </w:numPr>
      </w:pPr>
      <w:r>
        <w:t xml:space="preserve">Oversight of Sierra Certified™ compliance framework</w:t>
      </w:r>
    </w:p>
    <w:p>
      <w:pPr>
        <w:pStyle w:val="ListParagraph"/>
        <w:numPr>
          <w:ilvl w:val="0"/>
          <w:numId w:val="2"/>
        </w:numPr>
      </w:pPr>
      <w:r>
        <w:t xml:space="preserve">Coordination of international regulatory alignment</w:t>
      </w:r>
    </w:p>
    <w:p>
      <w:pPr>
        <w:pStyle w:val="ListParagraph"/>
        <w:numPr>
          <w:ilvl w:val="0"/>
          <w:numId w:val="2"/>
        </w:numPr>
      </w:pPr>
      <w:r>
        <w:t xml:space="preserve">Establishment of legal precedent through test cases and jurisprudence</w:t>
      </w:r>
    </w:p>
    <w:p>
      <w:pPr>
        <w:pStyle w:val="ListParagraph"/>
        <w:numPr>
          <w:ilvl w:val="0"/>
          <w:numId w:val="2"/>
        </w:numPr>
      </w:pPr>
      <w:r>
        <w:t xml:space="preserve">Publication of global structural integrity metrics</w:t>
      </w:r>
    </w:p>
    <w:p>
      <w:pPr>
        <w:pStyle w:val="ListParagraph"/>
        <w:numPr>
          <w:ilvl w:val="0"/>
          <w:numId w:val="2"/>
        </w:numPr>
      </w:pPr>
      <w:r>
        <w:t xml:space="preserve">Support for academic research and pilot programs</w:t>
      </w:r>
    </w:p>
    <w:p>
      <w:pPr>
        <w:pStyle w:val="Heading3"/>
        <w:spacing w:before="240"/>
      </w:pPr>
      <w:r>
        <w:t xml:space="preserve">Structural Integrity Index</w:t>
      </w:r>
    </w:p>
    <w:p>
      <w:pPr>
        <w:spacing w:after="120"/>
      </w:pPr>
      <w:r>
        <w:t xml:space="preserve">G-BALO publishes an annual Global Structural Integrity Index measuring the adoption and effectiveness of hardware-enforced AI governance worldwide. This index evaluates:</w:t>
      </w:r>
    </w:p>
    <w:p>
      <w:pPr>
        <w:pStyle w:val="ListParagraph"/>
        <w:numPr>
          <w:ilvl w:val="0"/>
          <w:numId w:val="2"/>
        </w:numPr>
      </w:pPr>
      <w:r>
        <w:rPr>
          <w:b/>
          <w:bCs/>
        </w:rPr>
        <w:t xml:space="preserve">Structural Integrity Score (SIS): </w:t>
      </w:r>
      <w:r>
        <w:t xml:space="preserve">National-level adherence to GSP architecture</w:t>
      </w:r>
    </w:p>
    <w:p>
      <w:pPr>
        <w:pStyle w:val="ListParagraph"/>
        <w:numPr>
          <w:ilvl w:val="0"/>
          <w:numId w:val="2"/>
        </w:numPr>
      </w:pPr>
      <w:r>
        <w:rPr>
          <w:b/>
          <w:bCs/>
        </w:rPr>
        <w:t xml:space="preserve">Reconstruction Capability Score (RCS): </w:t>
      </w:r>
      <w:r>
        <w:t xml:space="preserve">Ability to perform substrate-level behavioral reconstruction</w:t>
      </w:r>
    </w:p>
    <w:p>
      <w:pPr>
        <w:pStyle w:val="ListParagraph"/>
        <w:numPr>
          <w:ilvl w:val="0"/>
          <w:numId w:val="2"/>
        </w:numPr>
      </w:pPr>
      <w:r>
        <w:rPr>
          <w:b/>
          <w:bCs/>
        </w:rPr>
        <w:t xml:space="preserve">Cryptographic Chain Integrity Score (CCIS): </w:t>
      </w:r>
      <w:r>
        <w:t xml:space="preserve">Hash-chain continuity at system scale</w:t>
      </w:r>
    </w:p>
    <w:p>
      <w:pPr>
        <w:pStyle w:val="ListParagraph"/>
        <w:numPr>
          <w:ilvl w:val="0"/>
          <w:numId w:val="2"/>
        </w:numPr>
      </w:pPr>
      <w:r>
        <w:rPr>
          <w:b/>
          <w:bCs/>
        </w:rPr>
        <w:t xml:space="preserve">Compliance Adoption Score (CAS): </w:t>
      </w:r>
      <w:r>
        <w:t xml:space="preserve">Percentage of institutions using Sierra Certified™ protocols</w:t>
      </w:r>
    </w:p>
    <w:p>
      <w:pPr>
        <w:pStyle w:val="ListParagraph"/>
        <w:numPr>
          <w:ilvl w:val="0"/>
          <w:numId w:val="2"/>
        </w:numPr>
      </w:pPr>
      <w:r>
        <w:rPr>
          <w:b/>
          <w:bCs/>
        </w:rPr>
        <w:t xml:space="preserve">Jurisprudential Alignment Score (JAS): </w:t>
      </w:r>
      <w:r>
        <w:t xml:space="preserve">Alignment with G-BALO liability doctrines</w:t>
      </w:r>
    </w:p>
    <w:p>
      <w:pPr>
        <w:pStyle w:val="ListParagraph"/>
        <w:numPr>
          <w:ilvl w:val="0"/>
          <w:numId w:val="2"/>
        </w:numPr>
      </w:pPr>
      <w:r>
        <w:rPr>
          <w:b/>
          <w:bCs/>
        </w:rPr>
        <w:t xml:space="preserve">Interoperability Standard Score (ISS): </w:t>
      </w:r>
      <w:r>
        <w:t xml:space="preserve">Cross-border GSP compatibility</w:t>
      </w:r>
    </w:p>
    <w:p>
      <w:pPr>
        <w:pStyle w:val="Heading2"/>
      </w:pPr>
      <w:r>
        <w:t xml:space="preserve">Sierra Certified™ Compliance Framework</w:t>
      </w:r>
    </w:p>
    <w:p>
      <w:pPr>
        <w:spacing w:after="120"/>
      </w:pPr>
      <w:r>
        <w:t xml:space="preserve">Sierra Certified™ represents third-party validation that an AI system implements GSP requirements and operates under hardware-enforced governance. Certification provides:</w:t>
      </w:r>
    </w:p>
    <w:p>
      <w:pPr>
        <w:pStyle w:val="ListParagraph"/>
        <w:numPr>
          <w:ilvl w:val="0"/>
          <w:numId w:val="2"/>
        </w:numPr>
      </w:pPr>
      <w:r>
        <w:t xml:space="preserve">Independent verification of technical compliance</w:t>
      </w:r>
    </w:p>
    <w:p>
      <w:pPr>
        <w:pStyle w:val="ListParagraph"/>
        <w:numPr>
          <w:ilvl w:val="0"/>
          <w:numId w:val="2"/>
        </w:numPr>
      </w:pPr>
      <w:r>
        <w:t xml:space="preserve">Market signal of governance maturity</w:t>
      </w:r>
    </w:p>
    <w:p>
      <w:pPr>
        <w:pStyle w:val="ListParagraph"/>
        <w:numPr>
          <w:ilvl w:val="0"/>
          <w:numId w:val="2"/>
        </w:numPr>
      </w:pPr>
      <w:r>
        <w:t xml:space="preserve">Liability protection through documented due diligence</w:t>
      </w:r>
    </w:p>
    <w:p>
      <w:pPr>
        <w:pStyle w:val="ListParagraph"/>
        <w:numPr>
          <w:ilvl w:val="0"/>
          <w:numId w:val="2"/>
        </w:numPr>
      </w:pPr>
      <w:r>
        <w:t xml:space="preserve">Procurement preference in government and enterprise contexts</w:t>
      </w:r>
    </w:p>
    <w:p>
      <w:pPr>
        <w:pStyle w:val="ListParagraph"/>
        <w:numPr>
          <w:ilvl w:val="0"/>
          <w:numId w:val="2"/>
        </w:numPr>
      </w:pPr>
      <w:r>
        <w:t xml:space="preserve">Insurance premium reductions through risk mitigation</w:t>
      </w:r>
    </w:p>
    <w:p>
      <w:r>
        <w:br w:type="page"/>
      </w:r>
    </w:p>
    <w:p>
      <w:pPr>
        <w:pStyle w:val="Heading1"/>
      </w:pPr>
      <w:r>
        <w:t xml:space="preserve">Independent Certification Bodies and Governance Safeguards</w:t>
      </w:r>
    </w:p>
    <w:p>
      <w:r>
        <w:t xml:space="preserve">The governance separation and certification independence described in this section were architected into GSP from inception. GSP was designed from the outset to function as an open technical specification, with certification authority intentionally separated from protocol authorship.</w:t>
      </w:r>
    </w:p>
    <w:p>
      <w:pPr>
        <w:spacing w:before="200" w:after="200"/>
      </w:pPr>
      <w:r>
        <w:t xml:space="preserve">Under this model, GSP functions as an open specification, while certification activities are performed by accredited external organizations that meet defined independence, competence, and transparency requirements. This approach aligns with established practices in technical certification environments, where trust is derived not from founder authority but from repeatable evaluation criteria, independent oversight, and auditable processes.</w:t>
      </w:r>
    </w:p>
    <w:p>
      <w:pPr>
        <w:pStyle w:val="Heading2"/>
      </w:pPr>
      <w:r>
        <w:t xml:space="preserve">Governance Structure</w:t>
      </w:r>
    </w:p>
    <w:p>
      <w:r>
        <w:t xml:space="preserve">Certification bodies operate as legally independent entities with no financial ties to AI developers seeking certification. Each body operates under a charter that defines scope, methodology, and adherence to GSP standards. Governing boards include representatives from cybersecurity, AI ethics, legal compliance, and technical safety domains to ensure multi-disciplinary oversight.</w:t>
      </w:r>
    </w:p>
    <w:p>
      <w:pPr>
        <w:spacing w:before="200" w:after="200"/>
      </w:pPr>
      <w:r>
        <w:t xml:space="preserve">Regular audits by external auditors verify certification body processes and decision-making. These audits assess procedural compliance, technical rigor, and ethical standards. The governance model explicitly separates specification authorship from certification authority—the protocol creator has no direct control over certification decisions, ensuring that the framework cannot be captured by its originator.</w:t>
      </w:r>
    </w:p>
    <w:p>
      <w:pPr>
        <w:pStyle w:val="Heading2"/>
      </w:pPr>
      <w:r>
        <w:t xml:space="preserve">Conflict-of-Interest Controls</w:t>
      </w:r>
    </w:p>
    <w:p>
      <w:r>
        <w:t xml:space="preserve">To preserve certification integrity, strict conflict-of-interest controls govern all certification activities. Certification personnel cannot hold financial interests in companies under review, including equity, options, or consulting arrangements.</w:t>
      </w:r>
    </w:p>
    <w:p>
      <w:pPr>
        <w:spacing w:before="200" w:after="120"/>
      </w:pPr>
      <w:r>
        <w:t xml:space="preserve">Cooling-off periods prevent former employees from certifying their previous employers for a minimum of three years following separation. All potential conflicts must be disclosed in writing and reviewed by an independent ethics committee before assignments proceed.</w:t>
      </w:r>
    </w:p>
    <w:p>
      <w:r>
        <w:t xml:space="preserve">Rotating assignment of certification teams prevents long-term relationships between specific assessors and companies, reducing familiarity bias and capture risk.</w:t>
      </w:r>
    </w:p>
    <w:p>
      <w:pPr>
        <w:pStyle w:val="Heading2"/>
      </w:pPr>
      <w:r>
        <w:t xml:space="preserve">Audit Procedures</w:t>
      </w:r>
    </w:p>
    <w:p>
      <w:r>
        <w:t xml:space="preserve">Annual third-party audits of certification bodies assess procedural compliance, technical rigor, and adherence to ethical standards. These audits are conducted by accredited external auditors with expertise in both certification processes and AI governance.</w:t>
      </w:r>
    </w:p>
    <w:p>
      <w:pPr>
        <w:spacing w:before="200" w:after="120"/>
      </w:pPr>
      <w:r>
        <w:t xml:space="preserve">Surprise spot-checks verify that certified systems maintain compliance post-certification, ensuring that certification is not merely a one-time assessment but an ongoing commitment. Public disclosure of audit summaries—with sensitive technical details appropriately redacted—maintains transparency while protecting proprietary information.</w:t>
      </w:r>
    </w:p>
    <w:p>
      <w:r>
        <w:t xml:space="preserve">Non-compliant certification bodies face graduated remediation procedures, including corrective action plans, temporary suspension, or full revocation of their authorization to issue GSP certifications. This enforcement mechanism ensures that certification quality remains high across the ecosystem.</w:t>
      </w:r>
    </w:p>
    <w:p>
      <w:pPr>
        <w:spacing w:before="200"/>
      </w:pPr>
      <w:r>
        <w:t xml:space="preserve">Additionally, the cryptographically verifiable audit logs generated by GSP-certified systems themselves provide a technical foundation for post-certification verification, enabling auditors to reconstruct system behavior and validate ongoing compliance.</w:t>
      </w:r>
    </w:p>
    <w:p>
      <w:pPr>
        <w:pStyle w:val="Heading2"/>
      </w:pPr>
      <w:r>
        <w:t xml:space="preserve">Appeals Process</w:t>
      </w:r>
    </w:p>
    <w:p>
      <w:r>
        <w:t xml:space="preserve">Developers denied certification receive detailed written rationale identifying specific deficiencies and the evidence supporting each finding. This transparency enables organizations to understand precisely what aspects of their system failed to meet GSP requirements.</w:t>
      </w:r>
    </w:p>
    <w:p>
      <w:pPr>
        <w:spacing w:before="200" w:after="120"/>
      </w:pPr>
      <w:r>
        <w:t xml:space="preserve">A formal appeals board, independent from the initial certification body, reviews contested decisions. This board includes technical experts, ethicists, and legal specialists who were not involved in the original assessment. Appeals include opportunity for rebuttal evidence, expert testimony, and submission of revised documentation or system modifications.</w:t>
      </w:r>
    </w:p>
    <w:p>
      <w:r>
        <w:t xml:space="preserve">Final appeals decisions are published in anonymized form (if requested by the appellant) to build case law and ensure consistency across certification bodies. An expedited appeals pathway is available for time-sensitive deployments, with interim conditional certifications possible while appeals are resolved.</w:t>
      </w:r>
    </w:p>
    <w:p>
      <w:r>
        <w:br w:type="page"/>
      </w:r>
    </w:p>
    <w:p>
      <w:pPr>
        <w:pStyle w:val="Heading1"/>
      </w:pPr>
      <w:r>
        <w:t xml:space="preserve">Academic, NGO, and Government Agency Collaboration Model</w:t>
      </w:r>
    </w:p>
    <w:p>
      <w:r>
        <w:t xml:space="preserve">The maturation of the Glass Substrate Protocol is envisioned as a multi-stakeholder collaboration, rather than a single-entity deployment. Different institutional actors play distinct and complementary roles within this model, ensuring that no single stakeholder controls the framework's evolution. This collaborative structure was embedded in GSP's design from the outset.</w:t>
      </w:r>
    </w:p>
    <w:p>
      <w:pPr>
        <w:pStyle w:val="Heading2"/>
      </w:pPr>
      <w:r>
        <w:t xml:space="preserve">University Research Validation</w:t>
      </w:r>
    </w:p>
    <w:p>
      <w:r>
        <w:t xml:space="preserve">Academic institutions serve as research and validation partners, contributing empirical evaluation, formal analysis of system properties, and peer-reviewed publication. Universities conduct independent testing of GSP protocols, assess reconstruction capability guarantees, and perform long-term studies of governance outcomes.</w:t>
      </w:r>
    </w:p>
    <w:p>
      <w:pPr>
        <w:spacing w:before="200" w:after="120"/>
      </w:pPr>
      <w:r>
        <w:t xml:space="preserve">Graduate research programs develop next-generation safety techniques and contribute to protocol evolution through open publication and conference presentations. This academic involvement supports methodological rigor and helps ensure that claims of safety, accountability, and reconstruction capability remain evidence-based rather than promotional.</w:t>
      </w:r>
    </w:p>
    <w:p>
      <w:r>
        <w:t xml:space="preserve">Universities also provide neutral testing environments for pilot implementations, free from commercial pressure or regulatory mandates. Academic publications ensure transparency and enable global expert scrutiny of framework components, allowing the research community to identify weaknesses and propose improvements.</w:t>
      </w:r>
    </w:p>
    <w:p>
      <w:pPr>
        <w:pStyle w:val="Heading2"/>
      </w:pPr>
      <w:r>
        <w:t xml:space="preserve">NGO Ethical Oversight</w:t>
      </w:r>
    </w:p>
    <w:p>
      <w:r>
        <w:t xml:space="preserve">Non-governmental organizations provide ethical oversight, civil-society perspective, and public-interest review, particularly in areas related to human rights, transparency, and societal impact. Organizations such as ACEAI serve an important convening and educational role by facilitating dialogue across sectors, synthesizing best practices, and helping translate technical governance concepts into accessible guidance for policymakers and practitioners.</w:t>
      </w:r>
    </w:p>
    <w:p>
      <w:pPr>
        <w:spacing w:before="200" w:after="120"/>
      </w:pPr>
      <w:r>
        <w:t xml:space="preserve">ACEAI and similar organizations facilitate public comment periods and community input on framework updates, ensuring that affected stakeholders have voice in the protocol's evolution. NGOs perform watchdog functions, identifying gaps, conflicts of interest, or implementation challenges that might not be apparent to technical teams.</w:t>
      </w:r>
    </w:p>
    <w:p>
      <w:r>
        <w:t xml:space="preserve">Civil society groups represent constituencies often underrepresented in technical standards development, including communities disproportionately affected by AI systems, privacy advocates, and human rights organizations. Their participation ensures that GSP development considers fairness, bias mitigation, and societal impact alongside technical correctness.</w:t>
      </w:r>
    </w:p>
    <w:p>
      <w:pPr>
        <w:pStyle w:val="Heading2"/>
      </w:pPr>
      <w:r>
        <w:t xml:space="preserve">Government Agency Pilot Programs</w:t>
      </w:r>
    </w:p>
    <w:p>
      <w:r>
        <w:t xml:space="preserve">Government agencies and public institutions are natural partners for pilot programs and sandbox deployments, where GSP-aligned systems can be tested in controlled environments. These pilots might include compliance monitoring systems, auditability experiments in regulated industries, or public-sector AI use cases requiring transparency.</w:t>
      </w:r>
    </w:p>
    <w:p>
      <w:pPr>
        <w:spacing w:before="200" w:after="120"/>
      </w:pPr>
      <w:r>
        <w:t xml:space="preserve">Federal and state agencies test GSP adoption in controlled, high-stakes environments where accountability is paramount. Regulatory bodies evaluate how GSP standards complement or enhance existing compliance requirements, assessing whether hardware-enforced governance could streamline regulatory processes or improve oversight capabilities.</w:t>
      </w:r>
    </w:p>
    <w:p>
      <w:r>
        <w:t xml:space="preserve">Public sector implementations generate real-world performance data—including cost analyses, operational feasibility assessments, and efficacy measurements—while allowing agencies to evaluate the framework without premature mandates. Agency feedback informs refinements for scalability, regulatory alignment, and practical deployment across diverse government contexts.</w:t>
      </w:r>
    </w:p>
    <w:p>
      <w:pPr>
        <w:pStyle w:val="Heading2"/>
      </w:pPr>
      <w:r>
        <w:t xml:space="preserve">Collaborative Governance Mechanisms</w:t>
      </w:r>
    </w:p>
    <w:p>
      <w:r>
        <w:t xml:space="preserve">A multi-stakeholder advisory council meets quarterly to review framework performance, assess pilot program results, and propose updates to technical specifications or governance procedures. This council includes representatives from academia, NGOs, government agencies, industry, and standards organizations.</w:t>
      </w:r>
    </w:p>
    <w:p>
      <w:pPr>
        <w:spacing w:before="200" w:after="120"/>
      </w:pPr>
      <w:r>
        <w:t xml:space="preserve">Working groups address specific challenges such as emerging AI capabilities, international harmonization, sector-specific adaptations, and integration with existing regulatory frameworks. Consensus-based decision-making ensures that no single sector dominates framework evolution, and dissenting opinions are documented to preserve intellectual diversity.</w:t>
      </w:r>
    </w:p>
    <w:p>
      <w:r>
        <w:t xml:space="preserve">Regular convenings bring together all stakeholders to share learnings, coordinate research efforts, and maintain alignment across parallel initiatives. By explicitly assigning complementary roles across academia, NGOs, standards organizations, and agencies, the framework supports shared stewardship, distributed accountability, and a credible pathway from research to practice.</w:t>
      </w:r>
    </w:p>
    <w:p>
      <w:r>
        <w:br w:type="page"/>
      </w:r>
    </w:p>
    <w:p>
      <w:pPr>
        <w:pStyle w:val="Heading1"/>
      </w:pPr>
      <w:r>
        <w:t xml:space="preserve">Pathway to Submission and Alignment with NIST, IEEE, and ISO Standards</w:t>
      </w:r>
    </w:p>
    <w:p>
      <w:r>
        <w:t xml:space="preserve">The Glass Substrate Protocol is structured to align with existing international standards development processes rather than operate outside them. This alignment was intentional from the protocol's inception—GSP's modular architecture and documented specifications were designed to facilitate eventual submission to recognized standards bodies such as NIST, IEEE, and ISO through their established working group and committee mechanisms.</w:t>
      </w:r>
    </w:p>
    <w:p>
      <w:pPr>
        <w:pStyle w:val="Heading2"/>
      </w:pPr>
      <w:r>
        <w:t xml:space="preserve">Initial Engagement Phase</w:t>
      </w:r>
    </w:p>
    <w:p>
      <w:r>
        <w:t xml:space="preserve">The first phase involves identifying relevant standards bodies and their applicable technical committees. For NIST, this includes engagement with the AI Risk Management Framework and related initiatives. For IEEE, relevant standards series include P7000 (Model Process for Addressing Ethical Concerns) and related AI ethics standards. For ISO, engagement focuses on ISO/IEC JTC 1/SC 42, the technical committee dedicated to artificial intelligence.</w:t>
      </w:r>
    </w:p>
    <w:p>
      <w:pPr>
        <w:spacing w:before="200"/>
      </w:pPr>
      <w:r>
        <w:t xml:space="preserve">Initial engagement includes submission of white papers and concept proposals to appropriate technical committees, presenting at standards body conferences and workshops to build awareness and gather feedback, and establishing liaisons with existing AI standards initiatives to identify alignment opportunities and avoid duplication of effort.</w:t>
      </w:r>
    </w:p>
    <w:p>
      <w:pPr>
        <w:pStyle w:val="Heading2"/>
      </w:pPr>
      <w:r>
        <w:t xml:space="preserve">Working Group Formation</w:t>
      </w:r>
    </w:p>
    <w:p>
      <w:r>
        <w:t xml:space="preserve">Following initial engagement, the pathway involves participating in or forming working groups within standards bodies focused on AI safety certification, hardware-enforced governance, or audit trail requirements. Technical experts are contributed to draft specification committees, bringing both GSP implementation experience and broader domain expertise.</w:t>
      </w:r>
    </w:p>
    <w:p>
      <w:pPr>
        <w:spacing w:before="200"/>
      </w:pPr>
      <w:r>
        <w:t xml:space="preserve">Coordination with international participants ensures global applicability and reduces fragmentation across regional standards. Working groups define scope, use cases, and success criteria for standardization efforts, establishing clear boundaries and objectives before formal drafting begins.</w:t>
      </w:r>
    </w:p>
    <w:p>
      <w:pPr>
        <w:pStyle w:val="Heading2"/>
      </w:pPr>
      <w:r>
        <w:t xml:space="preserve">Draft Specification Development</w:t>
      </w:r>
    </w:p>
    <w:p>
      <w:r>
        <w:t xml:space="preserve">GSP protocols are translated into formal technical specifications using standards body formats and conventions. This includes documenting certification procedures, governance structures, compliance metrics, and technical requirements in the language and structure expected by each standards organization.</w:t>
      </w:r>
    </w:p>
    <w:p>
      <w:pPr>
        <w:spacing w:before="200" w:after="120"/>
      </w:pPr>
      <w:r>
        <w:t xml:space="preserve">Specifications distinguish between normative requirements (mandatory elements that must be implemented for conformance) and informative guidance (recommended practices that support but do not mandate specific approaches). Conformance testing procedures are developed to enable objective verification that implementations meet the standard.</w:t>
      </w:r>
    </w:p>
    <w:p>
      <w:r>
        <w:t xml:space="preserve">Where appropriate, individual aspects of the protocol—such as hardware-enforced logging, cryptographic reconstruction guarantees, or liability-aligned audit trails—may be proposed as modular contributions rather than a single monolithic standard, allowing adoption of specific components independently.</w:t>
      </w:r>
    </w:p>
    <w:p>
      <w:pPr>
        <w:pStyle w:val="Heading2"/>
      </w:pPr>
      <w:r>
        <w:t xml:space="preserve">Peer Review Cycles</w:t>
      </w:r>
    </w:p>
    <w:p>
      <w:r>
        <w:t xml:space="preserve">Draft standards are circulated to the global expert community for comment through the standards body's established review processes. This includes both member organization review and public comment periods where applicable.</w:t>
      </w:r>
    </w:p>
    <w:p>
      <w:pPr>
        <w:spacing w:before="200" w:after="120"/>
      </w:pPr>
      <w:r>
        <w:t xml:space="preserve">Technical objections are addressed through clarification, modification, or documented rationale for maintaining the original approach. Balloting processes allow member organizations to vote on draft acceptance, with negative votes requiring resolution before progression.</w:t>
      </w:r>
    </w:p>
    <w:p>
      <w:r>
        <w:t xml:space="preserve">Multiple iterations occur based on feedback and testing results, with each draft version incorporating lessons learned from implementation experience and peer critique. This iterative refinement ensures technical soundness and broad stakeholder buy-in.</w:t>
      </w:r>
    </w:p>
    <w:p>
      <w:pPr>
        <w:pStyle w:val="Heading2"/>
      </w:pPr>
      <w:r>
        <w:t xml:space="preserve">Interoperability Testing</w:t>
      </w:r>
    </w:p>
    <w:p>
      <w:r>
        <w:t xml:space="preserve">Pilot implementations are coordinated across diverse organizations and use cases to verify that different certification bodies and system implementers can apply standards consistently. This testing phase identifies ambiguities in specification language and ensures that the standard supports multiple valid implementation approaches.</w:t>
      </w:r>
    </w:p>
    <w:p>
      <w:pPr>
        <w:spacing w:before="200" w:after="120"/>
      </w:pPr>
      <w:r>
        <w:t xml:space="preserve">Compatibility testing with existing compliance frameworks—such as GDPR privacy requirements, sector-specific regulations, and other AI governance standards—ensures that GSP-based standards complement rather than conflict with established requirements.</w:t>
      </w:r>
    </w:p>
    <w:p>
      <w:r>
        <w:t xml:space="preserve">Interoperability challenges are documented along with resolution guidance, creating a knowledge base that supports future implementers and reduces fragmentation across the ecosystem.</w:t>
      </w:r>
    </w:p>
    <w:p>
      <w:pPr>
        <w:pStyle w:val="Heading2"/>
      </w:pPr>
      <w:r>
        <w:t xml:space="preserve">Revision and Maintenance</w:t>
      </w:r>
    </w:p>
    <w:p>
      <w:r>
        <w:t xml:space="preserve">Following publication, ongoing technical committees maintain the standard, handling proposed amendments as AI technology and governance needs evolve. Procedures are established for incorporating errata, clarifications, and substantive updates.</w:t>
      </w:r>
    </w:p>
    <w:p>
      <w:pPr>
        <w:spacing w:before="200"/>
      </w:pPr>
      <w:r>
        <w:t xml:space="preserve">Regular review cycles, typically occurring every 3-5 years, enable comprehensive updates that reflect advances in AI capabilities, governance research, and deployment experience. Maintenance processes ensure alignment with the evolving international AI governance landscape and prevent standards obsolescence.</w:t>
      </w:r>
    </w:p>
    <w:p>
      <w:pPr>
        <w:pStyle w:val="Heading2"/>
      </w:pPr>
      <w:r>
        <w:t xml:space="preserve">Timeline Expectations</w:t>
      </w:r>
    </w:p>
    <w:p>
      <w:pPr>
        <w:spacing w:after="120"/>
      </w:pPr>
      <w:r>
        <w:t xml:space="preserve">Based on typical standards development timelines, the pathway unfolds approximately as follows:</w:t>
      </w:r>
    </w:p>
    <w:p>
      <w:pPr>
        <w:pStyle w:val="ListParagraph"/>
        <w:numPr>
          <w:ilvl w:val="0"/>
          <w:numId w:val="2"/>
        </w:numPr>
      </w:pPr>
      <w:r>
        <w:t xml:space="preserve">Initial engagement: 6-12 months</w:t>
      </w:r>
    </w:p>
    <w:p>
      <w:pPr>
        <w:pStyle w:val="ListParagraph"/>
        <w:numPr>
          <w:ilvl w:val="0"/>
          <w:numId w:val="2"/>
        </w:numPr>
      </w:pPr>
      <w:r>
        <w:t xml:space="preserve">Working group formation and draft development: 12-24 months</w:t>
      </w:r>
    </w:p>
    <w:p>
      <w:pPr>
        <w:pStyle w:val="ListParagraph"/>
        <w:numPr>
          <w:ilvl w:val="0"/>
          <w:numId w:val="2"/>
        </w:numPr>
      </w:pPr>
      <w:r>
        <w:t xml:space="preserve">Review cycles and interoperability testing: 18-36 months</w:t>
      </w:r>
    </w:p>
    <w:p>
      <w:pPr>
        <w:pStyle w:val="ListParagraph"/>
        <w:numPr>
          <w:ilvl w:val="0"/>
          <w:numId w:val="2"/>
        </w:numPr>
      </w:pPr>
      <w:r>
        <w:t xml:space="preserve">Final publication: 3-5 years from initiation</w:t>
      </w:r>
    </w:p>
    <w:p>
      <w:pPr>
        <w:pStyle w:val="ListParagraph"/>
        <w:numPr>
          <w:ilvl w:val="0"/>
          <w:numId w:val="2"/>
        </w:numPr>
      </w:pPr>
      <w:r>
        <w:t xml:space="preserve">Ongoing maintenance: Continuous post-publication</w:t>
      </w:r>
    </w:p>
    <w:p>
      <w:pPr>
        <w:spacing w:before="200"/>
      </w:pPr>
      <w:r>
        <w:t xml:space="preserve">This positioning within existing channels ensures alignment with global norms, enables interoperability with parallel efforts, and subjects the framework to the same scrutiny and consensus-building processes that govern widely adopted technical standards today.</w:t>
      </w:r>
    </w:p>
    <w:p>
      <w:r>
        <w:br w:type="page"/>
      </w:r>
    </w:p>
    <w:p>
      <w:pPr>
        <w:pStyle w:val="Heading1"/>
      </w:pPr>
      <w:r>
        <w:t xml:space="preserve">Phased Voluntary Adoption and Pilot-Based Implementation Strategy</w:t>
      </w:r>
    </w:p>
    <w:p>
      <w:r>
        <w:t xml:space="preserve">Adoption of the Glass Substrate Protocol is intentionally framed as voluntary and phased, emphasizing trust-building over mandate. This approach recognizes that effective governance frameworks gain legitimacy through demonstrated value rather than regulatory compulsion—a principle embedded in GSP's design philosophy from inception.</w:t>
      </w:r>
    </w:p>
    <w:p>
      <w:pPr>
        <w:pStyle w:val="Heading2"/>
      </w:pPr>
      <w:r>
        <w:t xml:space="preserve">Phase 1: Research and Academic Implementations (Months 1-12)</w:t>
      </w:r>
    </w:p>
    <w:p>
      <w:r>
        <w:t xml:space="preserve">Initial adoption focuses on research deployments and academic implementations where GSP can be studied in controlled environments. Partnerships with 5-10 leading AI research institutions enable initial testing across diverse AI applications and use cases.</w:t>
      </w:r>
    </w:p>
    <w:p>
      <w:pPr>
        <w:spacing w:before="200" w:after="120"/>
      </w:pPr>
      <w:r>
        <w:t xml:space="preserve">These deployments collect detailed performance data including time to certification, implementation costs, identified risks, and remediation effectiveness. Findings are published in peer-reviewed journals to establish an evidence base and enable scientific scrutiny.</w:t>
      </w:r>
    </w:p>
    <w:p>
      <w:r>
        <w:t xml:space="preserve">Academic environments provide freedom to experiment without commercial pressure, allowing rigorous evaluation of both technical performance and governance effectiveness.</w:t>
      </w:r>
    </w:p>
    <w:p>
      <w:pPr>
        <w:pStyle w:val="Heading2"/>
      </w:pPr>
      <w:r>
        <w:t xml:space="preserve">Phase 2: Nonprofit and Mission-Driven Organizations (Months 12-24)</w:t>
      </w:r>
    </w:p>
    <w:p>
      <w:r>
        <w:t xml:space="preserve">Expansion to mission-driven organizations prioritizing safety and transparency follows academic validation. Nonprofit use cases demonstrate GSP applicability beyond research settings while maintaining emphasis on public benefit over profit maximization.</w:t>
      </w:r>
    </w:p>
    <w:p>
      <w:pPr>
        <w:spacing w:before="200" w:after="120"/>
      </w:pPr>
      <w:r>
        <w:t xml:space="preserve">Reduced-cost certification programs for qualifying nonprofits lower adoption barriers and build early adopter communities. Case studies document real-world benefits including risk reduction, stakeholder confidence, and operational advantages.</w:t>
      </w:r>
    </w:p>
    <w:p>
      <w:r>
        <w:t xml:space="preserve">An adopter community facilitates knowledge sharing, mutual support, and collaborative problem-solving, creating network effects that support ecosystem growth.</w:t>
      </w:r>
    </w:p>
    <w:p>
      <w:pPr>
        <w:pStyle w:val="Heading2"/>
      </w:pPr>
      <w:r>
        <w:t xml:space="preserve">Phase 3: Regulatory Sandboxes and Agency Pilots (Months 18-30)</w:t>
      </w:r>
    </w:p>
    <w:p>
      <w:r>
        <w:t xml:space="preserve">Regulatory sandboxes established in collaboration with government agencies allow controlled testing of GSP certification alongside existing compliance requirements. These sandboxes provide protected environments where organizations can experiment without immediate regulatory consequences.</w:t>
      </w:r>
    </w:p>
    <w:p>
      <w:pPr>
        <w:spacing w:before="200" w:after="120"/>
      </w:pPr>
      <w:r>
        <w:t xml:space="preserve">Pilot programs within public agencies or regulated industries generate operational data, cost insights, and performance benchmarks. Evaluation focuses on how GSP certification could streamline regulatory processes, enhance oversight capabilities, or complement existing compliance frameworks.</w:t>
      </w:r>
    </w:p>
    <w:p>
      <w:r>
        <w:t xml:space="preserve">Practical integration with procurement, auditing, and governance workflows is demonstrated, showing that hardware-enforced governance can function within existing institutional structures.</w:t>
      </w:r>
    </w:p>
    <w:p>
      <w:pPr>
        <w:pStyle w:val="Heading2"/>
      </w:pPr>
      <w:r>
        <w:t xml:space="preserve">Phase 4: Procurement-Level Optional Standards (Months 24-36)</w:t>
      </w:r>
    </w:p>
    <w:p>
      <w:r>
        <w:t xml:space="preserve">As confidence grows from successful pilots, GSP certification begins appearing as optional criteria in procurement processes. Public and private sector purchasers develop RFP language that awards preference points for certified systems without mandating certification.</w:t>
      </w:r>
    </w:p>
    <w:p>
      <w:pPr>
        <w:spacing w:before="200" w:after="120"/>
      </w:pPr>
      <w:r>
        <w:t xml:space="preserve">This creates market incentives for adoption while preserving voluntary status. Organizations pursue certification not because of regulatory requirement but because it provides competitive advantage in procurement contexts.</w:t>
      </w:r>
    </w:p>
    <w:p>
      <w:r>
        <w:t xml:space="preserve">Grant programs and institutional risk-management frameworks begin recognizing GSP certification as a marker of good governance practice, creating additional incentives for voluntary adoption.</w:t>
      </w:r>
    </w:p>
    <w:p>
      <w:pPr>
        <w:pStyle w:val="Heading2"/>
      </w:pPr>
      <w:r>
        <w:t xml:space="preserve">Phase 5: Industry Sector Adoption (Months 30-48)</w:t>
      </w:r>
    </w:p>
    <w:p>
      <w:r>
        <w:t xml:space="preserve">Targeted engagement with specific high-stakes sectors—such as healthcare AI, financial services, and autonomous systems—drives sector-specific adoption. Industry coalitions of leading companies adopt GSP as voluntary best practice, creating demonstration effects for their sectors.</w:t>
      </w:r>
    </w:p>
    <w:p>
      <w:pPr>
        <w:spacing w:before="200"/>
      </w:pPr>
      <w:r>
        <w:t xml:space="preserve">Sector-specific implementation guidance is developed within the GSP framework, addressing unique requirements of different industries while maintaining core protocol integrity. Professional associations and industry groups facilitate peer learning and standards adoption.</w:t>
      </w:r>
    </w:p>
    <w:p>
      <w:pPr>
        <w:pStyle w:val="Heading2"/>
      </w:pPr>
      <w:r>
        <w:t xml:space="preserve">Phase 6: Broad Recognition and Scaling (Months 42+)</w:t>
      </w:r>
    </w:p>
    <w:p>
      <w:r>
        <w:t xml:space="preserve">The certification body network expands to meet growing demand, with multiple independent organizations authorized to perform GSP certification across different regions and sectors. International reciprocity agreements enable certification recognition across jurisdictions.</w:t>
      </w:r>
    </w:p>
    <w:p>
      <w:pPr>
        <w:spacing w:before="200"/>
      </w:pPr>
      <w:r>
        <w:t xml:space="preserve">Integration with insurance, liability, and risk management frameworks positions GSP certification as a recognized factor in actuarial analysis and legal liability assessments. The framework becomes established as recognized best practice while maintaining voluntary status—organizations choose adoption based on demonstrated value rather than regulatory mandate.</w:t>
      </w:r>
    </w:p>
    <w:p>
      <w:pPr>
        <w:pStyle w:val="Heading2"/>
      </w:pPr>
      <w:r>
        <w:t xml:space="preserve">Success Metrics and Trust-Building</w:t>
      </w:r>
    </w:p>
    <w:p>
      <w:pPr>
        <w:spacing w:after="120"/>
      </w:pPr>
      <w:r>
        <w:t xml:space="preserve">Throughout all phases, success is measured across multiple dimensions:</w:t>
      </w:r>
    </w:p>
    <w:p>
      <w:pPr>
        <w:pStyle w:val="ListParagraph"/>
        <w:numPr>
          <w:ilvl w:val="0"/>
          <w:numId w:val="2"/>
        </w:numPr>
      </w:pPr>
      <w:r>
        <w:t xml:space="preserve">Number of organizations pursuing certification</w:t>
      </w:r>
    </w:p>
    <w:p>
      <w:pPr>
        <w:pStyle w:val="ListParagraph"/>
        <w:numPr>
          <w:ilvl w:val="0"/>
          <w:numId w:val="2"/>
        </w:numPr>
      </w:pPr>
      <w:r>
        <w:t xml:space="preserve">Reduction in post-deployment safety incidents among certified systems</w:t>
      </w:r>
    </w:p>
    <w:p>
      <w:pPr>
        <w:pStyle w:val="ListParagraph"/>
        <w:numPr>
          <w:ilvl w:val="0"/>
          <w:numId w:val="2"/>
        </w:numPr>
      </w:pPr>
      <w:r>
        <w:t xml:space="preserve">Time and cost efficiency improvements in certification processes</w:t>
      </w:r>
    </w:p>
    <w:p>
      <w:pPr>
        <w:pStyle w:val="ListParagraph"/>
        <w:numPr>
          <w:ilvl w:val="0"/>
          <w:numId w:val="2"/>
        </w:numPr>
      </w:pPr>
      <w:r>
        <w:t xml:space="preserve">Stakeholder satisfaction among developers and oversight bodies</w:t>
      </w:r>
    </w:p>
    <w:p>
      <w:pPr>
        <w:pStyle w:val="ListParagraph"/>
        <w:numPr>
          <w:ilvl w:val="0"/>
          <w:numId w:val="2"/>
        </w:numPr>
      </w:pPr>
      <w:r>
        <w:t xml:space="preserve">Market recognition attributed to certification</w:t>
      </w:r>
    </w:p>
    <w:p>
      <w:pPr>
        <w:spacing w:before="200" w:after="120"/>
      </w:pPr>
      <w:r>
        <w:t xml:space="preserve">Trust-building mechanisms include transparent reporting of challenges and failures, regular independent evaluation of framework effectiveness, and responsiveness to adopter feedback through protocol updates. Clear communication emphasizes that voluntary adoption enables learning and continuous improvement, while acknowledging that mandates can undermine innovation and trust.</w:t>
      </w:r>
    </w:p>
    <w:p>
      <w:r>
        <w:br w:type="page"/>
      </w:r>
    </w:p>
    <w:p>
      <w:pPr>
        <w:pStyle w:val="Heading1"/>
      </w:pPr>
      <w:r>
        <w:t xml:space="preserve">Implementation Use Cases</w:t>
      </w:r>
    </w:p>
    <w:p>
      <w:pPr>
        <w:pStyle w:val="Heading2"/>
      </w:pPr>
      <w:r>
        <w:t xml:space="preserve">Autonomous Defense Systems</w:t>
      </w:r>
    </w:p>
    <w:p>
      <w:pPr>
        <w:spacing w:after="120"/>
      </w:pPr>
      <w:r>
        <w:t xml:space="preserve">GSP provides critical accountability infrastructure for autonomous weapons systems and defensive AI platforms. Hardware-enforced governance enables:</w:t>
      </w:r>
    </w:p>
    <w:p>
      <w:pPr>
        <w:pStyle w:val="ListParagraph"/>
        <w:numPr>
          <w:ilvl w:val="0"/>
          <w:numId w:val="2"/>
        </w:numPr>
      </w:pPr>
      <w:r>
        <w:t xml:space="preserve">Precise reconstruction of engagement decision pathways</w:t>
      </w:r>
    </w:p>
    <w:p>
      <w:pPr>
        <w:pStyle w:val="ListParagraph"/>
        <w:numPr>
          <w:ilvl w:val="0"/>
          <w:numId w:val="2"/>
        </w:numPr>
      </w:pPr>
      <w:r>
        <w:t xml:space="preserve">Immutable evidence for military legal review</w:t>
      </w:r>
    </w:p>
    <w:p>
      <w:pPr>
        <w:pStyle w:val="ListParagraph"/>
        <w:numPr>
          <w:ilvl w:val="0"/>
          <w:numId w:val="2"/>
        </w:numPr>
      </w:pPr>
      <w:r>
        <w:t xml:space="preserve">International humanitarian law compliance verification</w:t>
      </w:r>
    </w:p>
    <w:p>
      <w:pPr>
        <w:pStyle w:val="ListParagraph"/>
        <w:numPr>
          <w:ilvl w:val="0"/>
          <w:numId w:val="2"/>
        </w:numPr>
      </w:pPr>
      <w:r>
        <w:t xml:space="preserve">Chain-of-command audit trails</w:t>
      </w:r>
    </w:p>
    <w:p>
      <w:pPr>
        <w:pStyle w:val="ListParagraph"/>
        <w:numPr>
          <w:ilvl w:val="0"/>
          <w:numId w:val="2"/>
        </w:numPr>
      </w:pPr>
      <w:r>
        <w:t xml:space="preserve">Operational transparency without compromising security</w:t>
      </w:r>
    </w:p>
    <w:p>
      <w:pPr>
        <w:pStyle w:val="Heading2"/>
      </w:pPr>
      <w:r>
        <w:t xml:space="preserve">Healthcare AI and Medical Decision Support</w:t>
      </w:r>
    </w:p>
    <w:p>
      <w:pPr>
        <w:spacing w:after="120"/>
      </w:pPr>
      <w:r>
        <w:t xml:space="preserve">Medical AI systems require unprecedented accountability given life-or-death consequences. GSP implementation enables:</w:t>
      </w:r>
    </w:p>
    <w:p>
      <w:pPr>
        <w:pStyle w:val="ListParagraph"/>
        <w:numPr>
          <w:ilvl w:val="0"/>
          <w:numId w:val="2"/>
        </w:numPr>
      </w:pPr>
      <w:r>
        <w:t xml:space="preserve">Complete diagnostic pathway reconstruction for malpractice litigation</w:t>
      </w:r>
    </w:p>
    <w:p>
      <w:pPr>
        <w:pStyle w:val="ListParagraph"/>
        <w:numPr>
          <w:ilvl w:val="0"/>
          <w:numId w:val="2"/>
        </w:numPr>
      </w:pPr>
      <w:r>
        <w:t xml:space="preserve">HIPAA-compliant audit trails</w:t>
      </w:r>
    </w:p>
    <w:p>
      <w:pPr>
        <w:pStyle w:val="ListParagraph"/>
        <w:numPr>
          <w:ilvl w:val="0"/>
          <w:numId w:val="2"/>
        </w:numPr>
      </w:pPr>
      <w:r>
        <w:t xml:space="preserve">FDA regulatory compliance verification</w:t>
      </w:r>
    </w:p>
    <w:p>
      <w:pPr>
        <w:pStyle w:val="ListParagraph"/>
        <w:numPr>
          <w:ilvl w:val="0"/>
          <w:numId w:val="2"/>
        </w:numPr>
      </w:pPr>
      <w:r>
        <w:t xml:space="preserve">Clinical trial integrity monitoring</w:t>
      </w:r>
    </w:p>
    <w:p>
      <w:pPr>
        <w:pStyle w:val="ListParagraph"/>
        <w:numPr>
          <w:ilvl w:val="0"/>
          <w:numId w:val="2"/>
        </w:numPr>
      </w:pPr>
      <w:r>
        <w:t xml:space="preserve">Patient consent tracking and enforcement</w:t>
      </w:r>
    </w:p>
    <w:p>
      <w:pPr>
        <w:pStyle w:val="Heading2"/>
      </w:pPr>
      <w:r>
        <w:t xml:space="preserve">Financial Services and Risk Assessment</w:t>
      </w:r>
    </w:p>
    <w:p>
      <w:pPr>
        <w:spacing w:after="120"/>
      </w:pPr>
      <w:r>
        <w:t xml:space="preserve">Banking and investment AI systems operate under stringent regulatory requirements. GSP facilitates:</w:t>
      </w:r>
    </w:p>
    <w:p>
      <w:pPr>
        <w:pStyle w:val="ListParagraph"/>
        <w:numPr>
          <w:ilvl w:val="0"/>
          <w:numId w:val="2"/>
        </w:numPr>
      </w:pPr>
      <w:r>
        <w:t xml:space="preserve">SOX compliance through immutable financial decision logs</w:t>
      </w:r>
    </w:p>
    <w:p>
      <w:pPr>
        <w:pStyle w:val="ListParagraph"/>
        <w:numPr>
          <w:ilvl w:val="0"/>
          <w:numId w:val="2"/>
        </w:numPr>
      </w:pPr>
      <w:r>
        <w:t xml:space="preserve">SEC regulatory audit capability</w:t>
      </w:r>
    </w:p>
    <w:p>
      <w:pPr>
        <w:pStyle w:val="ListParagraph"/>
        <w:numPr>
          <w:ilvl w:val="0"/>
          <w:numId w:val="2"/>
        </w:numPr>
      </w:pPr>
      <w:r>
        <w:t xml:space="preserve">Basel III risk management verification</w:t>
      </w:r>
    </w:p>
    <w:p>
      <w:pPr>
        <w:pStyle w:val="ListParagraph"/>
        <w:numPr>
          <w:ilvl w:val="0"/>
          <w:numId w:val="2"/>
        </w:numPr>
      </w:pPr>
      <w:r>
        <w:t xml:space="preserve">Anti-money-laundering (AML) decision transparency</w:t>
      </w:r>
    </w:p>
    <w:p>
      <w:pPr>
        <w:pStyle w:val="ListParagraph"/>
        <w:numPr>
          <w:ilvl w:val="0"/>
          <w:numId w:val="2"/>
        </w:numPr>
      </w:pPr>
      <w:r>
        <w:t xml:space="preserve">Trading algorithm audit trails for market manipulation investigation</w:t>
      </w:r>
    </w:p>
    <w:p>
      <w:pPr>
        <w:pStyle w:val="Heading2"/>
      </w:pPr>
      <w:r>
        <w:t xml:space="preserve">Intelligence Analysis and Surveillance</w:t>
      </w:r>
    </w:p>
    <w:p>
      <w:pPr>
        <w:spacing w:after="120"/>
      </w:pPr>
      <w:r>
        <w:t xml:space="preserve">Intelligence community AI systems require both operational security and constitutional oversight. GSP enables:</w:t>
      </w:r>
    </w:p>
    <w:p>
      <w:pPr>
        <w:pStyle w:val="ListParagraph"/>
        <w:numPr>
          <w:ilvl w:val="0"/>
          <w:numId w:val="2"/>
        </w:numPr>
      </w:pPr>
      <w:r>
        <w:t xml:space="preserve">FISA court compliance verification</w:t>
      </w:r>
    </w:p>
    <w:p>
      <w:pPr>
        <w:pStyle w:val="ListParagraph"/>
        <w:numPr>
          <w:ilvl w:val="0"/>
          <w:numId w:val="2"/>
        </w:numPr>
      </w:pPr>
      <w:r>
        <w:t xml:space="preserve">Fourth Amendment audit trails</w:t>
      </w:r>
    </w:p>
    <w:p>
      <w:pPr>
        <w:pStyle w:val="ListParagraph"/>
        <w:numPr>
          <w:ilvl w:val="0"/>
          <w:numId w:val="2"/>
        </w:numPr>
      </w:pPr>
      <w:r>
        <w:t xml:space="preserve">Congressional oversight capability without compromising sources/methods</w:t>
      </w:r>
    </w:p>
    <w:p>
      <w:pPr>
        <w:pStyle w:val="ListParagraph"/>
        <w:numPr>
          <w:ilvl w:val="0"/>
          <w:numId w:val="2"/>
        </w:numPr>
      </w:pPr>
      <w:r>
        <w:t xml:space="preserve">Targeting decision reconstruction for legal review</w:t>
      </w:r>
    </w:p>
    <w:p>
      <w:pPr>
        <w:pStyle w:val="ListParagraph"/>
        <w:numPr>
          <w:ilvl w:val="0"/>
          <w:numId w:val="2"/>
        </w:numPr>
      </w:pPr>
      <w:r>
        <w:t xml:space="preserve">Classification-appropriate audit separation</w:t>
      </w:r>
    </w:p>
    <w:p>
      <w:pPr>
        <w:pStyle w:val="Heading2"/>
      </w:pPr>
      <w:r>
        <w:t xml:space="preserve">Critical Infrastructure Protection</w:t>
      </w:r>
    </w:p>
    <w:p>
      <w:pPr>
        <w:spacing w:after="120"/>
      </w:pPr>
      <w:r>
        <w:t xml:space="preserve">Power grids, water systems, and transportation networks increasingly rely on AI control systems. GSP provides:</w:t>
      </w:r>
    </w:p>
    <w:p>
      <w:pPr>
        <w:pStyle w:val="ListParagraph"/>
        <w:numPr>
          <w:ilvl w:val="0"/>
          <w:numId w:val="2"/>
        </w:numPr>
      </w:pPr>
      <w:r>
        <w:t xml:space="preserve">NERC CIP compliance for energy sector</w:t>
      </w:r>
    </w:p>
    <w:p>
      <w:pPr>
        <w:pStyle w:val="ListParagraph"/>
        <w:numPr>
          <w:ilvl w:val="0"/>
          <w:numId w:val="2"/>
        </w:numPr>
      </w:pPr>
      <w:r>
        <w:t xml:space="preserve">Incident reconstruction for safety investigations</w:t>
      </w:r>
    </w:p>
    <w:p>
      <w:pPr>
        <w:pStyle w:val="ListParagraph"/>
        <w:numPr>
          <w:ilvl w:val="0"/>
          <w:numId w:val="2"/>
        </w:numPr>
      </w:pPr>
      <w:r>
        <w:t xml:space="preserve">Cyber-attack attribution and forensics</w:t>
      </w:r>
    </w:p>
    <w:p>
      <w:pPr>
        <w:pStyle w:val="ListParagraph"/>
        <w:numPr>
          <w:ilvl w:val="0"/>
          <w:numId w:val="2"/>
        </w:numPr>
      </w:pPr>
      <w:r>
        <w:t xml:space="preserve">Automated system failover verification</w:t>
      </w:r>
    </w:p>
    <w:p>
      <w:pPr>
        <w:pStyle w:val="ListParagraph"/>
        <w:numPr>
          <w:ilvl w:val="0"/>
          <w:numId w:val="2"/>
        </w:numPr>
      </w:pPr>
      <w:r>
        <w:t xml:space="preserve">Regulatory compliance for TSA/FAA/EPA oversight</w:t>
      </w:r>
    </w:p>
    <w:p>
      <w:r>
        <w:br w:type="page"/>
      </w:r>
    </w:p>
    <w:p>
      <w:pPr>
        <w:pStyle w:val="Heading1"/>
      </w:pPr>
      <w:r>
        <w:t xml:space="preserve">Conclusion and Path Forward</w:t>
      </w:r>
    </w:p>
    <w:p>
      <w:r>
        <w:t xml:space="preserve">The Glass Substrate Protocol represents a fundamental architectural shift in how AI systems are governed, monitored, and held accountable. By separating intelligence execution from ethical governance through hardware-enforced middleware, GSP resolves systemic failures in current AI deployment models while preserving operational performance and model flexibility.</w:t>
      </w:r>
    </w:p>
    <w:p>
      <w:pPr>
        <w:pStyle w:val="Heading2"/>
      </w:pPr>
      <w:r>
        <w:t xml:space="preserve">Designed for Institutional Maturation</w:t>
      </w:r>
    </w:p>
    <w:p>
      <w:r>
        <w:t xml:space="preserve">The governance structures, certification independence, multi-stakeholder collaboration models, standards alignment pathways, and voluntary adoption strategies described in this white paper were designed into GSP from inception. What has been elaborated here is not a set of reactive additions, but the formalization of architectural principles that have guided the protocol's development from the outset.</w:t>
      </w:r>
    </w:p>
    <w:p>
      <w:pPr>
        <w:spacing w:before="200" w:after="200"/>
      </w:pPr>
      <w:r>
        <w:t xml:space="preserve">GSP makes explicit the institutional pathways necessary for the framework to mature beyond founder authority while preserving technical integrity and governance independence. The protocol is ready for institutional engagement on institutional terms—through academic research partnerships, NGO ethical oversight, government pilot programs, and standards body submission processes.</w:t>
      </w:r>
    </w:p>
    <w:p>
      <w:pPr>
        <w:pStyle w:val="Heading2"/>
      </w:pPr>
      <w:r>
        <w:t xml:space="preserve">Technical Readiness</w:t>
      </w:r>
    </w:p>
    <w:p>
      <w:pPr>
        <w:spacing w:after="120"/>
      </w:pPr>
      <w:r>
        <w:t xml:space="preserve">Reference implementations demonstrate GSP's practical feasibility:</w:t>
      </w:r>
    </w:p>
    <w:p>
      <w:pPr>
        <w:pStyle w:val="ListParagraph"/>
        <w:numPr>
          <w:ilvl w:val="0"/>
          <w:numId w:val="2"/>
        </w:numPr>
      </w:pPr>
      <w:r>
        <w:t xml:space="preserve">Production-grade WORM storage utilizing AWS S3 Object Lock</w:t>
      </w:r>
    </w:p>
    <w:p>
      <w:pPr>
        <w:pStyle w:val="ListParagraph"/>
        <w:numPr>
          <w:ilvl w:val="0"/>
          <w:numId w:val="2"/>
        </w:numPr>
      </w:pPr>
      <w:r>
        <w:t xml:space="preserve">CloudTrail integration for comprehensive audit capture</w:t>
      </w:r>
    </w:p>
    <w:p>
      <w:pPr>
        <w:pStyle w:val="ListParagraph"/>
        <w:numPr>
          <w:ilvl w:val="0"/>
          <w:numId w:val="2"/>
        </w:numPr>
      </w:pPr>
      <w:r>
        <w:t xml:space="preserve">Cryptographic attestation systems with SHA-256 verification</w:t>
      </w:r>
    </w:p>
    <w:p>
      <w:pPr>
        <w:pStyle w:val="ListParagraph"/>
        <w:numPr>
          <w:ilvl w:val="0"/>
          <w:numId w:val="2"/>
        </w:numPr>
      </w:pPr>
      <w:r>
        <w:t xml:space="preserve">AWS Config continuous compliance monitoring</w:t>
      </w:r>
    </w:p>
    <w:p>
      <w:pPr>
        <w:pStyle w:val="ListParagraph"/>
        <w:numPr>
          <w:ilvl w:val="0"/>
          <w:numId w:val="2"/>
        </w:numPr>
      </w:pPr>
      <w:r>
        <w:t xml:space="preserve">KMS encryption for data protection</w:t>
      </w:r>
    </w:p>
    <w:p>
      <w:pPr>
        <w:pStyle w:val="ListParagraph"/>
        <w:numPr>
          <w:ilvl w:val="0"/>
          <w:numId w:val="2"/>
        </w:numPr>
      </w:pPr>
      <w:r>
        <w:t xml:space="preserve">Multi-region deployment capabilities</w:t>
      </w:r>
    </w:p>
    <w:p>
      <w:pPr>
        <w:spacing w:before="200"/>
      </w:pPr>
      <w:r>
        <w:t xml:space="preserve">These implementations prove that hardware-enforced AI governance is not theoretical—it is deployable today using commercially available infrastructure.</w:t>
      </w:r>
    </w:p>
    <w:p>
      <w:pPr>
        <w:pStyle w:val="Heading2"/>
      </w:pPr>
      <w:r>
        <w:t xml:space="preserve">Strategic Value Proposition</w:t>
      </w:r>
    </w:p>
    <w:p>
      <w:pPr>
        <w:spacing w:after="120"/>
      </w:pPr>
      <w:r>
        <w:t xml:space="preserve">Organizations implementing GSP gain:</w:t>
      </w:r>
    </w:p>
    <w:p>
      <w:pPr>
        <w:pStyle w:val="ListParagraph"/>
        <w:numPr>
          <w:ilvl w:val="0"/>
          <w:numId w:val="2"/>
        </w:numPr>
      </w:pPr>
      <w:r>
        <w:rPr>
          <w:b/>
          <w:bCs/>
        </w:rPr>
        <w:t xml:space="preserve">Legal Protection: </w:t>
      </w:r>
      <w:r>
        <w:t xml:space="preserve">Defensible audit trails for litigation and regulatory proceedings</w:t>
      </w:r>
    </w:p>
    <w:p>
      <w:pPr>
        <w:pStyle w:val="ListParagraph"/>
        <w:numPr>
          <w:ilvl w:val="0"/>
          <w:numId w:val="2"/>
        </w:numPr>
      </w:pPr>
      <w:r>
        <w:rPr>
          <w:b/>
          <w:bCs/>
        </w:rPr>
        <w:t xml:space="preserve">Regulatory Compliance: </w:t>
      </w:r>
      <w:r>
        <w:t xml:space="preserve">Verifiable alignment with emerging AI governance requirements</w:t>
      </w:r>
    </w:p>
    <w:p>
      <w:pPr>
        <w:pStyle w:val="ListParagraph"/>
        <w:numPr>
          <w:ilvl w:val="0"/>
          <w:numId w:val="2"/>
        </w:numPr>
      </w:pPr>
      <w:r>
        <w:rPr>
          <w:b/>
          <w:bCs/>
        </w:rPr>
        <w:t xml:space="preserve">Operational Transparency: </w:t>
      </w:r>
      <w:r>
        <w:t xml:space="preserve">Stakeholder confidence through demonstrable accountability</w:t>
      </w:r>
    </w:p>
    <w:p>
      <w:pPr>
        <w:pStyle w:val="ListParagraph"/>
        <w:numPr>
          <w:ilvl w:val="0"/>
          <w:numId w:val="2"/>
        </w:numPr>
      </w:pPr>
      <w:r>
        <w:rPr>
          <w:b/>
          <w:bCs/>
        </w:rPr>
        <w:t xml:space="preserve">Risk Mitigation: </w:t>
      </w:r>
      <w:r>
        <w:t xml:space="preserve">Insurance premium reductions through documented safety measures</w:t>
      </w:r>
    </w:p>
    <w:p>
      <w:pPr>
        <w:pStyle w:val="ListParagraph"/>
        <w:numPr>
          <w:ilvl w:val="0"/>
          <w:numId w:val="2"/>
        </w:numPr>
      </w:pPr>
      <w:r>
        <w:rPr>
          <w:b/>
          <w:bCs/>
        </w:rPr>
        <w:t xml:space="preserve">Competitive Advantage: </w:t>
      </w:r>
      <w:r>
        <w:t xml:space="preserve">Procurement preference in government and enterprise contexts</w:t>
      </w:r>
    </w:p>
    <w:p>
      <w:pPr>
        <w:pStyle w:val="ListParagraph"/>
        <w:numPr>
          <w:ilvl w:val="0"/>
          <w:numId w:val="2"/>
        </w:numPr>
      </w:pPr>
      <w:r>
        <w:rPr>
          <w:b/>
          <w:bCs/>
        </w:rPr>
        <w:t xml:space="preserve">Future-Proofing: </w:t>
      </w:r>
      <w:r>
        <w:t xml:space="preserve">Readiness for inevitable governance regulation</w:t>
      </w:r>
    </w:p>
    <w:p>
      <w:pPr>
        <w:pStyle w:val="Heading2"/>
      </w:pPr>
      <w:r>
        <w:t xml:space="preserve">Call to Action</w:t>
      </w:r>
    </w:p>
    <w:p>
      <w:pPr>
        <w:spacing w:after="120"/>
      </w:pPr>
      <w:r>
        <w:t xml:space="preserve">The Glass Substrate Protocol offers a credible, implementable solution to AI's accountability crisis. The framework invites collaboration from:</w:t>
      </w:r>
    </w:p>
    <w:p>
      <w:pPr>
        <w:pStyle w:val="ListParagraph"/>
        <w:numPr>
          <w:ilvl w:val="0"/>
          <w:numId w:val="2"/>
        </w:numPr>
      </w:pPr>
      <w:r>
        <w:rPr>
          <w:b/>
          <w:bCs/>
        </w:rPr>
        <w:t xml:space="preserve">Academic institutions </w:t>
      </w:r>
      <w:r>
        <w:t xml:space="preserve">seeking to validate governance architectures through empirical research</w:t>
      </w:r>
    </w:p>
    <w:p>
      <w:pPr>
        <w:pStyle w:val="ListParagraph"/>
        <w:numPr>
          <w:ilvl w:val="0"/>
          <w:numId w:val="2"/>
        </w:numPr>
      </w:pPr>
      <w:r>
        <w:rPr>
          <w:b/>
          <w:bCs/>
        </w:rPr>
        <w:t xml:space="preserve">Government agencies </w:t>
      </w:r>
      <w:r>
        <w:t xml:space="preserve">exploring regulatory sandboxes and pilot deployments</w:t>
      </w:r>
    </w:p>
    <w:p>
      <w:pPr>
        <w:pStyle w:val="ListParagraph"/>
        <w:numPr>
          <w:ilvl w:val="0"/>
          <w:numId w:val="2"/>
        </w:numPr>
      </w:pPr>
      <w:r>
        <w:rPr>
          <w:b/>
          <w:bCs/>
        </w:rPr>
        <w:t xml:space="preserve">Standards bodies </w:t>
      </w:r>
      <w:r>
        <w:t xml:space="preserve">developing international AI governance frameworks</w:t>
      </w:r>
    </w:p>
    <w:p>
      <w:pPr>
        <w:pStyle w:val="ListParagraph"/>
        <w:numPr>
          <w:ilvl w:val="0"/>
          <w:numId w:val="2"/>
        </w:numPr>
      </w:pPr>
      <w:r>
        <w:rPr>
          <w:b/>
          <w:bCs/>
        </w:rPr>
        <w:t xml:space="preserve">NGOs and civil society </w:t>
      </w:r>
      <w:r>
        <w:t xml:space="preserve">advancing ethical AI through oversight and advocacy</w:t>
      </w:r>
    </w:p>
    <w:p>
      <w:pPr>
        <w:pStyle w:val="ListParagraph"/>
        <w:numPr>
          <w:ilvl w:val="0"/>
          <w:numId w:val="2"/>
        </w:numPr>
      </w:pPr>
      <w:r>
        <w:rPr>
          <w:b/>
          <w:bCs/>
        </w:rPr>
        <w:t xml:space="preserve">Enterprise and defense organizations </w:t>
      </w:r>
      <w:r>
        <w:t xml:space="preserve">deploying high-stakes AI requiring accountability</w:t>
      </w:r>
    </w:p>
    <w:p>
      <w:pPr>
        <w:pStyle w:val="ListParagraph"/>
        <w:numPr>
          <w:ilvl w:val="0"/>
          <w:numId w:val="2"/>
        </w:numPr>
      </w:pPr>
      <w:r>
        <w:rPr>
          <w:b/>
          <w:bCs/>
        </w:rPr>
        <w:t xml:space="preserve">Technology providers </w:t>
      </w:r>
      <w:r>
        <w:t xml:space="preserve">seeking to differentiate through demonstrable governance</w:t>
      </w:r>
    </w:p>
    <w:p>
      <w:pPr>
        <w:pStyle w:val="Heading2"/>
      </w:pPr>
      <w:r>
        <w:t xml:space="preserve">The Future of Trustworthy AI</w:t>
      </w:r>
    </w:p>
    <w:p>
      <w:r>
        <w:t xml:space="preserve">AI systems will inevitably face governance requirements as their societal impact deepens. Organizations can either wait for regulatory mandates to impose accountability mechanisms retroactively, or they can proactively adopt frameworks like GSP that demonstrate governance maturity today.</w:t>
      </w:r>
    </w:p>
    <w:p>
      <w:pPr>
        <w:spacing w:before="200" w:after="200"/>
      </w:pPr>
      <w:r>
        <w:t xml:space="preserve">The Glass Substrate Protocol provides the technical architecture, governance framework, and institutional pathways necessary to build AI systems that are simultaneously powerful and accountable. By embedding transparency, verification, and liability attribution at the hardware level, GSP ensures that as AI capabilities advance, they advance alongside—not ahead of—our ability to govern them responsibly.</w:t>
      </w:r>
    </w:p>
    <w:p>
      <w:r>
        <w:t xml:space="preserve">The protocol is ready. The architecture is proven. The governance framework is designed for scale. What remains is institutional adoption, collaborative refinement, and commitment to the principle that powerful AI demands powerful accountability.</w:t>
      </w:r>
    </w:p>
    <w:p>
      <w:r>
        <w:br w:type="page"/>
      </w:r>
    </w:p>
    <w:p>
      <w:pPr>
        <w:pStyle w:val="Heading1"/>
      </w:pPr>
      <w:r>
        <w:t xml:space="preserve">Appendix: Technical Specifications</w:t>
      </w:r>
    </w:p>
    <w:p>
      <w:pPr>
        <w:pStyle w:val="Heading2"/>
      </w:pPr>
      <w:r>
        <w:t xml:space="preserve">Cryptographic Attestation Format</w:t>
      </w:r>
    </w:p>
    <w:p>
      <w:pPr>
        <w:spacing w:after="120"/>
      </w:pPr>
      <w:r>
        <w:t xml:space="preserve">Standard GSP attestation structure:</w:t>
      </w:r>
    </w:p>
    <w:p>
      <w:r>
        <w:rPr>
          <w:rFonts w:ascii="Courier New" w:cs="Courier New" w:eastAsia="Courier New" w:hAnsi="Courier New"/>
          <w:sz w:val="20"/>
          <w:szCs w:val="20"/>
        </w:rPr>
        <w:t xml:space="preserve">{
  "issuer": "GSP",
  "userId": "unique-user-identifier",
  "action": "ACTION_TYPE",
  "metadata": { /* context-specific data */ },
  "timestamp": "ISO-8601 timestamp",
  "hash": "SHA-256 cryptographic hash",
  "chainLink": "hash of previous attestation"
}</w:t>
      </w:r>
    </w:p>
    <w:p>
      <w:pPr>
        <w:pStyle w:val="Heading2"/>
      </w:pPr>
      <w:r>
        <w:t xml:space="preserve">WORM Storage Configuration</w:t>
      </w:r>
    </w:p>
    <w:p>
      <w:pPr>
        <w:spacing w:after="120"/>
      </w:pPr>
      <w:r>
        <w:t xml:space="preserve">Minimum requirements for GSP-compliant immutable storage:</w:t>
      </w:r>
    </w:p>
    <w:p>
      <w:pPr>
        <w:pStyle w:val="ListParagraph"/>
        <w:numPr>
          <w:ilvl w:val="0"/>
          <w:numId w:val="2"/>
        </w:numPr>
      </w:pPr>
      <w:r>
        <w:t xml:space="preserve">Object Lock enabled at bucket creation</w:t>
      </w:r>
    </w:p>
    <w:p>
      <w:pPr>
        <w:pStyle w:val="ListParagraph"/>
        <w:numPr>
          <w:ilvl w:val="0"/>
          <w:numId w:val="2"/>
        </w:numPr>
      </w:pPr>
      <w:r>
        <w:t xml:space="preserve">Versioning mandatory (prevents object replacement)</w:t>
      </w:r>
    </w:p>
    <w:p>
      <w:pPr>
        <w:pStyle w:val="ListParagraph"/>
        <w:numPr>
          <w:ilvl w:val="0"/>
          <w:numId w:val="2"/>
        </w:numPr>
      </w:pPr>
      <w:r>
        <w:t xml:space="preserve">Default retention: 365 days minimum, GOVERNANCE mode</w:t>
      </w:r>
    </w:p>
    <w:p>
      <w:pPr>
        <w:pStyle w:val="ListParagraph"/>
        <w:numPr>
          <w:ilvl w:val="0"/>
          <w:numId w:val="2"/>
        </w:numPr>
      </w:pPr>
      <w:r>
        <w:t xml:space="preserve">KMS encryption (AES-256) for data at rest</w:t>
      </w:r>
    </w:p>
    <w:p>
      <w:pPr>
        <w:pStyle w:val="ListParagraph"/>
        <w:numPr>
          <w:ilvl w:val="0"/>
          <w:numId w:val="2"/>
        </w:numPr>
      </w:pPr>
      <w:r>
        <w:t xml:space="preserve">Public access completely blocked</w:t>
      </w:r>
    </w:p>
    <w:p>
      <w:pPr>
        <w:pStyle w:val="ListParagraph"/>
        <w:numPr>
          <w:ilvl w:val="0"/>
          <w:numId w:val="2"/>
        </w:numPr>
      </w:pPr>
      <w:r>
        <w:t xml:space="preserve">Multi-region replication for disaster recovery</w:t>
      </w:r>
    </w:p>
    <w:p>
      <w:pPr>
        <w:pStyle w:val="Heading2"/>
      </w:pPr>
      <w:r>
        <w:t xml:space="preserve">Compliance Monitoring Rules</w:t>
      </w:r>
    </w:p>
    <w:p>
      <w:pPr>
        <w:spacing w:after="120"/>
      </w:pPr>
      <w:r>
        <w:t xml:space="preserve">AWS Config rules for continuous GSP compliance verification:</w:t>
      </w:r>
    </w:p>
    <w:p>
      <w:pPr>
        <w:pStyle w:val="ListParagraph"/>
        <w:numPr>
          <w:ilvl w:val="0"/>
          <w:numId w:val="2"/>
        </w:numPr>
      </w:pPr>
      <w:r>
        <w:t xml:space="preserve">s3-bucket-server-side-encryption-enabled</w:t>
      </w:r>
    </w:p>
    <w:p>
      <w:pPr>
        <w:pStyle w:val="ListParagraph"/>
        <w:numPr>
          <w:ilvl w:val="0"/>
          <w:numId w:val="2"/>
        </w:numPr>
      </w:pPr>
      <w:r>
        <w:t xml:space="preserve">s3-bucket-public-read-prohibited</w:t>
      </w:r>
    </w:p>
    <w:p>
      <w:pPr>
        <w:pStyle w:val="ListParagraph"/>
        <w:numPr>
          <w:ilvl w:val="0"/>
          <w:numId w:val="2"/>
        </w:numPr>
      </w:pPr>
      <w:r>
        <w:t xml:space="preserve">s3-bucket-public-write-prohibited</w:t>
      </w:r>
    </w:p>
    <w:p>
      <w:pPr>
        <w:pStyle w:val="ListParagraph"/>
        <w:numPr>
          <w:ilvl w:val="0"/>
          <w:numId w:val="2"/>
        </w:numPr>
      </w:pPr>
      <w:r>
        <w:t xml:space="preserve">s3-bucket-versioning-enabled</w:t>
      </w:r>
    </w:p>
    <w:p>
      <w:pPr>
        <w:pStyle w:val="ListParagraph"/>
        <w:numPr>
          <w:ilvl w:val="0"/>
          <w:numId w:val="2"/>
        </w:numPr>
      </w:pPr>
      <w:r>
        <w:t xml:space="preserve">cloudtrail-enabled</w:t>
      </w:r>
    </w:p>
    <w:p>
      <w:pPr>
        <w:pStyle w:val="ListParagraph"/>
        <w:numPr>
          <w:ilvl w:val="0"/>
          <w:numId w:val="2"/>
        </w:numPr>
      </w:pPr>
      <w:r>
        <w:t xml:space="preserve">cloudtrail-log-file-validation-enabled</w:t>
      </w:r>
    </w:p>
    <w:p>
      <w:pPr>
        <w:pStyle w:val="Heading2"/>
      </w:pPr>
      <w:r>
        <w:t xml:space="preserve">Contact Information</w:t>
      </w:r>
    </w:p>
    <w:p>
      <w:r>
        <w:rPr>
          <w:b/>
          <w:bCs/>
        </w:rPr>
        <w:t xml:space="preserve">Protocol Architect:</w:t>
      </w:r>
      <w:r>
        <w:t xml:space="preserve"> Sierra N. Warren</w:t>
      </w:r>
    </w:p>
    <w:p>
      <w:r>
        <w:rPr>
          <w:b/>
          <w:bCs/>
        </w:rPr>
        <w:t xml:space="preserve">Organization:</w:t>
      </w:r>
      <w:r>
        <w:t xml:space="preserve"> The Governing Board for AI Liability Oversight (G-BALO)</w:t>
      </w:r>
    </w:p>
    <w:p>
      <w:r>
        <w:rPr>
          <w:b/>
          <w:bCs/>
        </w:rPr>
        <w:t xml:space="preserve">Framework:</w:t>
      </w:r>
      <w:r>
        <w:t xml:space="preserve"> The Glass Substrate Protocol (GSP™)</w:t>
      </w:r>
    </w:p>
    <w:p>
      <w:r>
        <w:rPr>
          <w:b/>
          <w:bCs/>
        </w:rPr>
        <w:t xml:space="preserve">Certification:</w:t>
      </w:r>
      <w:r>
        <w:t xml:space="preserve"> Sierra Certified™</w:t>
      </w:r>
    </w:p>
    <w:p>
      <w:pPr>
        <w:spacing w:before="240"/>
      </w:pPr>
      <w:r>
        <w:rPr>
          <w:i/>
          <w:iCs/>
        </w:rPr>
        <w:t xml:space="preserve">For inquiries regarding pilot programs, certification, technical collaboration, or institutional partnerships, please reference this white paper and contact G-BALO through appropriate channels.</w:t>
      </w:r>
    </w:p>
    <w:p>
      <w:pPr>
        <w:spacing w:before="480"/>
        <w:jc w:val="center"/>
      </w:pPr>
      <w:r>
        <w:rPr>
          <w:i/>
          <w:iCs/>
          <w:sz w:val="18"/>
          <w:szCs w:val="18"/>
        </w:rPr>
        <w:t xml:space="preserve">© 2026 Sierra N. Warren. All Rights Reserved.</w:t>
      </w:r>
    </w:p>
    <w:p>
      <w:pPr>
        <w:jc w:val="center"/>
      </w:pPr>
      <w:r>
        <w:rPr>
          <w:i/>
          <w:iCs/>
          <w:sz w:val="16"/>
          <w:szCs w:val="16"/>
        </w:rPr>
        <w:t xml:space="preserve">GSP™, G-BALO™, and Sierra Certified™ are trademarks of Sierra Warren.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2026-02-13T00:14:28.469Z</dcterms:created>
  <dcterms:modified xsi:type="dcterms:W3CDTF">2026-02-13T00:14:28.470Z</dcterms:modified>
</cp:coreProperties>
</file>

<file path=docProps/custom.xml><?xml version="1.0" encoding="utf-8"?>
<Properties xmlns="http://schemas.openxmlformats.org/officeDocument/2006/custom-properties" xmlns:vt="http://schemas.openxmlformats.org/officeDocument/2006/docPropsVTypes"/>
</file>