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36"/>
        <w:jc w:val="center"/>
        <w:tblLayout w:type="fixed"/>
        <w:tblLook w:firstColumn="1" w:firstRow="1" w:lastColumn="0" w:lastRow="0" w:noHBand="0" w:noVBand="1" w:val="04A0"/>
      </w:tblPr>
      <w:tblGrid>
        <w:gridCol w:w="10036"/>
      </w:tblGrid>
      <w:tr>
        <w:tc>
          <w:tcPr>
            <w:tcW w:type="dxa" w:w="10036"/>
            <w:shd w:val="clear" w:color="auto" w:fill="071C4F"/>
            <w:tcMar>
              <w:top w:w="150" w:type="dxa"/>
              <w:left w:w="180" w:type="dxa"/>
              <w:bottom w:w="150" w:type="dxa"/>
              <w:right w:w="180" w:type="dxa"/>
            </w:tcMar>
            <w:vAlign w:val="center"/>
          </w:tcPr>
          <w:p>
            <w:r>
              <w:rPr>
                <w:b/>
                <w:color w:val="FFFFFF"/>
                <w:sz w:val="18"/>
              </w:rPr>
              <w:t>LOGICMONITOR  |  CUSTOMER HEALTH CHECK</w:t>
            </w:r>
          </w:p>
        </w:tc>
      </w:tr>
    </w:tbl>
    <w:p>
      <w:pPr>
        <w:spacing w:after="0"/>
      </w:pPr>
    </w:p>
    <w:p>
      <w:pPr>
        <w:spacing w:before="440" w:after="80" w:line="259" w:lineRule="auto"/>
      </w:pPr>
      <w:r>
        <w:rPr>
          <w:b/>
          <w:color w:val="006FF2"/>
          <w:sz w:val="28"/>
        </w:rPr>
        <w:t>EXAMPLE CORP / INFOSYS</w:t>
      </w:r>
    </w:p>
    <w:p>
      <w:pPr>
        <w:pStyle w:val="Title"/>
        <w:spacing w:before="0" w:after="80"/>
      </w:pPr>
      <w:r>
        <w:t>LM Envision Customer Health Check</w:t>
      </w:r>
    </w:p>
    <w:p>
      <w:pPr>
        <w:spacing w:before="0" w:after="440" w:line="259" w:lineRule="auto"/>
      </w:pPr>
      <w:r>
        <w:rPr>
          <w:b w:val="0"/>
          <w:color w:val="586273"/>
          <w:sz w:val="24"/>
        </w:rPr>
        <w:t>Portal health check | example.logicmonitor.com</w:t>
      </w:r>
    </w:p>
    <w:tbl>
      <w:tblPr>
        <w:tblW w:type="dxa" w:w="9921"/>
        <w:jc w:val="center"/>
        <w:tblLayout w:type="fixed"/>
        <w:tblLook w:firstColumn="1" w:firstRow="1" w:lastColumn="0" w:lastRow="0" w:noHBand="0" w:noVBand="1" w:val="04A0"/>
      </w:tblPr>
      <w:tblGrid>
        <w:gridCol w:w="1871"/>
        <w:gridCol w:w="8050"/>
      </w:tblGrid>
      <w:tr>
        <w:tc>
          <w:tcPr>
            <w:tcW w:type="dxa" w:w="1871"/>
            <w:tcBorders>
              <w:top w:val="single" w:sz="6" w:space="0" w:color="D7DEE8"/>
              <w:left w:val="single" w:sz="6" w:space="0" w:color="D7DEE8"/>
              <w:bottom w:val="single" w:sz="6" w:space="0" w:color="D7DEE8"/>
              <w:right w:val="single" w:sz="6" w:space="0" w:color="D7DEE8"/>
            </w:tcBorders>
            <w:shd w:val="clear" w:color="auto" w:fill="FFF3D6"/>
            <w:tcMar>
              <w:top w:w="170" w:type="dxa"/>
              <w:left w:w="170" w:type="dxa"/>
              <w:bottom w:w="170" w:type="dxa"/>
              <w:right w:w="170" w:type="dxa"/>
            </w:tcMar>
            <w:vAlign w:val="center"/>
          </w:tcPr>
          <w:p>
            <w:pPr>
              <w:jc w:val="center"/>
            </w:pPr>
            <w:r>
              <w:rPr>
                <w:b/>
                <w:color w:val="A15C00"/>
                <w:sz w:val="26"/>
              </w:rPr>
              <w:t>AMBER</w:t>
            </w:r>
          </w:p>
        </w:tc>
        <w:tc>
          <w:tcPr>
            <w:tcW w:type="dxa" w:w="8050"/>
            <w:tcBorders>
              <w:top w:val="single" w:sz="6" w:space="0" w:color="D7DEE8"/>
              <w:left w:val="single" w:sz="6" w:space="0" w:color="D7DEE8"/>
              <w:bottom w:val="single" w:sz="6" w:space="0" w:color="D7DEE8"/>
              <w:right w:val="single" w:sz="6" w:space="0" w:color="D7DEE8"/>
            </w:tcBorders>
            <w:shd w:val="clear" w:color="auto" w:fill="F5F9FF"/>
            <w:tcMar>
              <w:top w:w="170" w:type="dxa"/>
              <w:left w:w="170" w:type="dxa"/>
              <w:bottom w:w="170" w:type="dxa"/>
              <w:right w:w="170" w:type="dxa"/>
            </w:tcMar>
            <w:vAlign w:val="center"/>
          </w:tcPr>
          <w:p>
            <w:r>
              <w:rPr>
                <w:b/>
                <w:color w:val="071C4F"/>
                <w:sz w:val="21"/>
              </w:rPr>
              <w:t xml:space="preserve">Overall condition: </w:t>
            </w:r>
            <w:r>
              <w:rPr>
                <w:b w:val="0"/>
                <w:i w:val="0"/>
                <w:color w:val="1E2430"/>
                <w:sz w:val="21"/>
              </w:rPr>
              <w:t>Platform footprint of 147 resources with coverage gaps, constrained by alert noise, collector governance, Service Insights maturity and synthetic coverage.</w:t>
            </w:r>
          </w:p>
        </w:tc>
      </w:tr>
    </w:tbl>
    <w:p>
      <w:pPr>
        <w:spacing w:after="0"/>
      </w:pPr>
    </w:p>
    <w:p>
      <w:pPr>
        <w:spacing w:after="40"/>
      </w:pPr>
    </w:p>
    <w:tbl>
      <w:tblPr>
        <w:tblW w:type="dxa" w:w="9922"/>
        <w:jc w:val="center"/>
        <w:tblLayout w:type="fixed"/>
        <w:tblLook w:firstColumn="1" w:firstRow="1" w:lastColumn="0" w:lastRow="0" w:noHBand="0" w:noVBand="1" w:val="04A0"/>
      </w:tblPr>
      <w:tblGrid>
        <w:gridCol w:w="142"/>
        <w:gridCol w:w="9780"/>
      </w:tblGrid>
      <w:tr>
        <w:tc>
          <w:tcPr>
            <w:tcW w:type="dxa" w:w="142"/>
            <w:shd w:val="clear" w:color="auto" w:fill="006FF2"/>
            <w:tcMar>
              <w:top w:w="0" w:type="dxa"/>
              <w:left w:w="0" w:type="dxa"/>
              <w:bottom w:w="0" w:type="dxa"/>
              <w:right w:w="0" w:type="dxa"/>
            </w:tcMar>
            <w:vAlign w:val="center"/>
          </w:tcPr>
          <w:p/>
        </w:tc>
        <w:tc>
          <w:tcPr>
            <w:tcW w:type="dxa" w:w="9780"/>
            <w:shd w:val="clear" w:color="auto" w:fill="F5F9FF"/>
            <w:tcMar>
              <w:top w:w="150" w:type="dxa"/>
              <w:left w:w="180" w:type="dxa"/>
              <w:bottom w:w="150" w:type="dxa"/>
              <w:right w:w="180" w:type="dxa"/>
            </w:tcMar>
            <w:vAlign w:val="center"/>
          </w:tcPr>
          <w:p>
            <w:pPr>
              <w:spacing w:before="0" w:after="40" w:line="259" w:lineRule="auto"/>
            </w:pPr>
            <w:r>
              <w:rPr>
                <w:b/>
                <w:color w:val="071C4F"/>
                <w:sz w:val="21"/>
              </w:rPr>
              <w:t>Primary conclusion</w:t>
            </w:r>
          </w:p>
          <w:p>
            <w:pPr>
              <w:spacing w:before="0" w:after="0" w:line="259" w:lineRule="auto"/>
            </w:pPr>
            <w:r>
              <w:rPr>
                <w:b w:val="0"/>
                <w:i w:val="0"/>
                <w:color w:val="1E2430"/>
                <w:sz w:val="20"/>
              </w:rPr>
              <w:t>This is primarily an operationalisation and governance problem, with monitoring hygiene to fix alongside it. The portal is collecting substantial telemetry, but alert noise, collector governance and LogicModule governance limit how much of it turns into lower effort, better service context and automated response.</w:t>
            </w:r>
          </w:p>
        </w:tc>
      </w:tr>
    </w:tbl>
    <w:p>
      <w:pPr>
        <w:spacing w:after="0"/>
      </w:pPr>
    </w:p>
    <w:p>
      <w:pPr>
        <w:spacing w:after="80"/>
      </w:pPr>
    </w:p>
    <w:p>
      <w:r>
        <w:rPr>
          <w:b/>
          <w:color w:val="071C4F"/>
          <w:sz w:val="18"/>
        </w:rPr>
        <w:t>Assessment date</w:t>
      </w:r>
      <w:r>
        <w:rPr>
          <w:b w:val="0"/>
          <w:i w:val="0"/>
          <w:color w:val="1E2430"/>
          <w:sz w:val="18"/>
        </w:rPr>
        <w:t xml:space="preserve"> 20 October 2026</w:t>
      </w:r>
    </w:p>
    <w:p>
      <w:r>
        <w:rPr>
          <w:b/>
          <w:color w:val="071C4F"/>
          <w:sz w:val="18"/>
        </w:rPr>
        <w:t>Operating model</w:t>
      </w:r>
      <w:r>
        <w:rPr>
          <w:b w:val="0"/>
          <w:i w:val="0"/>
          <w:color w:val="1E2430"/>
          <w:sz w:val="18"/>
        </w:rPr>
        <w:t xml:space="preserve"> Example Corp environment managed by Infosys</w:t>
      </w:r>
    </w:p>
    <w:p>
      <w:r>
        <w:rPr>
          <w:b/>
          <w:color w:val="071C4F"/>
          <w:sz w:val="18"/>
        </w:rPr>
        <w:t>Portal</w:t>
      </w:r>
      <w:r>
        <w:rPr>
          <w:b w:val="0"/>
          <w:i w:val="0"/>
          <w:color w:val="1E2430"/>
          <w:sz w:val="18"/>
        </w:rPr>
        <w:t xml:space="preserve"> example.logicmonitor.com (read-only REST API v3 collection at 10:00 IST)</w:t>
      </w:r>
    </w:p>
    <w:p>
      <w:r>
        <w:rPr>
          <w:b/>
          <w:color w:val="071C4F"/>
          <w:sz w:val="18"/>
        </w:rPr>
        <w:t>Prepared by</w:t>
      </w:r>
      <w:r>
        <w:rPr>
          <w:b w:val="0"/>
          <w:i w:val="0"/>
          <w:color w:val="1E2430"/>
          <w:sz w:val="18"/>
        </w:rPr>
        <w:t xml:space="preserve"> Infosys LogicMonitor Practice</w:t>
      </w:r>
    </w:p>
    <w:p>
      <w:r>
        <w:rPr>
          <w:b/>
          <w:color w:val="071C4F"/>
          <w:sz w:val="18"/>
        </w:rPr>
        <w:t>Classification</w:t>
      </w:r>
      <w:r>
        <w:rPr>
          <w:b w:val="0"/>
          <w:i w:val="0"/>
          <w:color w:val="1E2430"/>
          <w:sz w:val="18"/>
        </w:rPr>
        <w:t xml:space="preserve"> Internal account planning</w:t>
      </w:r>
    </w:p>
    <w:p>
      <w:r>
        <w:br w:type="page"/>
      </w:r>
    </w:p>
    <w:p>
      <w:pPr>
        <w:pStyle w:val="Heading1"/>
      </w:pPr>
      <w:r>
        <w:t>Executive summary</w:t>
      </w:r>
    </w:p>
    <w:p>
      <w:pPr>
        <w:keepNext w:val="0"/>
        <w:spacing w:before="0" w:after="160" w:line="259" w:lineRule="auto"/>
      </w:pPr>
      <w:r>
        <w:rPr>
          <w:b w:val="0"/>
          <w:color w:val="586273"/>
          <w:sz w:val="19"/>
        </w:rPr>
        <w:t>Current-state assessment, strategic context and immediate direction</w:t>
      </w:r>
    </w:p>
    <w:p>
      <w:r>
        <w:rPr>
          <w:b w:val="0"/>
          <w:i w:val="0"/>
          <w:color w:val="1E2430"/>
          <w:sz w:val="20"/>
        </w:rPr>
        <w:t>Example Corp has a focused LM Envision deployment within the Infosys-managed service. Core adoption: 147 resources, 55,300 instances, 22 dashboards, 6 services, 276 LogicModules, 10 collectors and 9 reports generated in the last 24 hours. This creates meaningful platform dependency and a credible base for service-level AIOps.</w:t>
      </w:r>
      <w:r>
        <w:rPr>
          <w:b w:val="0"/>
          <w:color w:val="006FF2"/>
          <w:sz w:val="15"/>
          <w:vertAlign w:val="superscript"/>
        </w:rPr>
        <w:t xml:space="preserve"> [1]</w:t>
      </w:r>
    </w:p>
    <w:p>
      <w:r>
        <w:rPr>
          <w:b w:val="0"/>
          <w:i w:val="0"/>
          <w:color w:val="1E2430"/>
          <w:sz w:val="20"/>
        </w:rPr>
        <w:t>Maturity is uneven. The portal generated 372 alerts in the previous day and holds 130 open alerts. Dependent alert mapping and dynamic thresholds are not evidenced. 1 of 10 collectors is down and 2 carry resources without failover. LM Logs and LM Uptime consumption are not exposed through the REST API and must be confirmed from the portal Usage page. The environment is telemetry-rich but insight- and automation-poor.</w:t>
      </w:r>
      <w:r>
        <w:rPr>
          <w:b w:val="0"/>
          <w:color w:val="006FF2"/>
          <w:sz w:val="15"/>
          <w:vertAlign w:val="superscript"/>
        </w:rPr>
        <w:t xml:space="preserve"> [1]</w:t>
      </w:r>
    </w:p>
    <w:p>
      <w:r>
        <w:rPr>
          <w:b w:val="0"/>
          <w:i/>
          <w:color w:val="A15C00"/>
          <w:sz w:val="20"/>
        </w:rPr>
        <w:t>[Consultant to complete: strategic context - Example Corp's expectations, the Infosys commercial position and how LogicMonitor should be positioned (operational data and AIOps foundation, not another monitoring tool).]</w:t>
      </w:r>
      <w:r>
        <w:rPr>
          <w:b w:val="0"/>
          <w:color w:val="006FF2"/>
          <w:sz w:val="15"/>
          <w:vertAlign w:val="superscript"/>
        </w:rPr>
        <w:t xml:space="preserve"> [2]</w:t>
      </w:r>
    </w:p>
    <w:p>
      <w:r>
        <w:rPr>
          <w:b w:val="0"/>
          <w:i w:val="0"/>
          <w:color w:val="1E2430"/>
          <w:sz w:val="20"/>
        </w:rPr>
        <w:t xml:space="preserve">The principal platform risk evidenced by portal data is alert noise (Alerting health: RED). </w:t>
      </w:r>
      <w:r>
        <w:rPr>
          <w:b w:val="0"/>
          <w:i/>
          <w:color w:val="A15C00"/>
          <w:sz w:val="20"/>
        </w:rPr>
        <w:t>[Consultant to complete: account and execution risks, such as outstanding health-check actions or POV status.]</w:t>
      </w:r>
      <w:r>
        <w:rPr>
          <w:b w:val="0"/>
          <w:color w:val="006FF2"/>
          <w:sz w:val="15"/>
          <w:vertAlign w:val="superscript"/>
        </w:rPr>
        <w:t xml:space="preserve"> [1,3]</w:t>
      </w:r>
    </w:p>
    <w:p>
      <w:pPr>
        <w:pStyle w:val="Heading2"/>
      </w:pPr>
      <w:r>
        <w:t>Health at a glance</w:t>
      </w:r>
    </w:p>
    <w:tbl>
      <w:tblPr>
        <w:tblW w:type="dxa" w:w="9915"/>
        <w:jc w:val="center"/>
        <w:tblLayout w:type="fixed"/>
        <w:tblLook w:firstColumn="1" w:firstRow="1" w:lastColumn="0" w:lastRow="0" w:noHBand="0" w:noVBand="1" w:val="04A0"/>
      </w:tblPr>
      <w:tblGrid>
        <w:gridCol w:w="3305"/>
        <w:gridCol w:w="3305"/>
        <w:gridCol w:w="3305"/>
      </w:tblGrid>
      <w:tr>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170" w:type="dxa"/>
              <w:left w:w="145" w:type="dxa"/>
              <w:bottom w:w="170" w:type="dxa"/>
              <w:right w:w="145" w:type="dxa"/>
            </w:tcMar>
            <w:vAlign w:val="center"/>
          </w:tcPr>
          <w:p>
            <w:pPr>
              <w:spacing w:before="0" w:after="20" w:line="240" w:lineRule="auto"/>
              <w:jc w:val="center"/>
            </w:pPr>
            <w:r>
              <w:rPr>
                <w:b/>
                <w:i w:val="0"/>
                <w:color w:val="071C4F"/>
                <w:sz w:val="36"/>
              </w:rPr>
              <w:t>147</w:t>
            </w:r>
          </w:p>
          <w:p>
            <w:pPr>
              <w:spacing w:before="0" w:after="20" w:line="240" w:lineRule="auto"/>
              <w:jc w:val="center"/>
            </w:pPr>
            <w:r>
              <w:rPr>
                <w:b/>
                <w:i w:val="0"/>
                <w:color w:val="006FF2"/>
                <w:sz w:val="17"/>
              </w:rPr>
              <w:t>Devices</w:t>
            </w:r>
          </w:p>
          <w:p>
            <w:pPr>
              <w:spacing w:before="0" w:after="20" w:line="240" w:lineRule="auto"/>
              <w:jc w:val="center"/>
            </w:pPr>
            <w:r>
              <w:rPr>
                <w:b w:val="0"/>
                <w:i w:val="0"/>
                <w:color w:val="586273"/>
                <w:sz w:val="15"/>
              </w:rPr>
              <w:t>5 dead; 4 ungrouped</w:t>
            </w:r>
          </w:p>
        </w:tc>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170" w:type="dxa"/>
              <w:left w:w="145" w:type="dxa"/>
              <w:bottom w:w="170" w:type="dxa"/>
              <w:right w:w="145" w:type="dxa"/>
            </w:tcMar>
            <w:vAlign w:val="center"/>
          </w:tcPr>
          <w:p>
            <w:pPr>
              <w:spacing w:before="0" w:after="20" w:line="240" w:lineRule="auto"/>
              <w:jc w:val="center"/>
            </w:pPr>
            <w:r>
              <w:rPr>
                <w:b/>
                <w:i w:val="0"/>
                <w:color w:val="071C4F"/>
                <w:sz w:val="36"/>
              </w:rPr>
              <w:t>55,300</w:t>
            </w:r>
          </w:p>
          <w:p>
            <w:pPr>
              <w:spacing w:before="0" w:after="20" w:line="240" w:lineRule="auto"/>
              <w:jc w:val="center"/>
            </w:pPr>
            <w:r>
              <w:rPr>
                <w:b/>
                <w:i w:val="0"/>
                <w:color w:val="006FF2"/>
                <w:sz w:val="17"/>
              </w:rPr>
              <w:t>Instances</w:t>
            </w:r>
          </w:p>
          <w:p>
            <w:pPr>
              <w:spacing w:before="0" w:after="20" w:line="240" w:lineRule="auto"/>
              <w:jc w:val="center"/>
            </w:pPr>
            <w:r>
              <w:rPr>
                <w:b w:val="0"/>
                <w:i w:val="0"/>
                <w:color w:val="586273"/>
                <w:sz w:val="15"/>
              </w:rPr>
              <w:t>Approximately 376 per device</w:t>
            </w:r>
          </w:p>
        </w:tc>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170" w:type="dxa"/>
              <w:left w:w="145" w:type="dxa"/>
              <w:bottom w:w="170" w:type="dxa"/>
              <w:right w:w="145" w:type="dxa"/>
            </w:tcMar>
            <w:vAlign w:val="center"/>
          </w:tcPr>
          <w:p>
            <w:pPr>
              <w:spacing w:before="0" w:after="20" w:line="240" w:lineRule="auto"/>
              <w:jc w:val="center"/>
            </w:pPr>
            <w:r>
              <w:rPr>
                <w:b/>
                <w:i w:val="0"/>
                <w:color w:val="071C4F"/>
                <w:sz w:val="36"/>
              </w:rPr>
              <w:t>372</w:t>
            </w:r>
          </w:p>
          <w:p>
            <w:pPr>
              <w:spacing w:before="0" w:after="20" w:line="240" w:lineRule="auto"/>
              <w:jc w:val="center"/>
            </w:pPr>
            <w:r>
              <w:rPr>
                <w:b/>
                <w:i w:val="0"/>
                <w:color w:val="006FF2"/>
                <w:sz w:val="17"/>
              </w:rPr>
              <w:t>Alerts in prior day</w:t>
            </w:r>
          </w:p>
          <w:p>
            <w:pPr>
              <w:spacing w:before="0" w:after="20" w:line="240" w:lineRule="auto"/>
              <w:jc w:val="center"/>
            </w:pPr>
            <w:r>
              <w:rPr>
                <w:b w:val="0"/>
                <w:i w:val="0"/>
                <w:color w:val="586273"/>
                <w:sz w:val="15"/>
              </w:rPr>
              <w:t>Approximately 11k over 30 days</w:t>
            </w:r>
          </w:p>
        </w:tc>
      </w:tr>
      <w:tr>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170" w:type="dxa"/>
              <w:left w:w="145" w:type="dxa"/>
              <w:bottom w:w="170" w:type="dxa"/>
              <w:right w:w="145" w:type="dxa"/>
            </w:tcMar>
            <w:vAlign w:val="center"/>
          </w:tcPr>
          <w:p>
            <w:pPr>
              <w:spacing w:before="0" w:after="20" w:line="240" w:lineRule="auto"/>
              <w:jc w:val="center"/>
            </w:pPr>
            <w:r>
              <w:rPr>
                <w:b/>
                <w:i w:val="0"/>
                <w:color w:val="071C4F"/>
                <w:sz w:val="36"/>
              </w:rPr>
              <w:t>130</w:t>
            </w:r>
          </w:p>
          <w:p>
            <w:pPr>
              <w:spacing w:before="0" w:after="20" w:line="240" w:lineRule="auto"/>
              <w:jc w:val="center"/>
            </w:pPr>
            <w:r>
              <w:rPr>
                <w:b/>
                <w:i w:val="0"/>
                <w:color w:val="006FF2"/>
                <w:sz w:val="17"/>
              </w:rPr>
              <w:t>Open alerts</w:t>
            </w:r>
          </w:p>
          <w:p>
            <w:pPr>
              <w:spacing w:before="0" w:after="20" w:line="240" w:lineRule="auto"/>
              <w:jc w:val="center"/>
            </w:pPr>
            <w:r>
              <w:rPr>
                <w:b w:val="0"/>
                <w:i w:val="0"/>
                <w:color w:val="586273"/>
                <w:sz w:val="15"/>
              </w:rPr>
              <w:t>33.8% acknowledged</w:t>
            </w:r>
          </w:p>
        </w:tc>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170" w:type="dxa"/>
              <w:left w:w="145" w:type="dxa"/>
              <w:bottom w:w="170" w:type="dxa"/>
              <w:right w:w="145" w:type="dxa"/>
            </w:tcMar>
            <w:vAlign w:val="center"/>
          </w:tcPr>
          <w:p>
            <w:pPr>
              <w:spacing w:before="0" w:after="20" w:line="240" w:lineRule="auto"/>
              <w:jc w:val="center"/>
            </w:pPr>
            <w:r>
              <w:rPr>
                <w:b/>
                <w:i w:val="0"/>
                <w:color w:val="071C4F"/>
                <w:sz w:val="36"/>
              </w:rPr>
              <w:t>6</w:t>
            </w:r>
          </w:p>
          <w:p>
            <w:pPr>
              <w:spacing w:before="0" w:after="20" w:line="240" w:lineRule="auto"/>
              <w:jc w:val="center"/>
            </w:pPr>
            <w:r>
              <w:rPr>
                <w:b/>
                <w:i w:val="0"/>
                <w:color w:val="006FF2"/>
                <w:sz w:val="17"/>
              </w:rPr>
              <w:t>Services</w:t>
            </w:r>
          </w:p>
          <w:p>
            <w:pPr>
              <w:spacing w:before="0" w:after="20" w:line="240" w:lineRule="auto"/>
              <w:jc w:val="center"/>
            </w:pPr>
            <w:r>
              <w:rPr>
                <w:b w:val="0"/>
                <w:i w:val="0"/>
                <w:color w:val="586273"/>
                <w:sz w:val="15"/>
              </w:rPr>
              <w:t>Service Insights footprint present</w:t>
            </w:r>
          </w:p>
        </w:tc>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170" w:type="dxa"/>
              <w:left w:w="145" w:type="dxa"/>
              <w:bottom w:w="170" w:type="dxa"/>
              <w:right w:w="145" w:type="dxa"/>
            </w:tcMar>
            <w:vAlign w:val="center"/>
          </w:tcPr>
          <w:p>
            <w:pPr>
              <w:spacing w:before="0" w:after="20" w:line="240" w:lineRule="auto"/>
              <w:jc w:val="center"/>
            </w:pPr>
            <w:r>
              <w:rPr>
                <w:b/>
                <w:i w:val="0"/>
                <w:color w:val="071C4F"/>
                <w:sz w:val="36"/>
              </w:rPr>
              <w:t>10</w:t>
            </w:r>
          </w:p>
          <w:p>
            <w:pPr>
              <w:spacing w:before="0" w:after="20" w:line="240" w:lineRule="auto"/>
              <w:jc w:val="center"/>
            </w:pPr>
            <w:r>
              <w:rPr>
                <w:b/>
                <w:i w:val="0"/>
                <w:color w:val="006FF2"/>
                <w:sz w:val="17"/>
              </w:rPr>
              <w:t>Collectors</w:t>
            </w:r>
          </w:p>
          <w:p>
            <w:pPr>
              <w:spacing w:before="0" w:after="20" w:line="240" w:lineRule="auto"/>
              <w:jc w:val="center"/>
            </w:pPr>
            <w:r>
              <w:rPr>
                <w:b w:val="0"/>
                <w:i w:val="0"/>
                <w:color w:val="586273"/>
                <w:sz w:val="15"/>
              </w:rPr>
              <w:t>1 down; 2 without failover</w:t>
            </w:r>
          </w:p>
        </w:tc>
      </w:tr>
    </w:tbl>
    <w:p>
      <w:pPr>
        <w:pStyle w:val="Heading2"/>
      </w:pPr>
      <w:r>
        <w:t>Immediate direction</w:t>
      </w:r>
    </w:p>
    <w:p>
      <w:pPr>
        <w:spacing w:before="0" w:after="60" w:line="259" w:lineRule="auto"/>
        <w:ind w:left="408" w:hanging="295"/>
      </w:pPr>
      <w:r>
        <w:rPr>
          <w:b/>
          <w:color w:val="071C4F"/>
          <w:sz w:val="19"/>
        </w:rPr>
        <w:t>1.</w:t>
      </w:r>
      <w:r>
        <w:rPr>
          <w:b w:val="0"/>
          <w:i w:val="0"/>
          <w:color w:val="1E2430"/>
          <w:sz w:val="19"/>
        </w:rPr>
        <w:t xml:space="preserve"> Stabilise the foundation: close the collector, alert-hygiene, alert-routing, topology and discovery, LogicModule governance and access backlog before using AI to mask platform debt.</w:t>
      </w:r>
    </w:p>
    <w:p>
      <w:pPr>
        <w:spacing w:before="0" w:after="60" w:line="259" w:lineRule="auto"/>
        <w:ind w:left="408" w:hanging="295"/>
      </w:pPr>
      <w:r>
        <w:rPr>
          <w:b/>
          <w:color w:val="071C4F"/>
          <w:sz w:val="19"/>
        </w:rPr>
        <w:t>2.</w:t>
      </w:r>
      <w:r>
        <w:rPr>
          <w:b w:val="0"/>
          <w:i w:val="0"/>
          <w:color w:val="1E2430"/>
          <w:sz w:val="19"/>
        </w:rPr>
        <w:t xml:space="preserve"> Lock the Edwin business case: select two or three incident categories and agree baseline metrics for alert reduction, triage effort, MTTR, SLA risk and engineering capacity.</w:t>
      </w:r>
    </w:p>
    <w:p>
      <w:pPr>
        <w:spacing w:before="0" w:after="60" w:line="259" w:lineRule="auto"/>
        <w:ind w:left="408" w:hanging="295"/>
      </w:pPr>
      <w:r>
        <w:rPr>
          <w:b/>
          <w:color w:val="071C4F"/>
          <w:sz w:val="19"/>
        </w:rPr>
        <w:t>3.</w:t>
      </w:r>
      <w:r>
        <w:rPr>
          <w:b w:val="0"/>
          <w:i w:val="0"/>
          <w:color w:val="1E2430"/>
          <w:sz w:val="19"/>
        </w:rPr>
        <w:t xml:space="preserve"> Operationalise existing entitlements: turn Logs, Service Insights and LM Uptime into repeatable workflows rather than passive data stores or unused capacity.</w:t>
      </w:r>
    </w:p>
    <w:p>
      <w:pPr>
        <w:spacing w:before="0" w:after="60" w:line="259" w:lineRule="auto"/>
        <w:ind w:left="408" w:hanging="295"/>
      </w:pPr>
      <w:r>
        <w:rPr>
          <w:b/>
          <w:color w:val="071C4F"/>
          <w:sz w:val="19"/>
        </w:rPr>
        <w:t>4.</w:t>
      </w:r>
      <w:r>
        <w:rPr>
          <w:b w:val="0"/>
          <w:i w:val="0"/>
          <w:color w:val="1E2430"/>
          <w:sz w:val="19"/>
        </w:rPr>
        <w:t xml:space="preserve"> Create an Infosys operating model: named owners, dated actions, executive checkpoints and a clear production decision following the POV playback.</w:t>
      </w:r>
    </w:p>
    <w:p>
      <w:r>
        <w:br w:type="page"/>
      </w:r>
    </w:p>
    <w:p>
      <w:pPr>
        <w:pStyle w:val="Heading1"/>
      </w:pPr>
      <w:r>
        <w:t>Portal adoption and health scorecard</w:t>
      </w:r>
    </w:p>
    <w:p>
      <w:pPr>
        <w:keepNext w:val="0"/>
        <w:spacing w:before="0" w:after="160" w:line="259" w:lineRule="auto"/>
      </w:pPr>
      <w:r>
        <w:rPr>
          <w:b w:val="0"/>
          <w:color w:val="586273"/>
          <w:sz w:val="19"/>
        </w:rPr>
        <w:t>Real-time portal metrics may differ from billed usage</w:t>
      </w:r>
    </w:p>
    <w:tbl>
      <w:tblPr>
        <w:tblW w:type="dxa" w:w="9921"/>
        <w:jc w:val="center"/>
        <w:tblLayout w:type="fixed"/>
        <w:tblLook w:firstColumn="1" w:firstRow="1" w:lastColumn="0" w:lastRow="0" w:noHBand="0" w:noVBand="1" w:val="04A0"/>
      </w:tblPr>
      <w:tblGrid>
        <w:gridCol w:w="1956"/>
        <w:gridCol w:w="1134"/>
        <w:gridCol w:w="6831"/>
      </w:tblGrid>
      <w:tr>
        <w:trPr>
          <w:cantSplit/>
          <w:tblHeader/>
        </w:trPr>
        <w:tc>
          <w:tcPr>
            <w:tcW w:type="dxa" w:w="1956"/>
            <w:shd w:val="clear" w:color="auto" w:fill="071C4F"/>
            <w:tcMar>
              <w:top w:w="110" w:type="dxa"/>
              <w:left w:w="120" w:type="dxa"/>
              <w:bottom w:w="110" w:type="dxa"/>
              <w:right w:w="120" w:type="dxa"/>
            </w:tcMar>
            <w:vAlign w:val="center"/>
          </w:tcPr>
          <w:p>
            <w:pPr>
              <w:spacing w:before="0" w:after="0" w:line="252" w:lineRule="auto"/>
              <w:jc w:val="left"/>
            </w:pPr>
            <w:r>
              <w:rPr>
                <w:b/>
                <w:color w:val="FFFFFF"/>
                <w:sz w:val="17"/>
              </w:rPr>
              <w:t>Area</w:t>
            </w:r>
          </w:p>
        </w:tc>
        <w:tc>
          <w:tcPr>
            <w:tcW w:type="dxa" w:w="1134"/>
            <w:shd w:val="clear" w:color="auto" w:fill="071C4F"/>
            <w:tcMar>
              <w:top w:w="110" w:type="dxa"/>
              <w:left w:w="120" w:type="dxa"/>
              <w:bottom w:w="110" w:type="dxa"/>
              <w:right w:w="120" w:type="dxa"/>
            </w:tcMar>
            <w:vAlign w:val="center"/>
          </w:tcPr>
          <w:p>
            <w:pPr>
              <w:spacing w:before="0" w:after="0" w:line="252" w:lineRule="auto"/>
              <w:jc w:val="center"/>
            </w:pPr>
            <w:r>
              <w:rPr>
                <w:b/>
                <w:color w:val="FFFFFF"/>
                <w:sz w:val="17"/>
              </w:rPr>
              <w:t>Status</w:t>
            </w:r>
          </w:p>
        </w:tc>
        <w:tc>
          <w:tcPr>
            <w:tcW w:type="dxa" w:w="6831"/>
            <w:shd w:val="clear" w:color="auto" w:fill="071C4F"/>
            <w:tcMar>
              <w:top w:w="110" w:type="dxa"/>
              <w:left w:w="120" w:type="dxa"/>
              <w:bottom w:w="110" w:type="dxa"/>
              <w:right w:w="120" w:type="dxa"/>
            </w:tcMar>
            <w:vAlign w:val="center"/>
          </w:tcPr>
          <w:p>
            <w:pPr>
              <w:spacing w:before="0" w:after="0" w:line="252" w:lineRule="auto"/>
              <w:jc w:val="left"/>
            </w:pPr>
            <w:r>
              <w:rPr>
                <w:b/>
                <w:color w:val="FFFFFF"/>
                <w:sz w:val="17"/>
              </w:rPr>
              <w:t>Evidence and implication</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Core resource adoption</w:t>
            </w:r>
          </w:p>
        </w:tc>
        <w:tc>
          <w:tcPr>
            <w:tcW w:type="dxa" w:w="1134"/>
            <w:tcBorders>
              <w:left w:val="single" w:sz="4" w:space="0" w:color="D7DEE8"/>
              <w:bottom w:val="single" w:sz="4" w:space="0" w:color="D7DEE8"/>
              <w:right w:val="single" w:sz="4" w:space="0" w:color="D7DEE8"/>
            </w:tcBorders>
            <w:shd w:val="clear" w:color="auto" w:fill="ECEFF1"/>
            <w:tcMar>
              <w:top w:w="110" w:type="dxa"/>
              <w:left w:w="120" w:type="dxa"/>
              <w:bottom w:w="110" w:type="dxa"/>
              <w:right w:w="120" w:type="dxa"/>
            </w:tcMar>
            <w:vAlign w:val="center"/>
          </w:tcPr>
          <w:p>
            <w:pPr>
              <w:spacing w:before="0" w:after="0" w:line="252" w:lineRule="auto"/>
              <w:jc w:val="center"/>
            </w:pPr>
            <w:r>
              <w:rPr>
                <w:b/>
                <w:i w:val="0"/>
                <w:color w:val="5F6368"/>
                <w:sz w:val="16"/>
              </w:rPr>
              <w:t>UNKNOWN</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 xml:space="preserve">147 monitored resources. Contracted entitlement and rolling month-to-date billed usage are not exposed through the REST API. </w:t>
            </w:r>
            <w:r>
              <w:rPr>
                <w:b w:val="0"/>
                <w:i/>
                <w:color w:val="A15C00"/>
                <w:sz w:val="17"/>
              </w:rPr>
              <w:t>[Consultant to complete: contracted resources and billed usage from the portal Usage page.]</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Device footprint</w:t>
            </w:r>
          </w:p>
        </w:tc>
        <w:tc>
          <w:tcPr>
            <w:tcW w:type="dxa" w:w="1134"/>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6"/>
              </w:rPr>
              <w:t>AMBER</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147 resources (131 standard, 10 AWS and 6 Azure). 5 are dead (3.4%), 4 sit only in the root group, 3 have alerting disabled and 5 have auto-discovery data older than 14 days. Coverage hygiene needs attention before the data is used for correlation.</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Telemetry depth</w:t>
            </w:r>
          </w:p>
        </w:tc>
        <w:tc>
          <w:tcPr>
            <w:tcW w:type="dxa" w:w="1134"/>
            <w:tcBorders>
              <w:left w:val="single" w:sz="4" w:space="0" w:color="D7DEE8"/>
              <w:bottom w:val="single" w:sz="4" w:space="0" w:color="D7DEE8"/>
              <w:right w:val="single" w:sz="4" w:space="0" w:color="D7DEE8"/>
            </w:tcBorders>
            <w:shd w:val="clear" w:color="auto" w:fill="E7F4E8"/>
            <w:tcMar>
              <w:top w:w="110" w:type="dxa"/>
              <w:left w:w="120" w:type="dxa"/>
              <w:bottom w:w="110" w:type="dxa"/>
              <w:right w:w="120" w:type="dxa"/>
            </w:tcMar>
            <w:vAlign w:val="center"/>
          </w:tcPr>
          <w:p>
            <w:pPr>
              <w:spacing w:before="0" w:after="0" w:line="252" w:lineRule="auto"/>
              <w:jc w:val="center"/>
            </w:pPr>
            <w:r>
              <w:rPr>
                <w:b/>
                <w:i w:val="0"/>
                <w:color w:val="2E7D32"/>
                <w:sz w:val="16"/>
              </w:rPr>
              <w:t>GREEN</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 xml:space="preserve">55,300 monitored instances, approximately 376 per resource. DataSource definitions hold 276 datapoints. Total and complex datapoint counts are not exposed through the REST API. </w:t>
            </w:r>
            <w:r>
              <w:rPr>
                <w:b w:val="0"/>
                <w:i/>
                <w:color w:val="A15C00"/>
                <w:sz w:val="17"/>
              </w:rPr>
              <w:t>[Consultant to complete: datapoint totals from Settings &gt; Account Information.]</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Monthly datapoint collection</w:t>
            </w:r>
          </w:p>
        </w:tc>
        <w:tc>
          <w:tcPr>
            <w:tcW w:type="dxa" w:w="1134"/>
            <w:tcBorders>
              <w:left w:val="single" w:sz="4" w:space="0" w:color="D7DEE8"/>
              <w:bottom w:val="single" w:sz="4" w:space="0" w:color="D7DEE8"/>
              <w:right w:val="single" w:sz="4" w:space="0" w:color="D7DEE8"/>
            </w:tcBorders>
            <w:shd w:val="clear" w:color="auto" w:fill="ECEFF1"/>
            <w:tcMar>
              <w:top w:w="110" w:type="dxa"/>
              <w:left w:w="120" w:type="dxa"/>
              <w:bottom w:w="110" w:type="dxa"/>
              <w:right w:w="120" w:type="dxa"/>
            </w:tcMar>
            <w:vAlign w:val="center"/>
          </w:tcPr>
          <w:p>
            <w:pPr>
              <w:spacing w:before="0" w:after="0" w:line="252" w:lineRule="auto"/>
              <w:jc w:val="center"/>
            </w:pPr>
            <w:r>
              <w:rPr>
                <w:b/>
                <w:i w:val="0"/>
                <w:color w:val="5F6368"/>
                <w:sz w:val="16"/>
              </w:rPr>
              <w:t>UNKNOWN</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 xml:space="preserve">Monthly datapoint collection usage and entitlement are shown on the portal Usage page and are not exposed through the REST API. </w:t>
            </w:r>
            <w:r>
              <w:rPr>
                <w:b w:val="0"/>
                <w:i/>
                <w:color w:val="A15C00"/>
                <w:sz w:val="17"/>
              </w:rPr>
              <w:t>[Consultant to complete: collections used versus contracted.]</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Alerting health</w:t>
            </w:r>
          </w:p>
        </w:tc>
        <w:tc>
          <w:tcPr>
            <w:tcW w:type="dxa" w:w="1134"/>
            <w:tcBorders>
              <w:left w:val="single" w:sz="4" w:space="0" w:color="D7DEE8"/>
              <w:bottom w:val="single" w:sz="4" w:space="0" w:color="D7DEE8"/>
              <w:right w:val="single" w:sz="4" w:space="0" w:color="D7DEE8"/>
            </w:tcBorders>
            <w:shd w:val="clear" w:color="auto" w:fill="FCE8E6"/>
            <w:tcMar>
              <w:top w:w="110" w:type="dxa"/>
              <w:left w:w="120" w:type="dxa"/>
              <w:bottom w:w="110" w:type="dxa"/>
              <w:right w:w="120" w:type="dxa"/>
            </w:tcMar>
            <w:vAlign w:val="center"/>
          </w:tcPr>
          <w:p>
            <w:pPr>
              <w:spacing w:before="0" w:after="0" w:line="252" w:lineRule="auto"/>
              <w:jc w:val="center"/>
            </w:pPr>
            <w:r>
              <w:rPr>
                <w:b/>
                <w:i w:val="0"/>
                <w:color w:val="B3261E"/>
                <w:sz w:val="16"/>
              </w:rPr>
              <w:t>RED</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372 alerts in the previous day, equivalent to 16 per hour or 0.3 per minute, 2.5 per resource, with 130 open alerts (33.8% acknowledged). No alerts carry a dependent alert mapping role and no dynamic thresholds are defined in DataSource definitions.</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Dashboards and reporting</w:t>
            </w:r>
          </w:p>
        </w:tc>
        <w:tc>
          <w:tcPr>
            <w:tcW w:type="dxa" w:w="1134"/>
            <w:tcBorders>
              <w:left w:val="single" w:sz="4" w:space="0" w:color="D7DEE8"/>
              <w:bottom w:val="single" w:sz="4" w:space="0" w:color="D7DEE8"/>
              <w:right w:val="single" w:sz="4" w:space="0" w:color="D7DEE8"/>
            </w:tcBorders>
            <w:shd w:val="clear" w:color="auto" w:fill="E7F4E8"/>
            <w:tcMar>
              <w:top w:w="110" w:type="dxa"/>
              <w:left w:w="120" w:type="dxa"/>
              <w:bottom w:w="110" w:type="dxa"/>
              <w:right w:w="120" w:type="dxa"/>
            </w:tcMar>
            <w:vAlign w:val="center"/>
          </w:tcPr>
          <w:p>
            <w:pPr>
              <w:spacing w:before="0" w:after="0" w:line="252" w:lineRule="auto"/>
              <w:jc w:val="center"/>
            </w:pPr>
            <w:r>
              <w:rPr>
                <w:b/>
                <w:i w:val="0"/>
                <w:color w:val="A15C00"/>
                <w:sz w:val="16"/>
              </w:rPr>
              <w:t>GREEN / AMBER</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22 dashboards, 264 widgets (12.0 per dashboard) and 9 of 15 reports generated in the last 24 hours. Configuration is visible, but dashboard views, report recipients' use and decision usage are not exposed through the API.</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Service Insights</w:t>
            </w:r>
          </w:p>
        </w:tc>
        <w:tc>
          <w:tcPr>
            <w:tcW w:type="dxa" w:w="1134"/>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6"/>
              </w:rPr>
              <w:t>AMBER</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6 services are configured. Coverage, ownership, criticality, service health, topology quality and operational adoption are not visible through the API.</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LM Logs</w:t>
            </w:r>
          </w:p>
        </w:tc>
        <w:tc>
          <w:tcPr>
            <w:tcW w:type="dxa" w:w="1134"/>
            <w:tcBorders>
              <w:left w:val="single" w:sz="4" w:space="0" w:color="D7DEE8"/>
              <w:bottom w:val="single" w:sz="4" w:space="0" w:color="D7DEE8"/>
              <w:right w:val="single" w:sz="4" w:space="0" w:color="D7DEE8"/>
            </w:tcBorders>
            <w:shd w:val="clear" w:color="auto" w:fill="ECEFF1"/>
            <w:tcMar>
              <w:top w:w="110" w:type="dxa"/>
              <w:left w:w="120" w:type="dxa"/>
              <w:bottom w:w="110" w:type="dxa"/>
              <w:right w:w="120" w:type="dxa"/>
            </w:tcMar>
            <w:vAlign w:val="center"/>
          </w:tcPr>
          <w:p>
            <w:pPr>
              <w:spacing w:before="0" w:after="0" w:line="252" w:lineRule="auto"/>
              <w:jc w:val="center"/>
            </w:pPr>
            <w:r>
              <w:rPr>
                <w:b/>
                <w:i w:val="0"/>
                <w:color w:val="5F6368"/>
                <w:sz w:val="16"/>
              </w:rPr>
              <w:t>UNKNOWN</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 xml:space="preserve">4 LogSources are configured. Logs ingestion volume, partitions, LogAlerts and tracked queries are not exposed through the REST API endpoints used. </w:t>
            </w:r>
            <w:r>
              <w:rPr>
                <w:b w:val="0"/>
                <w:i/>
                <w:color w:val="A15C00"/>
                <w:sz w:val="17"/>
              </w:rPr>
              <w:t>[Consultant to complete: Logs usage versus entitlement from the portal Usage page.]</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LM Uptime</w:t>
            </w:r>
          </w:p>
        </w:tc>
        <w:tc>
          <w:tcPr>
            <w:tcW w:type="dxa" w:w="1134"/>
            <w:tcBorders>
              <w:left w:val="single" w:sz="4" w:space="0" w:color="D7DEE8"/>
              <w:bottom w:val="single" w:sz="4" w:space="0" w:color="D7DEE8"/>
              <w:right w:val="single" w:sz="4" w:space="0" w:color="D7DEE8"/>
            </w:tcBorders>
            <w:shd w:val="clear" w:color="auto" w:fill="ECEFF1"/>
            <w:tcMar>
              <w:top w:w="110" w:type="dxa"/>
              <w:left w:w="120" w:type="dxa"/>
              <w:bottom w:w="110" w:type="dxa"/>
              <w:right w:w="120" w:type="dxa"/>
            </w:tcMar>
            <w:vAlign w:val="center"/>
          </w:tcPr>
          <w:p>
            <w:pPr>
              <w:spacing w:before="0" w:after="0" w:line="252" w:lineRule="auto"/>
              <w:jc w:val="center"/>
            </w:pPr>
            <w:r>
              <w:rPr>
                <w:b/>
                <w:i w:val="0"/>
                <w:color w:val="5F6368"/>
                <w:sz w:val="16"/>
              </w:rPr>
              <w:t>UNKNOWN</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 xml:space="preserve">LM Uptime checks executed versus contracted are not exposed through the REST API. 6 external and 4 internal website checks are configured. </w:t>
            </w:r>
            <w:r>
              <w:rPr>
                <w:b w:val="0"/>
                <w:i/>
                <w:color w:val="A15C00"/>
                <w:sz w:val="17"/>
              </w:rPr>
              <w:t>[Consultant to complete: Uptime usage versus entitlement from the portal Usage page.]</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Websites</w:t>
            </w:r>
          </w:p>
        </w:tc>
        <w:tc>
          <w:tcPr>
            <w:tcW w:type="dxa" w:w="1134"/>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6"/>
              </w:rPr>
              <w:t>AMBER</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10 website checks (7 web, 3 ping; 6 external). 1 has monitoring stopped and 1 is currently alerting. Business journeys and geographic coverage need validation.</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Collectors</w:t>
            </w:r>
          </w:p>
        </w:tc>
        <w:tc>
          <w:tcPr>
            <w:tcW w:type="dxa" w:w="1134"/>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B3261E"/>
                <w:sz w:val="16"/>
              </w:rPr>
              <w:t>AMBER / RED</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10 collectors: 1 down, 2 carrying resources without failover (2 protected by auto-balanced groups), 0 at or above 90% of sizing capacity, 5 behind the newest version in the portal (37.200), 1 ungrouped and 1 custom-sized. Instance load ranges from 600 to 23,800 per collector (busiest is 9.2x the median).</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LogicModules</w:t>
            </w:r>
          </w:p>
        </w:tc>
        <w:tc>
          <w:tcPr>
            <w:tcW w:type="dxa" w:w="1134"/>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6"/>
              </w:rPr>
              <w:t>AMBER</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276 LogicModules (140 SNMP SysOID maps, 60 DataSources, 25 PropertySources, 18 EventSources). 10 DataSources are locally authored and 4 are modified from their Exchange origin. 5 modules have clone-like names; 2 of 4 checked are not applied to any resource. Update availability is shown in the Modules Toolbox and is not exposed through the API.</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Config monitoring</w:t>
            </w:r>
          </w:p>
        </w:tc>
        <w:tc>
          <w:tcPr>
            <w:tcW w:type="dxa" w:w="1134"/>
            <w:tcBorders>
              <w:left w:val="single" w:sz="4" w:space="0" w:color="D7DEE8"/>
              <w:bottom w:val="single" w:sz="4" w:space="0" w:color="D7DEE8"/>
              <w:right w:val="single" w:sz="4" w:space="0" w:color="D7DEE8"/>
            </w:tcBorders>
            <w:shd w:val="clear" w:color="auto" w:fill="ECEFF1"/>
            <w:tcMar>
              <w:top w:w="110" w:type="dxa"/>
              <w:left w:w="120" w:type="dxa"/>
              <w:bottom w:w="110" w:type="dxa"/>
              <w:right w:w="120" w:type="dxa"/>
            </w:tcMar>
            <w:vAlign w:val="center"/>
          </w:tcPr>
          <w:p>
            <w:pPr>
              <w:spacing w:before="0" w:after="0" w:line="252" w:lineRule="auto"/>
              <w:jc w:val="center"/>
            </w:pPr>
            <w:r>
              <w:rPr>
                <w:b/>
                <w:i w:val="0"/>
                <w:color w:val="5F6368"/>
                <w:sz w:val="16"/>
              </w:rPr>
              <w:t>UNKNOWN</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 xml:space="preserve">6 ConfigSources are installed. The number of resources with configuration collection is not exposed through the REST API. </w:t>
            </w:r>
            <w:r>
              <w:rPr>
                <w:b w:val="0"/>
                <w:i/>
                <w:color w:val="A15C00"/>
                <w:sz w:val="17"/>
              </w:rPr>
              <w:t>[Consultant to complete: Config Devices count and coverage of network infrastructure.]</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Cloud / SaaS / Kubernetes</w:t>
            </w:r>
          </w:p>
        </w:tc>
        <w:tc>
          <w:tcPr>
            <w:tcW w:type="dxa" w:w="1134"/>
            <w:tcBorders>
              <w:left w:val="single" w:sz="4" w:space="0" w:color="D7DEE8"/>
              <w:bottom w:val="single" w:sz="4" w:space="0" w:color="D7DEE8"/>
              <w:right w:val="single" w:sz="4" w:space="0" w:color="D7DEE8"/>
            </w:tcBorders>
            <w:shd w:val="clear" w:color="auto" w:fill="E7F4E8"/>
            <w:tcMar>
              <w:top w:w="110" w:type="dxa"/>
              <w:left w:w="120" w:type="dxa"/>
              <w:bottom w:w="110" w:type="dxa"/>
              <w:right w:w="120" w:type="dxa"/>
            </w:tcMar>
            <w:vAlign w:val="center"/>
          </w:tcPr>
          <w:p>
            <w:pPr>
              <w:spacing w:before="0" w:after="0" w:line="252" w:lineRule="auto"/>
              <w:jc w:val="center"/>
            </w:pPr>
            <w:r>
              <w:rPr>
                <w:b/>
                <w:i w:val="0"/>
                <w:color w:val="2E7D32"/>
                <w:sz w:val="16"/>
              </w:rPr>
              <w:t>GREEN</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16 cloud resources (AWS 10, Azure 6, GCP 0) and 0 Kubernetes resources are monitored. SaaS and OpenTelemetry scope must be validated.</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Alert routing and escalation</w:t>
            </w:r>
          </w:p>
        </w:tc>
        <w:tc>
          <w:tcPr>
            <w:tcW w:type="dxa" w:w="1134"/>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6"/>
              </w:rPr>
              <w:t>AMBER</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5 alert rules and 5 escalation chains. 0 rules route to a missing chain or a chain with no destinations, 1 priority is shared by more than one rule and 1 of 5 chains uses rate limiting. ITSM integrations: servicenow.</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Scheduled downtime (SDT)</w:t>
            </w:r>
          </w:p>
        </w:tc>
        <w:tc>
          <w:tcPr>
            <w:tcW w:type="dxa" w:w="1134"/>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6"/>
              </w:rPr>
              <w:t>AMBER</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4 SDT entries (2 active now). 1 is open-ended and 1 runs for more than 30 days. Long or open-ended downtime silences monitoring without review.</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Access governance</w:t>
            </w:r>
          </w:p>
        </w:tc>
        <w:tc>
          <w:tcPr>
            <w:tcW w:type="dxa" w:w="1134"/>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6"/>
              </w:rPr>
              <w:t>AMBER</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30 users (26 active, 3 API-only, 4 with administrator roles). 5 active users have not logged in for 90+ days, 4 active users do not use two-factor authentication. 7 roles are defined. 5 of 6 API tokens are enabled and 2 enabled tokens have been unused for 90+ days.</w:t>
            </w:r>
          </w:p>
        </w:tc>
      </w:tr>
      <w:tr>
        <w:trPr>
          <w:cantSplit/>
        </w:trPr>
        <w:tc>
          <w:tcPr>
            <w:tcW w:type="dxa" w:w="1956"/>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Discovery and change activity</w:t>
            </w:r>
          </w:p>
        </w:tc>
        <w:tc>
          <w:tcPr>
            <w:tcW w:type="dxa" w:w="1134"/>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6"/>
              </w:rPr>
              <w:t>AMBER</w:t>
            </w:r>
          </w:p>
        </w:tc>
        <w:tc>
          <w:tcPr>
            <w:tcW w:type="dxa" w:w="68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5 NetScans (3 scheduled). The audit log holds 420 entries over the last 168 hours; 62.1% relate to ActiveDiscovery or instance changes. This indicates discovery churn that can weaken topology and correlation.</w:t>
            </w:r>
          </w:p>
        </w:tc>
      </w:tr>
    </w:tbl>
    <w:p>
      <w:pPr>
        <w:spacing w:after="80"/>
      </w:pPr>
    </w:p>
    <w:tbl>
      <w:tblPr>
        <w:tblW w:type="dxa" w:w="9922"/>
        <w:jc w:val="center"/>
        <w:tblLayout w:type="fixed"/>
        <w:tblLook w:firstColumn="1" w:firstRow="1" w:lastColumn="0" w:lastRow="0" w:noHBand="0" w:noVBand="1" w:val="04A0"/>
      </w:tblPr>
      <w:tblGrid>
        <w:gridCol w:w="142"/>
        <w:gridCol w:w="9780"/>
      </w:tblGrid>
      <w:tr>
        <w:tc>
          <w:tcPr>
            <w:tcW w:type="dxa" w:w="142"/>
            <w:shd w:val="clear" w:color="auto" w:fill="006FF2"/>
            <w:tcMar>
              <w:top w:w="0" w:type="dxa"/>
              <w:left w:w="0" w:type="dxa"/>
              <w:bottom w:w="0" w:type="dxa"/>
              <w:right w:w="0" w:type="dxa"/>
            </w:tcMar>
            <w:vAlign w:val="center"/>
          </w:tcPr>
          <w:p/>
        </w:tc>
        <w:tc>
          <w:tcPr>
            <w:tcW w:type="dxa" w:w="9780"/>
            <w:shd w:val="clear" w:color="auto" w:fill="F5F9FF"/>
            <w:tcMar>
              <w:top w:w="150" w:type="dxa"/>
              <w:left w:w="180" w:type="dxa"/>
              <w:bottom w:w="150" w:type="dxa"/>
              <w:right w:w="180" w:type="dxa"/>
            </w:tcMar>
            <w:vAlign w:val="center"/>
          </w:tcPr>
          <w:p>
            <w:pPr>
              <w:spacing w:before="0" w:after="40" w:line="259" w:lineRule="auto"/>
            </w:pPr>
            <w:r>
              <w:rPr>
                <w:b/>
                <w:color w:val="071C4F"/>
                <w:sz w:val="21"/>
              </w:rPr>
              <w:t>Scorecard interpretation</w:t>
            </w:r>
          </w:p>
          <w:p>
            <w:pPr>
              <w:spacing w:before="0" w:after="0" w:line="259" w:lineRule="auto"/>
            </w:pPr>
            <w:r>
              <w:rPr>
                <w:b w:val="0"/>
                <w:i w:val="0"/>
                <w:color w:val="1E2430"/>
                <w:sz w:val="20"/>
              </w:rPr>
              <w:t>Core coverage needs attention. The value leakage is concentrated in alert noise, collector governance, monitoring hygiene, Service Insights maturity, synthetic coverage and LogicModule governance. 5 areas are UNKNOWN because the data is not exposed through the REST API or could not be read; complete them from the portal before customer use.</w:t>
            </w:r>
          </w:p>
        </w:tc>
      </w:tr>
    </w:tbl>
    <w:p>
      <w:r>
        <w:br w:type="page"/>
      </w:r>
    </w:p>
    <w:p>
      <w:pPr>
        <w:pStyle w:val="Heading1"/>
      </w:pPr>
      <w:r>
        <w:t>What is good, what is weak and what is missing</w:t>
      </w:r>
    </w:p>
    <w:p>
      <w:pPr>
        <w:keepNext w:val="0"/>
        <w:spacing w:before="0" w:after="160" w:line="259" w:lineRule="auto"/>
      </w:pPr>
      <w:r>
        <w:rPr>
          <w:b w:val="0"/>
          <w:color w:val="586273"/>
          <w:sz w:val="19"/>
        </w:rPr>
        <w:t>Assessment focused on business value, platform stickiness and expansion readiness</w:t>
      </w:r>
    </w:p>
    <w:tbl>
      <w:tblPr>
        <w:tblW w:type="dxa" w:w="9915"/>
        <w:jc w:val="center"/>
        <w:tblLayout w:type="fixed"/>
        <w:tblLook w:firstColumn="1" w:firstRow="1" w:lastColumn="0" w:lastRow="0" w:noHBand="0" w:noVBand="1" w:val="04A0"/>
      </w:tblPr>
      <w:tblGrid>
        <w:gridCol w:w="3305"/>
        <w:gridCol w:w="3305"/>
        <w:gridCol w:w="3305"/>
      </w:tblGrid>
      <w:tr>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0" w:type="dxa"/>
              <w:left w:w="145" w:type="dxa"/>
              <w:bottom w:w="160" w:type="dxa"/>
              <w:right w:w="145" w:type="dxa"/>
            </w:tcMar>
            <w:vAlign w:val="top"/>
          </w:tcPr>
          <w:p>
            <w:pPr>
              <w:spacing w:before="120" w:after="160" w:line="259" w:lineRule="auto"/>
              <w:jc w:val="center"/>
            </w:pPr>
            <w:r>
              <w:rPr>
                <w:b/>
                <w:color w:val="2E7D32"/>
                <w:sz w:val="23"/>
              </w:rPr>
              <w:t>WHAT IS GOOD</w:t>
            </w:r>
          </w:p>
          <w:p>
            <w:pPr>
              <w:spacing w:before="0" w:after="100" w:line="252" w:lineRule="auto"/>
              <w:ind w:left="198" w:hanging="113"/>
            </w:pPr>
            <w:r>
              <w:rPr>
                <w:b/>
                <w:color w:val="2E7D32"/>
                <w:sz w:val="18"/>
              </w:rPr>
              <w:t xml:space="preserve">• </w:t>
            </w:r>
            <w:r>
              <w:rPr>
                <w:b w:val="0"/>
                <w:i w:val="0"/>
                <w:color w:val="1E2430"/>
                <w:sz w:val="17"/>
              </w:rPr>
              <w:t>LogicMonitor is embedded in the managed service through 147 resources, 22 dashboards, 15 reports, 6 services and 10 collectors.</w:t>
            </w:r>
          </w:p>
          <w:p>
            <w:pPr>
              <w:spacing w:before="0" w:after="100" w:line="252" w:lineRule="auto"/>
              <w:ind w:left="198" w:hanging="113"/>
            </w:pPr>
            <w:r>
              <w:rPr>
                <w:b/>
                <w:color w:val="2E7D32"/>
                <w:sz w:val="18"/>
              </w:rPr>
              <w:t xml:space="preserve">• </w:t>
            </w:r>
            <w:r>
              <w:rPr>
                <w:b w:val="0"/>
                <w:i w:val="0"/>
                <w:color w:val="1E2430"/>
                <w:sz w:val="17"/>
              </w:rPr>
              <w:t>10 locally authored DataSources create process dependency and meaningful switching friction.</w:t>
            </w:r>
          </w:p>
          <w:p>
            <w:pPr>
              <w:spacing w:before="0" w:after="100" w:line="252" w:lineRule="auto"/>
              <w:ind w:left="198" w:hanging="113"/>
            </w:pPr>
            <w:r>
              <w:rPr>
                <w:b/>
                <w:color w:val="2E7D32"/>
                <w:sz w:val="18"/>
              </w:rPr>
              <w:t xml:space="preserve">• </w:t>
            </w:r>
            <w:r>
              <w:rPr>
                <w:b w:val="0"/>
                <w:i w:val="0"/>
                <w:color w:val="1E2430"/>
                <w:sz w:val="17"/>
              </w:rPr>
              <w:t>An ITSM integration (servicenow) gives a path for incident enrichment.</w:t>
            </w:r>
          </w:p>
          <w:p>
            <w:pPr>
              <w:spacing w:before="0" w:after="100" w:line="252" w:lineRule="auto"/>
              <w:ind w:left="198" w:hanging="113"/>
            </w:pPr>
            <w:r>
              <w:rPr>
                <w:b/>
                <w:color w:val="2E7D32"/>
                <w:sz w:val="18"/>
              </w:rPr>
              <w:t xml:space="preserve">• </w:t>
            </w:r>
            <w:r>
              <w:rPr>
                <w:b w:val="0"/>
                <w:i w:val="0"/>
                <w:color w:val="1E2430"/>
                <w:sz w:val="17"/>
              </w:rPr>
              <w:t>Telemetry depth of 55,300 instances supports cross-domain investigation and correlation.</w:t>
            </w:r>
          </w:p>
        </w:tc>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0" w:type="dxa"/>
              <w:left w:w="145" w:type="dxa"/>
              <w:bottom w:w="160" w:type="dxa"/>
              <w:right w:w="145" w:type="dxa"/>
            </w:tcMar>
            <w:vAlign w:val="top"/>
          </w:tcPr>
          <w:p>
            <w:pPr>
              <w:spacing w:before="120" w:after="160" w:line="259" w:lineRule="auto"/>
              <w:jc w:val="center"/>
            </w:pPr>
            <w:r>
              <w:rPr>
                <w:b/>
                <w:color w:val="B3261E"/>
                <w:sz w:val="23"/>
              </w:rPr>
              <w:t>WHAT IS WEAK</w:t>
            </w:r>
          </w:p>
          <w:p>
            <w:pPr>
              <w:spacing w:before="0" w:after="100" w:line="252" w:lineRule="auto"/>
              <w:ind w:left="198" w:hanging="113"/>
            </w:pPr>
            <w:r>
              <w:rPr>
                <w:b/>
                <w:color w:val="B3261E"/>
                <w:sz w:val="18"/>
              </w:rPr>
              <w:t xml:space="preserve">• </w:t>
            </w:r>
            <w:r>
              <w:rPr>
                <w:b w:val="0"/>
                <w:i w:val="0"/>
                <w:color w:val="1E2430"/>
                <w:sz w:val="17"/>
              </w:rPr>
              <w:t>Alert volume is operationally unsustainable: 372 alerts in the previous day (2.5 per resource) and 130 open.</w:t>
            </w:r>
          </w:p>
          <w:p>
            <w:pPr>
              <w:spacing w:before="0" w:after="100" w:line="252" w:lineRule="auto"/>
              <w:ind w:left="198" w:hanging="113"/>
            </w:pPr>
            <w:r>
              <w:rPr>
                <w:b/>
                <w:color w:val="B3261E"/>
                <w:sz w:val="18"/>
              </w:rPr>
              <w:t xml:space="preserve">• </w:t>
            </w:r>
            <w:r>
              <w:rPr>
                <w:b w:val="0"/>
                <w:i w:val="0"/>
                <w:color w:val="1E2430"/>
                <w:sz w:val="17"/>
              </w:rPr>
              <w:t>Dependent alert mapping and dynamic thresholds are not evidenced in the portal data.</w:t>
            </w:r>
          </w:p>
          <w:p>
            <w:pPr>
              <w:spacing w:before="0" w:after="100" w:line="252" w:lineRule="auto"/>
              <w:ind w:left="198" w:hanging="113"/>
            </w:pPr>
            <w:r>
              <w:rPr>
                <w:b/>
                <w:color w:val="B3261E"/>
                <w:sz w:val="18"/>
              </w:rPr>
              <w:t xml:space="preserve">• </w:t>
            </w:r>
            <w:r>
              <w:rPr>
                <w:b w:val="0"/>
                <w:i w:val="0"/>
                <w:color w:val="1E2430"/>
                <w:sz w:val="17"/>
              </w:rPr>
              <w:t>Collector health, sizing, failover and load distribution need governance: 1 down, 2 without failover, 0 over capacity.</w:t>
            </w:r>
          </w:p>
          <w:p>
            <w:pPr>
              <w:spacing w:before="0" w:after="100" w:line="252" w:lineRule="auto"/>
              <w:ind w:left="198" w:hanging="113"/>
            </w:pPr>
            <w:r>
              <w:rPr>
                <w:b/>
                <w:color w:val="B3261E"/>
                <w:sz w:val="18"/>
              </w:rPr>
              <w:t xml:space="preserve">• </w:t>
            </w:r>
            <w:r>
              <w:rPr>
                <w:b w:val="0"/>
                <w:i w:val="0"/>
                <w:color w:val="1E2430"/>
                <w:sz w:val="17"/>
              </w:rPr>
              <w:t>5 LogicModules have clone-like names, adding supportability and lifecycle risk.</w:t>
            </w:r>
          </w:p>
          <w:p>
            <w:pPr>
              <w:spacing w:before="0" w:after="100" w:line="252" w:lineRule="auto"/>
              <w:ind w:left="198" w:hanging="113"/>
            </w:pPr>
            <w:r>
              <w:rPr>
                <w:b/>
                <w:color w:val="B3261E"/>
                <w:sz w:val="18"/>
              </w:rPr>
              <w:t xml:space="preserve">• </w:t>
            </w:r>
            <w:r>
              <w:rPr>
                <w:b w:val="0"/>
                <w:i w:val="0"/>
                <w:color w:val="1E2430"/>
                <w:sz w:val="17"/>
              </w:rPr>
              <w:t>Alert routing gaps: 1 priority shared between rules.</w:t>
            </w:r>
          </w:p>
          <w:p>
            <w:pPr>
              <w:spacing w:before="0" w:after="100" w:line="252" w:lineRule="auto"/>
              <w:ind w:left="198" w:hanging="113"/>
            </w:pPr>
            <w:r>
              <w:rPr>
                <w:b/>
                <w:color w:val="B3261E"/>
                <w:sz w:val="18"/>
              </w:rPr>
              <w:t xml:space="preserve">• </w:t>
            </w:r>
            <w:r>
              <w:rPr>
                <w:b w:val="0"/>
                <w:i w:val="0"/>
                <w:color w:val="1E2430"/>
                <w:sz w:val="17"/>
              </w:rPr>
              <w:t>The audit log is dominated by ActiveDiscovery instance changes (62.1%), indicating discovery churn that can weaken topology and correlation.</w:t>
            </w:r>
          </w:p>
        </w:tc>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0" w:type="dxa"/>
              <w:left w:w="145" w:type="dxa"/>
              <w:bottom w:w="160" w:type="dxa"/>
              <w:right w:w="145" w:type="dxa"/>
            </w:tcMar>
            <w:vAlign w:val="top"/>
          </w:tcPr>
          <w:p>
            <w:pPr>
              <w:spacing w:before="120" w:after="160" w:line="259" w:lineRule="auto"/>
              <w:jc w:val="center"/>
            </w:pPr>
            <w:r>
              <w:rPr>
                <w:b/>
                <w:color w:val="006FF2"/>
                <w:sz w:val="23"/>
              </w:rPr>
              <w:t>WHAT IS MISSING</w:t>
            </w:r>
          </w:p>
          <w:p>
            <w:pPr>
              <w:spacing w:before="0" w:after="100" w:line="252" w:lineRule="auto"/>
              <w:ind w:left="198" w:hanging="113"/>
            </w:pPr>
            <w:r>
              <w:rPr>
                <w:b/>
                <w:color w:val="006FF2"/>
                <w:sz w:val="18"/>
              </w:rPr>
              <w:t xml:space="preserve">• </w:t>
            </w:r>
            <w:r>
              <w:rPr>
                <w:b w:val="0"/>
                <w:i w:val="0"/>
                <w:color w:val="1E2430"/>
                <w:sz w:val="17"/>
              </w:rPr>
              <w:t>Verified dashboard, report and user adoption data - configuration count does not prove consumption.</w:t>
            </w:r>
          </w:p>
          <w:p>
            <w:pPr>
              <w:spacing w:before="0" w:after="100" w:line="252" w:lineRule="auto"/>
              <w:ind w:left="198" w:hanging="113"/>
            </w:pPr>
            <w:r>
              <w:rPr>
                <w:b/>
                <w:color w:val="006FF2"/>
                <w:sz w:val="18"/>
              </w:rPr>
              <w:t xml:space="preserve">• </w:t>
            </w:r>
            <w:r>
              <w:rPr>
                <w:b w:val="0"/>
                <w:i w:val="0"/>
                <w:color w:val="1E2430"/>
                <w:sz w:val="17"/>
              </w:rPr>
              <w:t>Named ownership, criticality and service-level objectives for the 6 Service Insights services.</w:t>
            </w:r>
          </w:p>
          <w:p>
            <w:pPr>
              <w:spacing w:before="0" w:after="100" w:line="252" w:lineRule="auto"/>
              <w:ind w:left="198" w:hanging="113"/>
            </w:pPr>
            <w:r>
              <w:rPr>
                <w:b/>
                <w:color w:val="006FF2"/>
                <w:sz w:val="18"/>
              </w:rPr>
              <w:t xml:space="preserve">• </w:t>
            </w:r>
            <w:r>
              <w:rPr>
                <w:b w:val="0"/>
                <w:i w:val="0"/>
                <w:color w:val="1E2430"/>
                <w:sz w:val="17"/>
              </w:rPr>
              <w:t>LM Logs usage, tracked investigations, standard query packs, retention governance and cost controls.</w:t>
            </w:r>
          </w:p>
          <w:p>
            <w:pPr>
              <w:spacing w:before="0" w:after="100" w:line="252" w:lineRule="auto"/>
              <w:ind w:left="198" w:hanging="113"/>
            </w:pPr>
            <w:r>
              <w:rPr>
                <w:b/>
                <w:color w:val="006FF2"/>
                <w:sz w:val="18"/>
              </w:rPr>
              <w:t xml:space="preserve">• </w:t>
            </w:r>
            <w:r>
              <w:rPr>
                <w:b w:val="0"/>
                <w:i w:val="0"/>
                <w:color w:val="1E2430"/>
                <w:sz w:val="17"/>
              </w:rPr>
              <w:t>Confirmed LM Uptime usage against the contracted check entitlement.</w:t>
            </w:r>
          </w:p>
          <w:p>
            <w:pPr>
              <w:spacing w:before="0" w:after="100" w:line="252" w:lineRule="auto"/>
              <w:ind w:left="198" w:hanging="113"/>
            </w:pPr>
            <w:r>
              <w:rPr>
                <w:b/>
                <w:color w:val="006FF2"/>
                <w:sz w:val="18"/>
              </w:rPr>
              <w:t xml:space="preserve">• </w:t>
            </w:r>
            <w:r>
              <w:rPr>
                <w:b w:val="0"/>
                <w:i w:val="0"/>
                <w:color w:val="1E2430"/>
                <w:sz w:val="17"/>
              </w:rPr>
              <w:t>A reconciled baseline for alerts, tickets, workforce, MTTD/MTTR, SLA and cost per incident.</w:t>
            </w:r>
          </w:p>
        </w:tc>
      </w:tr>
    </w:tbl>
    <w:p>
      <w:pPr>
        <w:pStyle w:val="Heading2"/>
      </w:pPr>
      <w:r>
        <w:t>Stickiness and account economics</w:t>
      </w:r>
    </w:p>
    <w:tbl>
      <w:tblPr>
        <w:tblW w:type="dxa" w:w="9915"/>
        <w:jc w:val="center"/>
        <w:tblLayout w:type="fixed"/>
        <w:tblLook w:firstColumn="1" w:firstRow="1" w:lastColumn="0" w:lastRow="0" w:noHBand="0" w:noVBand="1" w:val="04A0"/>
      </w:tblPr>
      <w:tblGrid>
        <w:gridCol w:w="3305"/>
        <w:gridCol w:w="3305"/>
        <w:gridCol w:w="3305"/>
      </w:tblGrid>
      <w:tr>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0" w:type="dxa"/>
              <w:left w:w="145" w:type="dxa"/>
              <w:bottom w:w="160" w:type="dxa"/>
              <w:right w:w="145" w:type="dxa"/>
            </w:tcMar>
            <w:vAlign w:val="top"/>
          </w:tcPr>
          <w:p>
            <w:pPr>
              <w:spacing w:before="120" w:after="160" w:line="259" w:lineRule="auto"/>
              <w:jc w:val="center"/>
            </w:pPr>
            <w:r>
              <w:rPr>
                <w:b/>
                <w:color w:val="2E7D32"/>
                <w:sz w:val="21"/>
              </w:rPr>
              <w:t>Existing anchors</w:t>
            </w:r>
          </w:p>
          <w:p>
            <w:pPr>
              <w:spacing w:before="0" w:after="100" w:line="252" w:lineRule="auto"/>
              <w:ind w:left="198" w:hanging="113"/>
            </w:pPr>
            <w:r>
              <w:rPr>
                <w:b/>
                <w:color w:val="2E7D32"/>
                <w:sz w:val="17"/>
              </w:rPr>
              <w:t xml:space="preserve">• </w:t>
            </w:r>
            <w:r>
              <w:rPr>
                <w:b w:val="0"/>
                <w:i w:val="0"/>
                <w:color w:val="1E2430"/>
                <w:sz w:val="16"/>
              </w:rPr>
              <w:t>SLA and custom reporting (15 reports)</w:t>
            </w:r>
          </w:p>
          <w:p>
            <w:pPr>
              <w:spacing w:before="0" w:after="100" w:line="252" w:lineRule="auto"/>
              <w:ind w:left="198" w:hanging="113"/>
            </w:pPr>
            <w:r>
              <w:rPr>
                <w:b/>
                <w:color w:val="2E7D32"/>
                <w:sz w:val="17"/>
              </w:rPr>
              <w:t xml:space="preserve">• </w:t>
            </w:r>
            <w:r>
              <w:rPr>
                <w:b w:val="0"/>
                <w:i w:val="0"/>
                <w:color w:val="1E2430"/>
                <w:sz w:val="16"/>
              </w:rPr>
              <w:t>Locally authored LogicModules (10)</w:t>
            </w:r>
          </w:p>
          <w:p>
            <w:pPr>
              <w:spacing w:before="0" w:after="100" w:line="252" w:lineRule="auto"/>
              <w:ind w:left="198" w:hanging="113"/>
            </w:pPr>
            <w:r>
              <w:rPr>
                <w:b/>
                <w:color w:val="2E7D32"/>
                <w:sz w:val="17"/>
              </w:rPr>
              <w:t xml:space="preserve">• </w:t>
            </w:r>
            <w:r>
              <w:rPr>
                <w:b w:val="0"/>
                <w:i w:val="0"/>
                <w:color w:val="1E2430"/>
                <w:sz w:val="16"/>
              </w:rPr>
              <w:t>Collector and discovery architecture (10 collectors, 5 NetScans)</w:t>
            </w:r>
          </w:p>
          <w:p>
            <w:pPr>
              <w:spacing w:before="0" w:after="100" w:line="252" w:lineRule="auto"/>
              <w:ind w:left="198" w:hanging="113"/>
            </w:pPr>
            <w:r>
              <w:rPr>
                <w:b/>
                <w:color w:val="2E7D32"/>
                <w:sz w:val="17"/>
              </w:rPr>
              <w:t xml:space="preserve">• </w:t>
            </w:r>
            <w:r>
              <w:rPr>
                <w:b w:val="0"/>
                <w:i w:val="0"/>
                <w:color w:val="1E2430"/>
                <w:sz w:val="16"/>
              </w:rPr>
              <w:t>6 service models</w:t>
            </w:r>
          </w:p>
          <w:p>
            <w:pPr>
              <w:spacing w:before="0" w:after="100" w:line="252" w:lineRule="auto"/>
              <w:ind w:left="198" w:hanging="113"/>
            </w:pPr>
            <w:r>
              <w:rPr>
                <w:b/>
                <w:color w:val="2E7D32"/>
                <w:sz w:val="17"/>
              </w:rPr>
              <w:t xml:space="preserve">• </w:t>
            </w:r>
            <w:r>
              <w:rPr>
                <w:b w:val="0"/>
                <w:i w:val="0"/>
                <w:color w:val="1E2430"/>
                <w:sz w:val="16"/>
              </w:rPr>
              <w:t>Dashboard and escalation workflows (22 dashboards, 5 chains)</w:t>
            </w:r>
          </w:p>
          <w:p>
            <w:pPr>
              <w:spacing w:before="0" w:after="100" w:line="252" w:lineRule="auto"/>
              <w:ind w:left="198" w:hanging="113"/>
            </w:pPr>
            <w:r>
              <w:rPr>
                <w:b/>
                <w:color w:val="2E7D32"/>
                <w:sz w:val="17"/>
              </w:rPr>
              <w:t xml:space="preserve">• </w:t>
            </w:r>
            <w:r>
              <w:rPr>
                <w:b w:val="0"/>
                <w:i w:val="0"/>
                <w:color w:val="1E2430"/>
                <w:sz w:val="16"/>
              </w:rPr>
              <w:t>ITSM integration (servicenow)</w:t>
            </w:r>
          </w:p>
        </w:tc>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0" w:type="dxa"/>
              <w:left w:w="145" w:type="dxa"/>
              <w:bottom w:w="160" w:type="dxa"/>
              <w:right w:w="145" w:type="dxa"/>
            </w:tcMar>
            <w:vAlign w:val="top"/>
          </w:tcPr>
          <w:p>
            <w:pPr>
              <w:spacing w:before="120" w:after="160" w:line="259" w:lineRule="auto"/>
              <w:jc w:val="center"/>
            </w:pPr>
            <w:r>
              <w:rPr>
                <w:b/>
                <w:color w:val="006FF2"/>
                <w:sz w:val="21"/>
              </w:rPr>
              <w:t>Expansion layers</w:t>
            </w:r>
          </w:p>
          <w:p>
            <w:pPr>
              <w:spacing w:before="0" w:after="100" w:line="252" w:lineRule="auto"/>
              <w:ind w:left="198" w:hanging="113"/>
            </w:pPr>
            <w:r>
              <w:rPr>
                <w:b/>
                <w:color w:val="006FF2"/>
                <w:sz w:val="17"/>
              </w:rPr>
              <w:t xml:space="preserve">• </w:t>
            </w:r>
            <w:r>
              <w:rPr>
                <w:b w:val="0"/>
                <w:i w:val="0"/>
                <w:color w:val="1E2430"/>
                <w:sz w:val="16"/>
              </w:rPr>
              <w:t>Edwin Event Intelligence and investigation</w:t>
            </w:r>
          </w:p>
          <w:p>
            <w:pPr>
              <w:spacing w:before="0" w:after="100" w:line="252" w:lineRule="auto"/>
              <w:ind w:left="198" w:hanging="113"/>
            </w:pPr>
            <w:r>
              <w:rPr>
                <w:b/>
                <w:color w:val="006FF2"/>
                <w:sz w:val="17"/>
              </w:rPr>
              <w:t xml:space="preserve">• </w:t>
            </w:r>
            <w:r>
              <w:rPr>
                <w:b w:val="0"/>
                <w:i w:val="0"/>
                <w:color w:val="1E2430"/>
                <w:sz w:val="16"/>
              </w:rPr>
              <w:t>Logs operationalisation</w:t>
            </w:r>
          </w:p>
          <w:p>
            <w:pPr>
              <w:spacing w:before="0" w:after="100" w:line="252" w:lineRule="auto"/>
              <w:ind w:left="198" w:hanging="113"/>
            </w:pPr>
            <w:r>
              <w:rPr>
                <w:b/>
                <w:color w:val="006FF2"/>
                <w:sz w:val="17"/>
              </w:rPr>
              <w:t xml:space="preserve">• </w:t>
            </w:r>
            <w:r>
              <w:rPr>
                <w:b w:val="0"/>
                <w:i w:val="0"/>
                <w:color w:val="1E2430"/>
                <w:sz w:val="16"/>
              </w:rPr>
              <w:t>LM Uptime for digital journeys</w:t>
            </w:r>
          </w:p>
          <w:p>
            <w:pPr>
              <w:spacing w:before="0" w:after="100" w:line="252" w:lineRule="auto"/>
              <w:ind w:left="198" w:hanging="113"/>
            </w:pPr>
            <w:r>
              <w:rPr>
                <w:b/>
                <w:color w:val="006FF2"/>
                <w:sz w:val="17"/>
              </w:rPr>
              <w:t xml:space="preserve">• </w:t>
            </w:r>
            <w:r>
              <w:rPr>
                <w:b w:val="0"/>
                <w:i w:val="0"/>
                <w:color w:val="1E2430"/>
                <w:sz w:val="16"/>
              </w:rPr>
              <w:t>ITSM/CMDB enrichment depth</w:t>
            </w:r>
          </w:p>
          <w:p>
            <w:pPr>
              <w:spacing w:before="0" w:after="100" w:line="252" w:lineRule="auto"/>
              <w:ind w:left="198" w:hanging="113"/>
            </w:pPr>
            <w:r>
              <w:rPr>
                <w:b/>
                <w:color w:val="006FF2"/>
                <w:sz w:val="17"/>
              </w:rPr>
              <w:t xml:space="preserve">• </w:t>
            </w:r>
            <w:r>
              <w:rPr>
                <w:b w:val="0"/>
                <w:i w:val="0"/>
                <w:color w:val="1E2430"/>
                <w:sz w:val="16"/>
              </w:rPr>
              <w:t>Service Insights maturity</w:t>
            </w:r>
          </w:p>
          <w:p>
            <w:pPr>
              <w:spacing w:before="0" w:after="100" w:line="252" w:lineRule="auto"/>
              <w:ind w:left="198" w:hanging="113"/>
            </w:pPr>
            <w:r>
              <w:rPr>
                <w:b/>
                <w:color w:val="006FF2"/>
                <w:sz w:val="17"/>
              </w:rPr>
              <w:t xml:space="preserve">• </w:t>
            </w:r>
            <w:r>
              <w:rPr>
                <w:b w:val="0"/>
                <w:i w:val="0"/>
                <w:color w:val="1E2430"/>
                <w:sz w:val="16"/>
              </w:rPr>
              <w:t>Config and OpenTelemetry expansion</w:t>
            </w:r>
          </w:p>
        </w:tc>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0" w:type="dxa"/>
              <w:left w:w="145" w:type="dxa"/>
              <w:bottom w:w="160" w:type="dxa"/>
              <w:right w:w="145" w:type="dxa"/>
            </w:tcMar>
            <w:vAlign w:val="top"/>
          </w:tcPr>
          <w:p>
            <w:pPr>
              <w:spacing w:before="120" w:after="160" w:line="259" w:lineRule="auto"/>
              <w:jc w:val="center"/>
            </w:pPr>
            <w:r>
              <w:rPr>
                <w:b/>
                <w:color w:val="B3261E"/>
                <w:sz w:val="21"/>
              </w:rPr>
              <w:t>Retention risks</w:t>
            </w:r>
          </w:p>
          <w:p>
            <w:pPr>
              <w:spacing w:before="0" w:after="100" w:line="252" w:lineRule="auto"/>
              <w:ind w:left="198" w:hanging="113"/>
            </w:pPr>
            <w:r>
              <w:rPr>
                <w:b/>
                <w:color w:val="B3261E"/>
                <w:sz w:val="17"/>
              </w:rPr>
              <w:t xml:space="preserve">• </w:t>
            </w:r>
            <w:r>
              <w:rPr>
                <w:b w:val="0"/>
                <w:i w:val="0"/>
                <w:color w:val="1E2430"/>
                <w:sz w:val="16"/>
              </w:rPr>
              <w:t>Unimplemented health-check actions</w:t>
            </w:r>
          </w:p>
          <w:p>
            <w:pPr>
              <w:spacing w:before="0" w:after="100" w:line="252" w:lineRule="auto"/>
              <w:ind w:left="198" w:hanging="113"/>
            </w:pPr>
            <w:r>
              <w:rPr>
                <w:b/>
                <w:color w:val="B3261E"/>
                <w:sz w:val="17"/>
              </w:rPr>
              <w:t xml:space="preserve">• </w:t>
            </w:r>
            <w:r>
              <w:rPr>
                <w:b w:val="0"/>
                <w:i w:val="0"/>
                <w:color w:val="1E2430"/>
                <w:sz w:val="16"/>
              </w:rPr>
              <w:t>Alert fatigue eroding trust in the platform</w:t>
            </w:r>
          </w:p>
          <w:p>
            <w:pPr>
              <w:spacing w:before="0" w:after="100" w:line="252" w:lineRule="auto"/>
              <w:ind w:left="198" w:hanging="113"/>
            </w:pPr>
            <w:r>
              <w:rPr>
                <w:b/>
                <w:color w:val="B3261E"/>
                <w:sz w:val="17"/>
              </w:rPr>
              <w:t xml:space="preserve">• </w:t>
            </w:r>
            <w:r>
              <w:rPr>
                <w:b w:val="0"/>
                <w:i w:val="0"/>
                <w:color w:val="1E2430"/>
                <w:sz w:val="16"/>
              </w:rPr>
              <w:t>Collector and module supportability debt</w:t>
            </w:r>
          </w:p>
          <w:p>
            <w:pPr>
              <w:spacing w:before="0" w:after="100" w:line="252" w:lineRule="auto"/>
              <w:ind w:left="198" w:hanging="113"/>
            </w:pPr>
            <w:r>
              <w:rPr>
                <w:b/>
                <w:color w:val="B3261E"/>
                <w:sz w:val="17"/>
              </w:rPr>
              <w:t xml:space="preserve">• </w:t>
            </w:r>
            <w:r>
              <w:rPr>
                <w:b w:val="0"/>
                <w:i w:val="0"/>
                <w:color w:val="1E2430"/>
                <w:sz w:val="16"/>
              </w:rPr>
              <w:t>Logs or Uptime spend without value proof</w:t>
            </w:r>
          </w:p>
          <w:p>
            <w:pPr>
              <w:spacing w:before="0" w:after="100" w:line="252" w:lineRule="auto"/>
              <w:ind w:left="198" w:hanging="113"/>
            </w:pPr>
            <w:r>
              <w:rPr>
                <w:b/>
                <w:color w:val="B3261E"/>
                <w:sz w:val="17"/>
              </w:rPr>
              <w:t xml:space="preserve">• </w:t>
            </w:r>
            <w:r>
              <w:rPr>
                <w:b w:val="0"/>
                <w:i w:val="0"/>
                <w:color w:val="1E2430"/>
                <w:sz w:val="16"/>
              </w:rPr>
              <w:t>AI promise without measurable criteria</w:t>
            </w:r>
          </w:p>
          <w:p>
            <w:pPr>
              <w:spacing w:before="0" w:after="100" w:line="252" w:lineRule="auto"/>
              <w:ind w:left="198" w:hanging="113"/>
            </w:pPr>
            <w:r>
              <w:rPr>
                <w:b/>
                <w:color w:val="B3261E"/>
                <w:sz w:val="17"/>
              </w:rPr>
              <w:t xml:space="preserve">• </w:t>
            </w:r>
            <w:r>
              <w:rPr>
                <w:b w:val="0"/>
                <w:i/>
                <w:color w:val="A15C00"/>
                <w:sz w:val="16"/>
              </w:rPr>
              <w:t>[Consultant to complete: stakeholder, commercial and delivery risks]</w:t>
            </w:r>
          </w:p>
        </w:tc>
      </w:tr>
    </w:tbl>
    <w:p>
      <w:r>
        <w:br w:type="page"/>
      </w:r>
    </w:p>
    <w:p>
      <w:pPr>
        <w:pStyle w:val="Heading1"/>
      </w:pPr>
      <w:r>
        <w:t>Module and capability usage</w:t>
      </w:r>
    </w:p>
    <w:p>
      <w:pPr>
        <w:keepNext w:val="0"/>
        <w:spacing w:before="0" w:after="160" w:line="259" w:lineRule="auto"/>
      </w:pPr>
      <w:r>
        <w:rPr>
          <w:b w:val="0"/>
          <w:color w:val="586273"/>
          <w:sz w:val="19"/>
        </w:rPr>
        <w:t>Observed adoption versus value-realisation opportunity</w:t>
      </w:r>
    </w:p>
    <w:tbl>
      <w:tblPr>
        <w:tblW w:type="dxa" w:w="9921"/>
        <w:jc w:val="center"/>
        <w:tblLayout w:type="fixed"/>
        <w:tblLook w:firstColumn="1" w:firstRow="1" w:lastColumn="0" w:lastRow="0" w:noHBand="0" w:noVBand="1" w:val="04A0"/>
      </w:tblPr>
      <w:tblGrid>
        <w:gridCol w:w="1843"/>
        <w:gridCol w:w="2721"/>
        <w:gridCol w:w="1162"/>
        <w:gridCol w:w="4195"/>
      </w:tblGrid>
      <w:tr>
        <w:trPr>
          <w:cantSplit/>
          <w:tblHeader/>
        </w:trPr>
        <w:tc>
          <w:tcPr>
            <w:tcW w:type="dxa" w:w="1843"/>
            <w:shd w:val="clear" w:color="auto" w:fill="071C4F"/>
            <w:tcMar>
              <w:top w:w="110" w:type="dxa"/>
              <w:left w:w="120" w:type="dxa"/>
              <w:bottom w:w="110" w:type="dxa"/>
              <w:right w:w="120" w:type="dxa"/>
            </w:tcMar>
            <w:vAlign w:val="center"/>
          </w:tcPr>
          <w:p>
            <w:pPr>
              <w:spacing w:before="0" w:after="0" w:line="252" w:lineRule="auto"/>
              <w:jc w:val="left"/>
            </w:pPr>
            <w:r>
              <w:rPr>
                <w:b/>
                <w:color w:val="FFFFFF"/>
                <w:sz w:val="17"/>
              </w:rPr>
              <w:t>Capability</w:t>
            </w:r>
          </w:p>
        </w:tc>
        <w:tc>
          <w:tcPr>
            <w:tcW w:type="dxa" w:w="2721"/>
            <w:shd w:val="clear" w:color="auto" w:fill="071C4F"/>
            <w:tcMar>
              <w:top w:w="110" w:type="dxa"/>
              <w:left w:w="120" w:type="dxa"/>
              <w:bottom w:w="110" w:type="dxa"/>
              <w:right w:w="120" w:type="dxa"/>
            </w:tcMar>
            <w:vAlign w:val="center"/>
          </w:tcPr>
          <w:p>
            <w:pPr>
              <w:spacing w:before="0" w:after="0" w:line="252" w:lineRule="auto"/>
              <w:jc w:val="left"/>
            </w:pPr>
            <w:r>
              <w:rPr>
                <w:b/>
                <w:color w:val="FFFFFF"/>
                <w:sz w:val="17"/>
              </w:rPr>
              <w:t>Observed usage</w:t>
            </w:r>
          </w:p>
        </w:tc>
        <w:tc>
          <w:tcPr>
            <w:tcW w:type="dxa" w:w="1162"/>
            <w:shd w:val="clear" w:color="auto" w:fill="071C4F"/>
            <w:tcMar>
              <w:top w:w="110" w:type="dxa"/>
              <w:left w:w="120" w:type="dxa"/>
              <w:bottom w:w="110" w:type="dxa"/>
              <w:right w:w="120" w:type="dxa"/>
            </w:tcMar>
            <w:vAlign w:val="center"/>
          </w:tcPr>
          <w:p>
            <w:pPr>
              <w:spacing w:before="0" w:after="0" w:line="252" w:lineRule="auto"/>
              <w:jc w:val="center"/>
            </w:pPr>
            <w:r>
              <w:rPr>
                <w:b/>
                <w:color w:val="FFFFFF"/>
                <w:sz w:val="17"/>
              </w:rPr>
              <w:t>Health</w:t>
            </w:r>
          </w:p>
        </w:tc>
        <w:tc>
          <w:tcPr>
            <w:tcW w:type="dxa" w:w="4195"/>
            <w:shd w:val="clear" w:color="auto" w:fill="071C4F"/>
            <w:tcMar>
              <w:top w:w="110" w:type="dxa"/>
              <w:left w:w="120" w:type="dxa"/>
              <w:bottom w:w="110" w:type="dxa"/>
              <w:right w:w="120" w:type="dxa"/>
            </w:tcMar>
            <w:vAlign w:val="center"/>
          </w:tcPr>
          <w:p>
            <w:pPr>
              <w:spacing w:before="0" w:after="0" w:line="252" w:lineRule="auto"/>
              <w:jc w:val="left"/>
            </w:pPr>
            <w:r>
              <w:rPr>
                <w:b/>
                <w:color w:val="FFFFFF"/>
                <w:sz w:val="17"/>
              </w:rPr>
              <w:t>Value motion</w:t>
            </w:r>
          </w:p>
        </w:tc>
      </w:tr>
      <w:tr>
        <w:trPr>
          <w:cantSplit/>
        </w:trPr>
        <w:tc>
          <w:tcPr>
            <w:tcW w:type="dxa" w:w="1843"/>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Core resources</w:t>
            </w:r>
          </w:p>
        </w:tc>
        <w:tc>
          <w:tcPr>
            <w:tcW w:type="dxa" w:w="27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147 devices and 55,300 instances.</w:t>
            </w:r>
          </w:p>
        </w:tc>
        <w:tc>
          <w:tcPr>
            <w:tcW w:type="dxa" w:w="1162"/>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5"/>
              </w:rPr>
              <w:t>Developing</w:t>
            </w:r>
          </w:p>
        </w:tc>
        <w:tc>
          <w:tcPr>
            <w:tcW w:type="dxa" w:w="4195"/>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Protect the foundation, remove stale objects and improve coverage quality before adding more volume.</w:t>
            </w:r>
          </w:p>
        </w:tc>
      </w:tr>
      <w:tr>
        <w:trPr>
          <w:cantSplit/>
        </w:trPr>
        <w:tc>
          <w:tcPr>
            <w:tcW w:type="dxa" w:w="1843"/>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Dashboards / reports</w:t>
            </w:r>
          </w:p>
        </w:tc>
        <w:tc>
          <w:tcPr>
            <w:tcW w:type="dxa" w:w="27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22 dashboards, 264 widgets and 9 reports in the previous 24 hours.</w:t>
            </w:r>
          </w:p>
        </w:tc>
        <w:tc>
          <w:tcPr>
            <w:tcW w:type="dxa" w:w="1162"/>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5"/>
              </w:rPr>
              <w:t>Developing</w:t>
            </w:r>
          </w:p>
        </w:tc>
        <w:tc>
          <w:tcPr>
            <w:tcW w:type="dxa" w:w="4195"/>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Rationalise by persona: NOC, service owner, Infosys delivery executive, SLA governance and customer leadership. Measure views and recipient use.</w:t>
            </w:r>
          </w:p>
        </w:tc>
      </w:tr>
      <w:tr>
        <w:trPr>
          <w:cantSplit/>
        </w:trPr>
        <w:tc>
          <w:tcPr>
            <w:tcW w:type="dxa" w:w="1843"/>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Service Insights</w:t>
            </w:r>
          </w:p>
        </w:tc>
        <w:tc>
          <w:tcPr>
            <w:tcW w:type="dxa" w:w="27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6 services configured; service quality and operational usage are not exposed through the API.</w:t>
            </w:r>
          </w:p>
        </w:tc>
        <w:tc>
          <w:tcPr>
            <w:tcW w:type="dxa" w:w="1162"/>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5"/>
              </w:rPr>
              <w:t>Developing</w:t>
            </w:r>
          </w:p>
        </w:tc>
        <w:tc>
          <w:tcPr>
            <w:tcW w:type="dxa" w:w="4195"/>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Attach owner, criticality, SLA/SLO, business impact and change control. Use service context in incident prioritisation and Edwin investigations.</w:t>
            </w:r>
          </w:p>
        </w:tc>
      </w:tr>
      <w:tr>
        <w:trPr>
          <w:cantSplit/>
        </w:trPr>
        <w:tc>
          <w:tcPr>
            <w:tcW w:type="dxa" w:w="1843"/>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LM Logs</w:t>
            </w:r>
          </w:p>
        </w:tc>
        <w:tc>
          <w:tcPr>
            <w:tcW w:type="dxa" w:w="27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 xml:space="preserve">4 LogSources configured; ingestion volume, LogAlerts and tracked queries: </w:t>
            </w:r>
            <w:r>
              <w:rPr>
                <w:b w:val="0"/>
                <w:i/>
                <w:color w:val="A15C00"/>
                <w:sz w:val="17"/>
              </w:rPr>
              <w:t>[Consultant to complete: from the portal Usage and Logs pages.]</w:t>
            </w:r>
          </w:p>
        </w:tc>
        <w:tc>
          <w:tcPr>
            <w:tcW w:type="dxa" w:w="1162"/>
            <w:tcBorders>
              <w:left w:val="single" w:sz="4" w:space="0" w:color="D7DEE8"/>
              <w:bottom w:val="single" w:sz="4" w:space="0" w:color="D7DEE8"/>
              <w:right w:val="single" w:sz="4" w:space="0" w:color="D7DEE8"/>
            </w:tcBorders>
            <w:shd w:val="clear" w:color="auto" w:fill="ECEFF1"/>
            <w:tcMar>
              <w:top w:w="110" w:type="dxa"/>
              <w:left w:w="120" w:type="dxa"/>
              <w:bottom w:w="110" w:type="dxa"/>
              <w:right w:w="120" w:type="dxa"/>
            </w:tcMar>
            <w:vAlign w:val="center"/>
          </w:tcPr>
          <w:p>
            <w:pPr>
              <w:spacing w:before="0" w:after="0" w:line="252" w:lineRule="auto"/>
              <w:jc w:val="center"/>
            </w:pPr>
            <w:r>
              <w:rPr>
                <w:b/>
                <w:i w:val="0"/>
                <w:color w:val="5F6368"/>
                <w:sz w:val="15"/>
              </w:rPr>
              <w:t>Unknown</w:t>
            </w:r>
          </w:p>
        </w:tc>
        <w:tc>
          <w:tcPr>
            <w:tcW w:type="dxa" w:w="4195"/>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Review top consumers, retention and partitions; build tracked investigations and high-value alerts; link logs to service and incident workflows.</w:t>
            </w:r>
          </w:p>
        </w:tc>
      </w:tr>
      <w:tr>
        <w:trPr>
          <w:cantSplit/>
        </w:trPr>
        <w:tc>
          <w:tcPr>
            <w:tcW w:type="dxa" w:w="1843"/>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Edwin AI</w:t>
            </w:r>
          </w:p>
        </w:tc>
        <w:tc>
          <w:tcPr>
            <w:tcW w:type="dxa" w:w="27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color w:val="A15C00"/>
                <w:sz w:val="17"/>
              </w:rPr>
              <w:t>[Consultant to complete: current Edwin AI usage or POV status.]</w:t>
            </w:r>
          </w:p>
        </w:tc>
        <w:tc>
          <w:tcPr>
            <w:tcW w:type="dxa" w:w="1162"/>
            <w:tcBorders>
              <w:left w:val="single" w:sz="4" w:space="0" w:color="D7DEE8"/>
              <w:bottom w:val="single" w:sz="4" w:space="0" w:color="D7DEE8"/>
              <w:right w:val="single" w:sz="4" w:space="0" w:color="D7DEE8"/>
            </w:tcBorders>
            <w:shd w:val="clear" w:color="auto" w:fill="ECEFF1"/>
            <w:tcMar>
              <w:top w:w="110" w:type="dxa"/>
              <w:left w:w="120" w:type="dxa"/>
              <w:bottom w:w="110" w:type="dxa"/>
              <w:right w:w="120" w:type="dxa"/>
            </w:tcMar>
            <w:vAlign w:val="center"/>
          </w:tcPr>
          <w:p>
            <w:pPr>
              <w:spacing w:before="0" w:after="0" w:line="252" w:lineRule="auto"/>
              <w:jc w:val="center"/>
            </w:pPr>
            <w:r>
              <w:rPr>
                <w:b/>
                <w:i w:val="0"/>
                <w:color w:val="5F6368"/>
                <w:sz w:val="15"/>
              </w:rPr>
              <w:t>Unknown</w:t>
            </w:r>
          </w:p>
        </w:tc>
        <w:tc>
          <w:tcPr>
            <w:tcW w:type="dxa" w:w="4195"/>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Proceed only through a gated POV with two or three use cases, signed baselines, technical readiness checks and a production decision.</w:t>
            </w:r>
          </w:p>
        </w:tc>
      </w:tr>
      <w:tr>
        <w:trPr>
          <w:cantSplit/>
        </w:trPr>
        <w:tc>
          <w:tcPr>
            <w:tcW w:type="dxa" w:w="1843"/>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LM Uptime</w:t>
            </w:r>
          </w:p>
        </w:tc>
        <w:tc>
          <w:tcPr>
            <w:tcW w:type="dxa" w:w="27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 xml:space="preserve">Checks executed versus contracted are not exposed through the API. </w:t>
            </w:r>
            <w:r>
              <w:rPr>
                <w:b w:val="0"/>
                <w:i/>
                <w:color w:val="A15C00"/>
                <w:sz w:val="17"/>
              </w:rPr>
              <w:t>[Consultant to complete: Uptime usage.]</w:t>
            </w:r>
          </w:p>
        </w:tc>
        <w:tc>
          <w:tcPr>
            <w:tcW w:type="dxa" w:w="1162"/>
            <w:tcBorders>
              <w:left w:val="single" w:sz="4" w:space="0" w:color="D7DEE8"/>
              <w:bottom w:val="single" w:sz="4" w:space="0" w:color="D7DEE8"/>
              <w:right w:val="single" w:sz="4" w:space="0" w:color="D7DEE8"/>
            </w:tcBorders>
            <w:shd w:val="clear" w:color="auto" w:fill="ECEFF1"/>
            <w:tcMar>
              <w:top w:w="110" w:type="dxa"/>
              <w:left w:w="120" w:type="dxa"/>
              <w:bottom w:w="110" w:type="dxa"/>
              <w:right w:w="120" w:type="dxa"/>
            </w:tcMar>
            <w:vAlign w:val="center"/>
          </w:tcPr>
          <w:p>
            <w:pPr>
              <w:spacing w:before="0" w:after="0" w:line="252" w:lineRule="auto"/>
              <w:jc w:val="center"/>
            </w:pPr>
            <w:r>
              <w:rPr>
                <w:b/>
                <w:i w:val="0"/>
                <w:color w:val="5F6368"/>
                <w:sz w:val="15"/>
              </w:rPr>
              <w:t>Unknown</w:t>
            </w:r>
          </w:p>
        </w:tc>
        <w:tc>
          <w:tcPr>
            <w:tcW w:type="dxa" w:w="4195"/>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Activate external synthetic monitoring for the highest-value digital journeys and use results in service and SLA reporting.</w:t>
            </w:r>
          </w:p>
        </w:tc>
      </w:tr>
      <w:tr>
        <w:trPr>
          <w:cantSplit/>
        </w:trPr>
        <w:tc>
          <w:tcPr>
            <w:tcW w:type="dxa" w:w="1843"/>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Websites</w:t>
            </w:r>
          </w:p>
        </w:tc>
        <w:tc>
          <w:tcPr>
            <w:tcW w:type="dxa" w:w="27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10 website checks (6 external, 1 alerting).</w:t>
            </w:r>
          </w:p>
        </w:tc>
        <w:tc>
          <w:tcPr>
            <w:tcW w:type="dxa" w:w="1162"/>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5"/>
              </w:rPr>
              <w:t>Developing</w:t>
            </w:r>
          </w:p>
        </w:tc>
        <w:tc>
          <w:tcPr>
            <w:tcW w:type="dxa" w:w="4195"/>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Validate journey coverage and add geographic, dependency and business-impact context. Complement internal checks with Uptime.</w:t>
            </w:r>
          </w:p>
        </w:tc>
      </w:tr>
      <w:tr>
        <w:trPr>
          <w:cantSplit/>
        </w:trPr>
        <w:tc>
          <w:tcPr>
            <w:tcW w:type="dxa" w:w="1843"/>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Config monitoring</w:t>
            </w:r>
          </w:p>
        </w:tc>
        <w:tc>
          <w:tcPr>
            <w:tcW w:type="dxa" w:w="27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 xml:space="preserve">6 ConfigSources installed; Config Devices count: </w:t>
            </w:r>
            <w:r>
              <w:rPr>
                <w:b w:val="0"/>
                <w:i/>
                <w:color w:val="A15C00"/>
                <w:sz w:val="17"/>
              </w:rPr>
              <w:t>[Consultant to complete: from Settings &gt; Account Information.]</w:t>
            </w:r>
          </w:p>
        </w:tc>
        <w:tc>
          <w:tcPr>
            <w:tcW w:type="dxa" w:w="1162"/>
            <w:tcBorders>
              <w:left w:val="single" w:sz="4" w:space="0" w:color="D7DEE8"/>
              <w:bottom w:val="single" w:sz="4" w:space="0" w:color="D7DEE8"/>
              <w:right w:val="single" w:sz="4" w:space="0" w:color="D7DEE8"/>
            </w:tcBorders>
            <w:shd w:val="clear" w:color="auto" w:fill="ECEFF1"/>
            <w:tcMar>
              <w:top w:w="110" w:type="dxa"/>
              <w:left w:w="120" w:type="dxa"/>
              <w:bottom w:w="110" w:type="dxa"/>
              <w:right w:w="120" w:type="dxa"/>
            </w:tcMar>
            <w:vAlign w:val="center"/>
          </w:tcPr>
          <w:p>
            <w:pPr>
              <w:spacing w:before="0" w:after="0" w:line="252" w:lineRule="auto"/>
              <w:jc w:val="center"/>
            </w:pPr>
            <w:r>
              <w:rPr>
                <w:b/>
                <w:i w:val="0"/>
                <w:color w:val="5F6368"/>
                <w:sz w:val="15"/>
              </w:rPr>
              <w:t>Unknown</w:t>
            </w:r>
          </w:p>
        </w:tc>
        <w:tc>
          <w:tcPr>
            <w:tcW w:type="dxa" w:w="4195"/>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Assess configuration backup, drift, compliance and change-correlation coverage across network infrastructure.</w:t>
            </w:r>
          </w:p>
        </w:tc>
      </w:tr>
      <w:tr>
        <w:trPr>
          <w:cantSplit/>
        </w:trPr>
        <w:tc>
          <w:tcPr>
            <w:tcW w:type="dxa" w:w="1843"/>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Cloud / Kubernetes / OTel</w:t>
            </w:r>
          </w:p>
        </w:tc>
        <w:tc>
          <w:tcPr>
            <w:tcW w:type="dxa" w:w="27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16 cloud and 0 Kubernetes resources; OpenTelemetry scope is not evidenced.</w:t>
            </w:r>
          </w:p>
        </w:tc>
        <w:tc>
          <w:tcPr>
            <w:tcW w:type="dxa" w:w="1162"/>
            <w:tcBorders>
              <w:left w:val="single" w:sz="4" w:space="0" w:color="D7DEE8"/>
              <w:bottom w:val="single" w:sz="4" w:space="0" w:color="D7DEE8"/>
              <w:right w:val="single" w:sz="4" w:space="0" w:color="D7DEE8"/>
            </w:tcBorders>
            <w:shd w:val="clear" w:color="auto" w:fill="E7F4E8"/>
            <w:tcMar>
              <w:top w:w="110" w:type="dxa"/>
              <w:left w:w="120" w:type="dxa"/>
              <w:bottom w:w="110" w:type="dxa"/>
              <w:right w:w="120" w:type="dxa"/>
            </w:tcMar>
            <w:vAlign w:val="center"/>
          </w:tcPr>
          <w:p>
            <w:pPr>
              <w:spacing w:before="0" w:after="0" w:line="252" w:lineRule="auto"/>
              <w:jc w:val="center"/>
            </w:pPr>
            <w:r>
              <w:rPr>
                <w:b/>
                <w:i w:val="0"/>
                <w:color w:val="2E7D32"/>
                <w:sz w:val="15"/>
              </w:rPr>
              <w:t>Strong</w:t>
            </w:r>
          </w:p>
        </w:tc>
        <w:tc>
          <w:tcPr>
            <w:tcW w:type="dxa" w:w="4195"/>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Confirm whether scope exists elsewhere. Where appropriate, extend hybrid observability and use OpenTelemetry to enrich services and Edwin context.</w:t>
            </w:r>
          </w:p>
        </w:tc>
      </w:tr>
      <w:tr>
        <w:trPr>
          <w:cantSplit/>
        </w:trPr>
        <w:tc>
          <w:tcPr>
            <w:tcW w:type="dxa" w:w="1843"/>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8"/>
              </w:rPr>
              <w:t>Collectors / LogicModules</w:t>
            </w:r>
          </w:p>
        </w:tc>
        <w:tc>
          <w:tcPr>
            <w:tcW w:type="dxa" w:w="27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10 collectors and 276 LogicModules; 1 down, 5 clone-like modules.</w:t>
            </w:r>
          </w:p>
        </w:tc>
        <w:tc>
          <w:tcPr>
            <w:tcW w:type="dxa" w:w="1162"/>
            <w:tcBorders>
              <w:left w:val="single" w:sz="4" w:space="0" w:color="D7DEE8"/>
              <w:bottom w:val="single" w:sz="4" w:space="0" w:color="D7DEE8"/>
              <w:right w:val="single" w:sz="4" w:space="0" w:color="D7DEE8"/>
            </w:tcBorders>
            <w:shd w:val="clear" w:color="auto" w:fill="FCE8E6"/>
            <w:tcMar>
              <w:top w:w="110" w:type="dxa"/>
              <w:left w:w="120" w:type="dxa"/>
              <w:bottom w:w="110" w:type="dxa"/>
              <w:right w:w="120" w:type="dxa"/>
            </w:tcMar>
            <w:vAlign w:val="center"/>
          </w:tcPr>
          <w:p>
            <w:pPr>
              <w:spacing w:before="0" w:after="0" w:line="252" w:lineRule="auto"/>
              <w:jc w:val="center"/>
            </w:pPr>
            <w:r>
              <w:rPr>
                <w:b/>
                <w:i w:val="0"/>
                <w:color w:val="B3261E"/>
                <w:sz w:val="15"/>
              </w:rPr>
              <w:t>At risk</w:t>
            </w:r>
          </w:p>
        </w:tc>
        <w:tc>
          <w:tcPr>
            <w:tcW w:type="dxa" w:w="4195"/>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Create a formal governance register, standardise sizing and failover, remediate discovery churn, and retire unsupported or unused clones.</w:t>
            </w:r>
          </w:p>
        </w:tc>
      </w:tr>
    </w:tbl>
    <w:p>
      <w:r>
        <w:br w:type="page"/>
      </w:r>
    </w:p>
    <w:p>
      <w:pPr>
        <w:pStyle w:val="Heading1"/>
      </w:pPr>
      <w:r>
        <w:t>Edwin AI POV recommendation</w:t>
      </w:r>
    </w:p>
    <w:p>
      <w:pPr>
        <w:keepNext w:val="0"/>
        <w:spacing w:before="0" w:after="160" w:line="259" w:lineRule="auto"/>
      </w:pPr>
      <w:r>
        <w:rPr>
          <w:b w:val="0"/>
          <w:color w:val="586273"/>
          <w:sz w:val="19"/>
        </w:rPr>
        <w:t>Proceed conditionally - do not launch an open-ended AI exercise</w:t>
      </w:r>
    </w:p>
    <w:tbl>
      <w:tblPr>
        <w:tblW w:type="dxa" w:w="9921"/>
        <w:jc w:val="center"/>
        <w:tblLayout w:type="fixed"/>
        <w:tblLook w:firstColumn="1" w:firstRow="1" w:lastColumn="0" w:lastRow="0" w:noHBand="0" w:noVBand="1" w:val="04A0"/>
      </w:tblPr>
      <w:tblGrid>
        <w:gridCol w:w="1871"/>
        <w:gridCol w:w="8050"/>
      </w:tblGrid>
      <w:tr>
        <w:tc>
          <w:tcPr>
            <w:tcW w:type="dxa" w:w="1871"/>
            <w:tcBorders>
              <w:top w:val="single" w:sz="6" w:space="0" w:color="D7DEE8"/>
              <w:left w:val="single" w:sz="6" w:space="0" w:color="D7DEE8"/>
              <w:bottom w:val="single" w:sz="6" w:space="0" w:color="D7DEE8"/>
              <w:right w:val="single" w:sz="6" w:space="0" w:color="D7DEE8"/>
            </w:tcBorders>
            <w:shd w:val="clear" w:color="auto" w:fill="FFF3D6"/>
            <w:tcMar>
              <w:top w:w="170" w:type="dxa"/>
              <w:left w:w="170" w:type="dxa"/>
              <w:bottom w:w="170" w:type="dxa"/>
              <w:right w:w="170" w:type="dxa"/>
            </w:tcMar>
            <w:vAlign w:val="center"/>
          </w:tcPr>
          <w:p>
            <w:pPr>
              <w:jc w:val="center"/>
            </w:pPr>
            <w:r>
              <w:rPr>
                <w:b/>
                <w:color w:val="A15C00"/>
                <w:sz w:val="26"/>
              </w:rPr>
              <w:t>AMBER</w:t>
            </w:r>
          </w:p>
        </w:tc>
        <w:tc>
          <w:tcPr>
            <w:tcW w:type="dxa" w:w="8050"/>
            <w:tcBorders>
              <w:top w:val="single" w:sz="6" w:space="0" w:color="D7DEE8"/>
              <w:left w:val="single" w:sz="6" w:space="0" w:color="D7DEE8"/>
              <w:bottom w:val="single" w:sz="6" w:space="0" w:color="D7DEE8"/>
              <w:right w:val="single" w:sz="6" w:space="0" w:color="D7DEE8"/>
            </w:tcBorders>
            <w:shd w:val="clear" w:color="auto" w:fill="F5F9FF"/>
            <w:tcMar>
              <w:top w:w="170" w:type="dxa"/>
              <w:left w:w="170" w:type="dxa"/>
              <w:bottom w:w="170" w:type="dxa"/>
              <w:right w:w="170" w:type="dxa"/>
            </w:tcMar>
            <w:vAlign w:val="center"/>
          </w:tcPr>
          <w:p>
            <w:r>
              <w:rPr>
                <w:b/>
                <w:color w:val="071C4F"/>
                <w:sz w:val="21"/>
              </w:rPr>
              <w:t xml:space="preserve">Recommendation: </w:t>
            </w:r>
            <w:r>
              <w:rPr>
                <w:b w:val="0"/>
                <w:i w:val="0"/>
                <w:color w:val="1E2430"/>
                <w:sz w:val="21"/>
              </w:rPr>
              <w:t>Proceed with a tightly scoped, value-led POV after the entry criteria are locked. The existing telemetry, alert volume, Logs footprint and Service Insights estate provide a credible proving ground, but the baseline and operating conditions are not yet sufficiently controlled.</w:t>
            </w:r>
          </w:p>
        </w:tc>
      </w:tr>
    </w:tbl>
    <w:p>
      <w:pPr>
        <w:pStyle w:val="Heading2"/>
      </w:pPr>
      <w:r>
        <w:t>Why the opportunity is credible</w:t>
      </w:r>
    </w:p>
    <w:p>
      <w:pPr>
        <w:pStyle w:val="ListBullet"/>
        <w:spacing w:before="0" w:after="40" w:line="259" w:lineRule="auto"/>
        <w:ind w:left="312" w:hanging="142"/>
      </w:pPr>
      <w:r>
        <w:rPr>
          <w:b w:val="0"/>
          <w:i w:val="0"/>
          <w:color w:val="1E2430"/>
          <w:sz w:val="19"/>
        </w:rPr>
        <w:t>The portal generated 372 alerts in the previous day across 147 resources, a measurable baseline for event grouping and noise reduction.</w:t>
      </w:r>
    </w:p>
    <w:p>
      <w:pPr>
        <w:pStyle w:val="ListBullet"/>
        <w:spacing w:before="0" w:after="40" w:line="259" w:lineRule="auto"/>
        <w:ind w:left="312" w:hanging="142"/>
      </w:pPr>
      <w:r>
        <w:rPr>
          <w:b w:val="0"/>
          <w:i w:val="0"/>
          <w:color w:val="1E2430"/>
          <w:sz w:val="19"/>
        </w:rPr>
        <w:t>Telemetry depth of 55,300 instances and 6 services supports a meaningful investigation and correlation exercise.</w:t>
      </w:r>
    </w:p>
    <w:p>
      <w:pPr>
        <w:pStyle w:val="ListBullet"/>
        <w:spacing w:before="0" w:after="40" w:line="259" w:lineRule="auto"/>
        <w:ind w:left="312" w:hanging="142"/>
      </w:pPr>
      <w:r>
        <w:rPr>
          <w:b w:val="0"/>
          <w:i w:val="0"/>
          <w:color w:val="1E2430"/>
          <w:sz w:val="19"/>
        </w:rPr>
        <w:t>An ITSM integration (servicenow) already exists, giving a path for incident enrichment.</w:t>
      </w:r>
    </w:p>
    <w:p>
      <w:pPr>
        <w:pStyle w:val="ListBullet"/>
        <w:spacing w:before="0" w:after="40" w:line="259" w:lineRule="auto"/>
        <w:ind w:left="312" w:hanging="142"/>
      </w:pPr>
      <w:r>
        <w:rPr>
          <w:b w:val="0"/>
          <w:i/>
          <w:color w:val="A15C00"/>
          <w:sz w:val="19"/>
        </w:rPr>
        <w:t>[Consultant to complete: the customer's mandate for AI-enabled service improvement and the Infosys economic incentive (L0/L1 effort, SLA performance, margin).]</w:t>
      </w:r>
    </w:p>
    <w:p>
      <w:pPr>
        <w:pStyle w:val="Heading2"/>
      </w:pPr>
      <w:r>
        <w:t>Entry criteria that must be completed</w:t>
      </w:r>
    </w:p>
    <w:p>
      <w:pPr>
        <w:pStyle w:val="ListBullet"/>
        <w:spacing w:before="0" w:after="40" w:line="259" w:lineRule="auto"/>
        <w:ind w:left="312" w:hanging="142"/>
      </w:pPr>
      <w:r>
        <w:rPr>
          <w:b w:val="0"/>
          <w:i w:val="0"/>
          <w:color w:val="1E2430"/>
          <w:sz w:val="19"/>
        </w:rPr>
        <w:t>Reconcile alerts, incidents/tickets, duplicate handling, workforce effort, MTTD/MTTR, SLA performance and cost-per-ticket baselines.</w:t>
      </w:r>
    </w:p>
    <w:p>
      <w:pPr>
        <w:pStyle w:val="ListBullet"/>
        <w:spacing w:before="0" w:after="40" w:line="259" w:lineRule="auto"/>
        <w:ind w:left="312" w:hanging="142"/>
      </w:pPr>
      <w:r>
        <w:rPr>
          <w:b w:val="0"/>
          <w:i w:val="0"/>
          <w:color w:val="1E2430"/>
          <w:sz w:val="19"/>
        </w:rPr>
        <w:t>Freeze two or three incident categories and define exactly which signals are required for Example Corp SLA reporting versus operational response.</w:t>
      </w:r>
    </w:p>
    <w:p>
      <w:pPr>
        <w:pStyle w:val="ListBullet"/>
        <w:spacing w:before="0" w:after="40" w:line="259" w:lineRule="auto"/>
        <w:ind w:left="312" w:hanging="142"/>
      </w:pPr>
      <w:r>
        <w:rPr>
          <w:b w:val="0"/>
          <w:i w:val="0"/>
          <w:color w:val="1E2430"/>
          <w:sz w:val="19"/>
        </w:rPr>
        <w:t>Resolve critical collector, topology, metadata and ActiveDiscovery stability issues in the selected scope.</w:t>
      </w:r>
    </w:p>
    <w:p>
      <w:pPr>
        <w:pStyle w:val="ListBullet"/>
        <w:spacing w:before="0" w:after="40" w:line="259" w:lineRule="auto"/>
        <w:ind w:left="312" w:hanging="142"/>
      </w:pPr>
      <w:r>
        <w:rPr>
          <w:b w:val="0"/>
          <w:i w:val="0"/>
          <w:color w:val="1E2430"/>
          <w:sz w:val="19"/>
        </w:rPr>
        <w:t>Confirm data flow, RBAC, security, LogicMonitor access and the ITSM/CMDB integration path.</w:t>
      </w:r>
    </w:p>
    <w:p>
      <w:pPr>
        <w:pStyle w:val="ListBullet"/>
        <w:spacing w:before="0" w:after="40" w:line="259" w:lineRule="auto"/>
        <w:ind w:left="312" w:hanging="142"/>
      </w:pPr>
      <w:r>
        <w:rPr>
          <w:b w:val="0"/>
          <w:i w:val="0"/>
          <w:color w:val="1E2430"/>
          <w:sz w:val="19"/>
        </w:rPr>
        <w:t>Agree POV success criteria, exit criteria, executive sponsors and the production-commercial gate before activation.</w:t>
      </w:r>
    </w:p>
    <w:p>
      <w:pPr>
        <w:pStyle w:val="Heading2"/>
      </w:pPr>
      <w:r>
        <w:t>Recommended use cases and evidence</w:t>
      </w:r>
    </w:p>
    <w:tbl>
      <w:tblPr>
        <w:tblW w:type="dxa" w:w="9921"/>
        <w:jc w:val="center"/>
        <w:tblLayout w:type="fixed"/>
        <w:tblLook w:firstColumn="1" w:firstRow="1" w:lastColumn="0" w:lastRow="0" w:noHBand="0" w:noVBand="1" w:val="04A0"/>
      </w:tblPr>
      <w:tblGrid>
        <w:gridCol w:w="2608"/>
        <w:gridCol w:w="4082"/>
        <w:gridCol w:w="3231"/>
      </w:tblGrid>
      <w:tr>
        <w:trPr>
          <w:cantSplit/>
          <w:tblHeader/>
        </w:trPr>
        <w:tc>
          <w:tcPr>
            <w:tcW w:type="dxa" w:w="2608"/>
            <w:shd w:val="clear" w:color="auto" w:fill="071C4F"/>
            <w:tcMar>
              <w:top w:w="110" w:type="dxa"/>
              <w:left w:w="120" w:type="dxa"/>
              <w:bottom w:w="110" w:type="dxa"/>
              <w:right w:w="120" w:type="dxa"/>
            </w:tcMar>
            <w:vAlign w:val="center"/>
          </w:tcPr>
          <w:p>
            <w:pPr>
              <w:spacing w:before="0" w:after="0" w:line="252" w:lineRule="auto"/>
              <w:jc w:val="left"/>
            </w:pPr>
            <w:r>
              <w:rPr>
                <w:b/>
                <w:color w:val="FFFFFF"/>
                <w:sz w:val="16"/>
              </w:rPr>
              <w:t>Use case</w:t>
            </w:r>
          </w:p>
        </w:tc>
        <w:tc>
          <w:tcPr>
            <w:tcW w:type="dxa" w:w="4082"/>
            <w:shd w:val="clear" w:color="auto" w:fill="071C4F"/>
            <w:tcMar>
              <w:top w:w="110" w:type="dxa"/>
              <w:left w:w="120" w:type="dxa"/>
              <w:bottom w:w="110" w:type="dxa"/>
              <w:right w:w="120" w:type="dxa"/>
            </w:tcMar>
            <w:vAlign w:val="center"/>
          </w:tcPr>
          <w:p>
            <w:pPr>
              <w:spacing w:before="0" w:after="0" w:line="252" w:lineRule="auto"/>
              <w:jc w:val="left"/>
            </w:pPr>
            <w:r>
              <w:rPr>
                <w:b/>
                <w:color w:val="FFFFFF"/>
                <w:sz w:val="16"/>
              </w:rPr>
              <w:t>Purpose</w:t>
            </w:r>
          </w:p>
        </w:tc>
        <w:tc>
          <w:tcPr>
            <w:tcW w:type="dxa" w:w="3231"/>
            <w:shd w:val="clear" w:color="auto" w:fill="071C4F"/>
            <w:tcMar>
              <w:top w:w="110" w:type="dxa"/>
              <w:left w:w="120" w:type="dxa"/>
              <w:bottom w:w="110" w:type="dxa"/>
              <w:right w:w="120" w:type="dxa"/>
            </w:tcMar>
            <w:vAlign w:val="center"/>
          </w:tcPr>
          <w:p>
            <w:pPr>
              <w:spacing w:before="0" w:after="0" w:line="252" w:lineRule="auto"/>
              <w:jc w:val="left"/>
            </w:pPr>
            <w:r>
              <w:rPr>
                <w:b/>
                <w:color w:val="FFFFFF"/>
                <w:sz w:val="16"/>
              </w:rPr>
              <w:t>Evidence to capture</w:t>
            </w:r>
          </w:p>
        </w:tc>
      </w:tr>
      <w:tr>
        <w:trPr>
          <w:cantSplit/>
        </w:trPr>
        <w:tc>
          <w:tcPr>
            <w:tcW w:type="dxa" w:w="2608"/>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Wireless / AP alert correlation</w:t>
            </w:r>
          </w:p>
        </w:tc>
        <w:tc>
          <w:tcPr>
            <w:tcW w:type="dxa" w:w="4082"/>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Retain every signal required for SLA reporting while grouping duplicate and related warnings into operationally meaningful situations. Portal evidence: 77 prior-day alerts (21%) from Wireless_AP_Clients.</w:t>
            </w:r>
          </w:p>
        </w:tc>
        <w:tc>
          <w:tcPr>
            <w:tcW w:type="dxa" w:w="32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Raw alerts vs grouped insights; duplicate-ticket reduction; NOC minutes saved; reporting integrity preserved.</w:t>
            </w:r>
          </w:p>
        </w:tc>
      </w:tr>
      <w:tr>
        <w:trPr>
          <w:cantSplit/>
        </w:trPr>
        <w:tc>
          <w:tcPr>
            <w:tcW w:type="dxa" w:w="2608"/>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Network and collector incident correlation</w:t>
            </w:r>
          </w:p>
        </w:tc>
        <w:tc>
          <w:tcPr>
            <w:tcW w:type="dxa" w:w="4082"/>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Associate parent infrastructure, collector, interface, tunnel and downstream symptoms to reduce floods and shorten initial triage. Portal evidence: 176 prior-day alerts (47%) from SNMP_Network_Interfaces, Ping and BGP.</w:t>
            </w:r>
          </w:p>
        </w:tc>
        <w:tc>
          <w:tcPr>
            <w:tcW w:type="dxa" w:w="32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Related-event grouping; engineers engaged; time to probable cause; escalation rate; MTTD/MTTR.</w:t>
            </w:r>
          </w:p>
        </w:tc>
      </w:tr>
      <w:tr>
        <w:trPr>
          <w:cantSplit/>
        </w:trPr>
        <w:tc>
          <w:tcPr>
            <w:tcW w:type="dxa" w:w="2608"/>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ServiceNow incident enrichment and RCA</w:t>
            </w:r>
          </w:p>
        </w:tc>
        <w:tc>
          <w:tcPr>
            <w:tcW w:type="dxa" w:w="4082"/>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Pass affected service, probable cause, related alerts, logs and investigation context into the incident workflow.</w:t>
            </w:r>
          </w:p>
        </w:tc>
        <w:tc>
          <w:tcPr>
            <w:tcW w:type="dxa" w:w="323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Ticket quality; handoff time; RCA consistency; escalation avoidance; restoration time.</w:t>
            </w:r>
          </w:p>
        </w:tc>
      </w:tr>
    </w:tbl>
    <w:p>
      <w:r>
        <w:br w:type="page"/>
      </w:r>
    </w:p>
    <w:p>
      <w:pPr>
        <w:pStyle w:val="Heading2"/>
      </w:pPr>
      <w:r>
        <w:t>Three-week execution model</w:t>
      </w:r>
    </w:p>
    <w:tbl>
      <w:tblPr>
        <w:tblW w:type="dxa" w:w="9921"/>
        <w:jc w:val="center"/>
        <w:tblLayout w:type="fixed"/>
        <w:tblLook w:firstColumn="1" w:firstRow="1" w:lastColumn="0" w:lastRow="0" w:noHBand="0" w:noVBand="1" w:val="04A0"/>
      </w:tblPr>
      <w:tblGrid>
        <w:gridCol w:w="1587"/>
        <w:gridCol w:w="5386"/>
        <w:gridCol w:w="2948"/>
      </w:tblGrid>
      <w:tr>
        <w:trPr>
          <w:cantSplit/>
          <w:tblHeader/>
        </w:trPr>
        <w:tc>
          <w:tcPr>
            <w:tcW w:type="dxa" w:w="1587"/>
            <w:shd w:val="clear" w:color="auto" w:fill="071C4F"/>
            <w:tcMar>
              <w:top w:w="120" w:type="dxa"/>
              <w:left w:w="120" w:type="dxa"/>
              <w:bottom w:w="120" w:type="dxa"/>
              <w:right w:w="120" w:type="dxa"/>
            </w:tcMar>
            <w:vAlign w:val="center"/>
          </w:tcPr>
          <w:p>
            <w:pPr>
              <w:spacing w:before="0" w:after="0" w:line="252" w:lineRule="auto"/>
              <w:jc w:val="center"/>
            </w:pPr>
            <w:r>
              <w:rPr>
                <w:b/>
                <w:color w:val="FFFFFF"/>
                <w:sz w:val="16"/>
              </w:rPr>
              <w:t>Horizon</w:t>
            </w:r>
          </w:p>
        </w:tc>
        <w:tc>
          <w:tcPr>
            <w:tcW w:type="dxa" w:w="5386"/>
            <w:shd w:val="clear" w:color="auto" w:fill="071C4F"/>
            <w:tcMar>
              <w:top w:w="120" w:type="dxa"/>
              <w:left w:w="120" w:type="dxa"/>
              <w:bottom w:w="120" w:type="dxa"/>
              <w:right w:w="120" w:type="dxa"/>
            </w:tcMar>
            <w:vAlign w:val="center"/>
          </w:tcPr>
          <w:p>
            <w:pPr>
              <w:spacing w:before="0" w:after="0" w:line="252" w:lineRule="auto"/>
              <w:jc w:val="left"/>
            </w:pPr>
            <w:r>
              <w:rPr>
                <w:b/>
                <w:color w:val="FFFFFF"/>
                <w:sz w:val="16"/>
              </w:rPr>
              <w:t>Priority actions</w:t>
            </w:r>
          </w:p>
        </w:tc>
        <w:tc>
          <w:tcPr>
            <w:tcW w:type="dxa" w:w="2948"/>
            <w:shd w:val="clear" w:color="auto" w:fill="071C4F"/>
            <w:tcMar>
              <w:top w:w="120" w:type="dxa"/>
              <w:left w:w="120" w:type="dxa"/>
              <w:bottom w:w="120" w:type="dxa"/>
              <w:right w:w="120" w:type="dxa"/>
            </w:tcMar>
            <w:vAlign w:val="center"/>
          </w:tcPr>
          <w:p>
            <w:pPr>
              <w:spacing w:before="0" w:after="0" w:line="252" w:lineRule="auto"/>
              <w:jc w:val="left"/>
            </w:pPr>
            <w:r>
              <w:rPr>
                <w:b/>
                <w:color w:val="FFFFFF"/>
                <w:sz w:val="16"/>
              </w:rPr>
              <w:t>Exit evidence</w:t>
            </w:r>
          </w:p>
        </w:tc>
      </w:tr>
      <w:tr>
        <w:trPr>
          <w:cantSplit/>
        </w:trPr>
        <w:tc>
          <w:tcPr>
            <w:tcW w:type="dxa" w:w="1587"/>
            <w:tcBorders>
              <w:left w:val="single" w:sz="4" w:space="0" w:color="D7DEE8"/>
              <w:bottom w:val="single" w:sz="4" w:space="0" w:color="D7DEE8"/>
              <w:right w:val="single" w:sz="4" w:space="0" w:color="D7DEE8"/>
            </w:tcBorders>
            <w:shd w:val="clear" w:color="auto" w:fill="EAF3FF"/>
            <w:tcMar>
              <w:top w:w="120" w:type="dxa"/>
              <w:left w:w="120" w:type="dxa"/>
              <w:bottom w:w="120" w:type="dxa"/>
              <w:right w:w="120" w:type="dxa"/>
            </w:tcMar>
            <w:vAlign w:val="center"/>
          </w:tcPr>
          <w:p>
            <w:pPr>
              <w:spacing w:before="0" w:after="0" w:line="252" w:lineRule="auto"/>
              <w:jc w:val="center"/>
            </w:pPr>
            <w:r>
              <w:rPr>
                <w:b/>
                <w:i w:val="0"/>
                <w:color w:val="071C4F"/>
                <w:sz w:val="20"/>
              </w:rPr>
              <w:t>Week 0 - readiness</w:t>
            </w:r>
          </w:p>
        </w:tc>
        <w:tc>
          <w:tcPr>
            <w:tcW w:type="dxa" w:w="5386"/>
            <w:tcBorders>
              <w:left w:val="single" w:sz="4" w:space="0" w:color="D7DEE8"/>
              <w:bottom w:val="single" w:sz="4" w:space="0" w:color="D7DEE8"/>
              <w:right w:val="single" w:sz="4" w:space="0" w:color="D7DEE8"/>
            </w:tcBorders>
            <w:tcMar>
              <w:top w:w="120" w:type="dxa"/>
              <w:left w:w="120" w:type="dxa"/>
              <w:bottom w:w="120" w:type="dxa"/>
              <w:right w:w="120" w:type="dxa"/>
            </w:tcMar>
            <w:vAlign w:val="center"/>
          </w:tcPr>
          <w:p>
            <w:pPr>
              <w:spacing w:before="0" w:after="0" w:line="252" w:lineRule="auto"/>
              <w:jc w:val="left"/>
            </w:pPr>
            <w:r>
              <w:rPr>
                <w:b w:val="0"/>
                <w:i w:val="0"/>
                <w:color w:val="1E2430"/>
                <w:sz w:val="17"/>
              </w:rPr>
              <w:t>Lock scope, baseline, technical access, RBAC, architecture, owners and exit criteria.</w:t>
            </w:r>
          </w:p>
        </w:tc>
        <w:tc>
          <w:tcPr>
            <w:tcW w:type="dxa" w:w="2948"/>
            <w:tcBorders>
              <w:left w:val="single" w:sz="4" w:space="0" w:color="D7DEE8"/>
              <w:bottom w:val="single" w:sz="4" w:space="0" w:color="D7DEE8"/>
              <w:right w:val="single" w:sz="4" w:space="0" w:color="D7DEE8"/>
            </w:tcBorders>
            <w:tcMar>
              <w:top w:w="120" w:type="dxa"/>
              <w:left w:w="120" w:type="dxa"/>
              <w:bottom w:w="120" w:type="dxa"/>
              <w:right w:w="120" w:type="dxa"/>
            </w:tcMar>
            <w:vAlign w:val="center"/>
          </w:tcPr>
          <w:p>
            <w:pPr>
              <w:spacing w:before="0" w:after="0" w:line="252" w:lineRule="auto"/>
              <w:jc w:val="left"/>
            </w:pPr>
            <w:r>
              <w:rPr>
                <w:b w:val="0"/>
                <w:i w:val="0"/>
                <w:color w:val="071C4F"/>
                <w:sz w:val="17"/>
              </w:rPr>
              <w:t>Signed start checklist and approved POV charter.</w:t>
            </w:r>
          </w:p>
        </w:tc>
      </w:tr>
      <w:tr>
        <w:trPr>
          <w:cantSplit/>
        </w:trPr>
        <w:tc>
          <w:tcPr>
            <w:tcW w:type="dxa" w:w="1587"/>
            <w:tcBorders>
              <w:left w:val="single" w:sz="4" w:space="0" w:color="D7DEE8"/>
              <w:bottom w:val="single" w:sz="4" w:space="0" w:color="D7DEE8"/>
              <w:right w:val="single" w:sz="4" w:space="0" w:color="D7DEE8"/>
            </w:tcBorders>
            <w:shd w:val="clear" w:color="auto" w:fill="F5F9FF"/>
            <w:tcMar>
              <w:top w:w="120" w:type="dxa"/>
              <w:left w:w="120" w:type="dxa"/>
              <w:bottom w:w="120" w:type="dxa"/>
              <w:right w:w="120" w:type="dxa"/>
            </w:tcMar>
            <w:vAlign w:val="center"/>
          </w:tcPr>
          <w:p>
            <w:pPr>
              <w:spacing w:before="0" w:after="0" w:line="252" w:lineRule="auto"/>
              <w:jc w:val="center"/>
            </w:pPr>
            <w:r>
              <w:rPr>
                <w:b/>
                <w:i w:val="0"/>
                <w:color w:val="071C4F"/>
                <w:sz w:val="20"/>
              </w:rPr>
              <w:t>Week 1 - connect</w:t>
            </w:r>
          </w:p>
        </w:tc>
        <w:tc>
          <w:tcPr>
            <w:tcW w:type="dxa" w:w="5386"/>
            <w:tcBorders>
              <w:left w:val="single" w:sz="4" w:space="0" w:color="D7DEE8"/>
              <w:bottom w:val="single" w:sz="4" w:space="0" w:color="D7DEE8"/>
              <w:right w:val="single" w:sz="4" w:space="0" w:color="D7DEE8"/>
            </w:tcBorders>
            <w:tcMar>
              <w:top w:w="120" w:type="dxa"/>
              <w:left w:w="120" w:type="dxa"/>
              <w:bottom w:w="120" w:type="dxa"/>
              <w:right w:w="120" w:type="dxa"/>
            </w:tcMar>
            <w:vAlign w:val="center"/>
          </w:tcPr>
          <w:p>
            <w:pPr>
              <w:spacing w:before="0" w:after="0" w:line="252" w:lineRule="auto"/>
              <w:jc w:val="left"/>
            </w:pPr>
            <w:r>
              <w:rPr>
                <w:b w:val="0"/>
                <w:i w:val="0"/>
                <w:color w:val="1E2430"/>
                <w:sz w:val="17"/>
              </w:rPr>
              <w:t>Connect Edwin to the existing LM environment, validate data quality and select representative alert clusters.</w:t>
            </w:r>
          </w:p>
        </w:tc>
        <w:tc>
          <w:tcPr>
            <w:tcW w:type="dxa" w:w="2948"/>
            <w:tcBorders>
              <w:left w:val="single" w:sz="4" w:space="0" w:color="D7DEE8"/>
              <w:bottom w:val="single" w:sz="4" w:space="0" w:color="D7DEE8"/>
              <w:right w:val="single" w:sz="4" w:space="0" w:color="D7DEE8"/>
            </w:tcBorders>
            <w:tcMar>
              <w:top w:w="120" w:type="dxa"/>
              <w:left w:w="120" w:type="dxa"/>
              <w:bottom w:w="120" w:type="dxa"/>
              <w:right w:w="120" w:type="dxa"/>
            </w:tcMar>
            <w:vAlign w:val="center"/>
          </w:tcPr>
          <w:p>
            <w:pPr>
              <w:spacing w:before="0" w:after="0" w:line="252" w:lineRule="auto"/>
              <w:jc w:val="left"/>
            </w:pPr>
            <w:r>
              <w:rPr>
                <w:b w:val="0"/>
                <w:i w:val="0"/>
                <w:color w:val="071C4F"/>
                <w:sz w:val="17"/>
              </w:rPr>
              <w:t>Verified data flow and accepted test set.</w:t>
            </w:r>
          </w:p>
        </w:tc>
      </w:tr>
      <w:tr>
        <w:trPr>
          <w:cantSplit/>
        </w:trPr>
        <w:tc>
          <w:tcPr>
            <w:tcW w:type="dxa" w:w="1587"/>
            <w:tcBorders>
              <w:left w:val="single" w:sz="4" w:space="0" w:color="D7DEE8"/>
              <w:bottom w:val="single" w:sz="4" w:space="0" w:color="D7DEE8"/>
              <w:right w:val="single" w:sz="4" w:space="0" w:color="D7DEE8"/>
            </w:tcBorders>
            <w:shd w:val="clear" w:color="auto" w:fill="F3F5F7"/>
            <w:tcMar>
              <w:top w:w="120" w:type="dxa"/>
              <w:left w:w="120" w:type="dxa"/>
              <w:bottom w:w="120" w:type="dxa"/>
              <w:right w:w="120" w:type="dxa"/>
            </w:tcMar>
            <w:vAlign w:val="center"/>
          </w:tcPr>
          <w:p>
            <w:pPr>
              <w:spacing w:before="0" w:after="0" w:line="252" w:lineRule="auto"/>
              <w:jc w:val="center"/>
            </w:pPr>
            <w:r>
              <w:rPr>
                <w:b/>
                <w:i w:val="0"/>
                <w:color w:val="071C4F"/>
                <w:sz w:val="20"/>
              </w:rPr>
              <w:t>Week 2 - assess and tune</w:t>
            </w:r>
          </w:p>
        </w:tc>
        <w:tc>
          <w:tcPr>
            <w:tcW w:type="dxa" w:w="5386"/>
            <w:tcBorders>
              <w:left w:val="single" w:sz="4" w:space="0" w:color="D7DEE8"/>
              <w:bottom w:val="single" w:sz="4" w:space="0" w:color="D7DEE8"/>
              <w:right w:val="single" w:sz="4" w:space="0" w:color="D7DEE8"/>
            </w:tcBorders>
            <w:tcMar>
              <w:top w:w="120" w:type="dxa"/>
              <w:left w:w="120" w:type="dxa"/>
              <w:bottom w:w="120" w:type="dxa"/>
              <w:right w:w="120" w:type="dxa"/>
            </w:tcMar>
            <w:vAlign w:val="center"/>
          </w:tcPr>
          <w:p>
            <w:pPr>
              <w:spacing w:before="0" w:after="0" w:line="252" w:lineRule="auto"/>
              <w:jc w:val="left"/>
            </w:pPr>
            <w:r>
              <w:rPr>
                <w:b w:val="0"/>
                <w:i w:val="0"/>
                <w:color w:val="1E2430"/>
                <w:sz w:val="17"/>
              </w:rPr>
              <w:t>Run event grouping and investigations, tune models and compare results with manual operations.</w:t>
            </w:r>
          </w:p>
        </w:tc>
        <w:tc>
          <w:tcPr>
            <w:tcW w:type="dxa" w:w="2948"/>
            <w:tcBorders>
              <w:left w:val="single" w:sz="4" w:space="0" w:color="D7DEE8"/>
              <w:bottom w:val="single" w:sz="4" w:space="0" w:color="D7DEE8"/>
              <w:right w:val="single" w:sz="4" w:space="0" w:color="D7DEE8"/>
            </w:tcBorders>
            <w:tcMar>
              <w:top w:w="120" w:type="dxa"/>
              <w:left w:w="120" w:type="dxa"/>
              <w:bottom w:w="120" w:type="dxa"/>
              <w:right w:w="120" w:type="dxa"/>
            </w:tcMar>
            <w:vAlign w:val="center"/>
          </w:tcPr>
          <w:p>
            <w:pPr>
              <w:spacing w:before="0" w:after="0" w:line="252" w:lineRule="auto"/>
              <w:jc w:val="left"/>
            </w:pPr>
            <w:r>
              <w:rPr>
                <w:b w:val="0"/>
                <w:i w:val="0"/>
                <w:color w:val="071C4F"/>
                <w:sz w:val="17"/>
              </w:rPr>
              <w:t>Measured quality, time and workload evidence.</w:t>
            </w:r>
          </w:p>
        </w:tc>
      </w:tr>
      <w:tr>
        <w:trPr>
          <w:cantSplit/>
        </w:trPr>
        <w:tc>
          <w:tcPr>
            <w:tcW w:type="dxa" w:w="1587"/>
            <w:tcBorders>
              <w:left w:val="single" w:sz="4" w:space="0" w:color="D7DEE8"/>
              <w:bottom w:val="single" w:sz="4" w:space="0" w:color="D7DEE8"/>
              <w:right w:val="single" w:sz="4" w:space="0" w:color="D7DEE8"/>
            </w:tcBorders>
            <w:shd w:val="clear" w:color="auto" w:fill="EAF3FF"/>
            <w:tcMar>
              <w:top w:w="120" w:type="dxa"/>
              <w:left w:w="120" w:type="dxa"/>
              <w:bottom w:w="120" w:type="dxa"/>
              <w:right w:w="120" w:type="dxa"/>
            </w:tcMar>
            <w:vAlign w:val="center"/>
          </w:tcPr>
          <w:p>
            <w:pPr>
              <w:spacing w:before="0" w:after="0" w:line="252" w:lineRule="auto"/>
              <w:jc w:val="center"/>
            </w:pPr>
            <w:r>
              <w:rPr>
                <w:b/>
                <w:i w:val="0"/>
                <w:color w:val="071C4F"/>
                <w:sz w:val="20"/>
              </w:rPr>
              <w:t>Week 3 - playback</w:t>
            </w:r>
          </w:p>
        </w:tc>
        <w:tc>
          <w:tcPr>
            <w:tcW w:type="dxa" w:w="5386"/>
            <w:tcBorders>
              <w:left w:val="single" w:sz="4" w:space="0" w:color="D7DEE8"/>
              <w:bottom w:val="single" w:sz="4" w:space="0" w:color="D7DEE8"/>
              <w:right w:val="single" w:sz="4" w:space="0" w:color="D7DEE8"/>
            </w:tcBorders>
            <w:tcMar>
              <w:top w:w="120" w:type="dxa"/>
              <w:left w:w="120" w:type="dxa"/>
              <w:bottom w:w="120" w:type="dxa"/>
              <w:right w:w="120" w:type="dxa"/>
            </w:tcMar>
            <w:vAlign w:val="center"/>
          </w:tcPr>
          <w:p>
            <w:pPr>
              <w:spacing w:before="0" w:after="0" w:line="252" w:lineRule="auto"/>
              <w:jc w:val="left"/>
            </w:pPr>
            <w:r>
              <w:rPr>
                <w:b w:val="0"/>
                <w:i w:val="0"/>
                <w:color w:val="1E2430"/>
                <w:sz w:val="17"/>
              </w:rPr>
              <w:t>Quantify workload, MTTR, incident quality and SLA impact; present findings to Example Corp and Infosys.</w:t>
            </w:r>
          </w:p>
        </w:tc>
        <w:tc>
          <w:tcPr>
            <w:tcW w:type="dxa" w:w="2948"/>
            <w:tcBorders>
              <w:left w:val="single" w:sz="4" w:space="0" w:color="D7DEE8"/>
              <w:bottom w:val="single" w:sz="4" w:space="0" w:color="D7DEE8"/>
              <w:right w:val="single" w:sz="4" w:space="0" w:color="D7DEE8"/>
            </w:tcBorders>
            <w:tcMar>
              <w:top w:w="120" w:type="dxa"/>
              <w:left w:w="120" w:type="dxa"/>
              <w:bottom w:w="120" w:type="dxa"/>
              <w:right w:w="120" w:type="dxa"/>
            </w:tcMar>
            <w:vAlign w:val="center"/>
          </w:tcPr>
          <w:p>
            <w:pPr>
              <w:spacing w:before="0" w:after="0" w:line="252" w:lineRule="auto"/>
              <w:jc w:val="left"/>
            </w:pPr>
            <w:r>
              <w:rPr>
                <w:b w:val="0"/>
                <w:i w:val="0"/>
                <w:color w:val="071C4F"/>
                <w:sz w:val="17"/>
              </w:rPr>
              <w:t>Production decision, scope and commercial gate.</w:t>
            </w:r>
          </w:p>
        </w:tc>
      </w:tr>
    </w:tbl>
    <w:p>
      <w:pPr>
        <w:pStyle w:val="Heading2"/>
      </w:pPr>
      <w:r>
        <w:t>Core success measures</w:t>
      </w:r>
    </w:p>
    <w:tbl>
      <w:tblPr>
        <w:tblW w:type="dxa" w:w="9915"/>
        <w:jc w:val="center"/>
        <w:tblLayout w:type="fixed"/>
        <w:tblLook w:firstColumn="1" w:firstRow="1" w:lastColumn="0" w:lastRow="0" w:noHBand="0" w:noVBand="1" w:val="04A0"/>
      </w:tblPr>
      <w:tblGrid>
        <w:gridCol w:w="3305"/>
        <w:gridCol w:w="3305"/>
        <w:gridCol w:w="3305"/>
      </w:tblGrid>
      <w:tr>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170" w:type="dxa"/>
              <w:left w:w="145" w:type="dxa"/>
              <w:bottom w:w="170" w:type="dxa"/>
              <w:right w:w="145" w:type="dxa"/>
            </w:tcMar>
            <w:vAlign w:val="center"/>
          </w:tcPr>
          <w:p>
            <w:pPr>
              <w:spacing w:before="0" w:after="20" w:line="240" w:lineRule="auto"/>
              <w:jc w:val="center"/>
            </w:pPr>
            <w:r>
              <w:rPr>
                <w:b/>
                <w:i w:val="0"/>
                <w:color w:val="071C4F"/>
                <w:sz w:val="36"/>
              </w:rPr>
              <w:t>Alert-to-insight</w:t>
            </w:r>
          </w:p>
          <w:p>
            <w:pPr>
              <w:spacing w:before="0" w:after="20" w:line="240" w:lineRule="auto"/>
              <w:jc w:val="center"/>
            </w:pPr>
            <w:r>
              <w:rPr>
                <w:b/>
                <w:i w:val="0"/>
                <w:color w:val="006FF2"/>
                <w:sz w:val="17"/>
              </w:rPr>
              <w:t>Noise reduction</w:t>
            </w:r>
          </w:p>
          <w:p>
            <w:pPr>
              <w:spacing w:before="0" w:after="20" w:line="240" w:lineRule="auto"/>
              <w:jc w:val="center"/>
            </w:pPr>
            <w:r>
              <w:rPr>
                <w:b w:val="0"/>
                <w:i w:val="0"/>
                <w:color w:val="586273"/>
                <w:sz w:val="15"/>
              </w:rPr>
              <w:t>Raw events grouped without losing SLA evidence</w:t>
            </w:r>
          </w:p>
        </w:tc>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170" w:type="dxa"/>
              <w:left w:w="145" w:type="dxa"/>
              <w:bottom w:w="170" w:type="dxa"/>
              <w:right w:w="145" w:type="dxa"/>
            </w:tcMar>
            <w:vAlign w:val="center"/>
          </w:tcPr>
          <w:p>
            <w:pPr>
              <w:spacing w:before="0" w:after="20" w:line="240" w:lineRule="auto"/>
              <w:jc w:val="center"/>
            </w:pPr>
            <w:r>
              <w:rPr>
                <w:b/>
                <w:i w:val="0"/>
                <w:color w:val="071C4F"/>
                <w:sz w:val="36"/>
              </w:rPr>
              <w:t>Minutes saved</w:t>
            </w:r>
          </w:p>
          <w:p>
            <w:pPr>
              <w:spacing w:before="0" w:after="20" w:line="240" w:lineRule="auto"/>
              <w:jc w:val="center"/>
            </w:pPr>
            <w:r>
              <w:rPr>
                <w:b/>
                <w:i w:val="0"/>
                <w:color w:val="006FF2"/>
                <w:sz w:val="17"/>
              </w:rPr>
              <w:t>Triage efficiency</w:t>
            </w:r>
          </w:p>
          <w:p>
            <w:pPr>
              <w:spacing w:before="0" w:after="20" w:line="240" w:lineRule="auto"/>
              <w:jc w:val="center"/>
            </w:pPr>
            <w:r>
              <w:rPr>
                <w:b w:val="0"/>
                <w:i w:val="0"/>
                <w:color w:val="586273"/>
                <w:sz w:val="15"/>
              </w:rPr>
              <w:t>Manual investigation time reclaimed</w:t>
            </w:r>
          </w:p>
        </w:tc>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170" w:type="dxa"/>
              <w:left w:w="145" w:type="dxa"/>
              <w:bottom w:w="170" w:type="dxa"/>
              <w:right w:w="145" w:type="dxa"/>
            </w:tcMar>
            <w:vAlign w:val="center"/>
          </w:tcPr>
          <w:p>
            <w:pPr>
              <w:spacing w:before="0" w:after="20" w:line="240" w:lineRule="auto"/>
              <w:jc w:val="center"/>
            </w:pPr>
            <w:r>
              <w:rPr>
                <w:b/>
                <w:i w:val="0"/>
                <w:color w:val="071C4F"/>
                <w:sz w:val="36"/>
              </w:rPr>
              <w:t>MTTR / SLA</w:t>
            </w:r>
          </w:p>
          <w:p>
            <w:pPr>
              <w:spacing w:before="0" w:after="20" w:line="240" w:lineRule="auto"/>
              <w:jc w:val="center"/>
            </w:pPr>
            <w:r>
              <w:rPr>
                <w:b/>
                <w:i w:val="0"/>
                <w:color w:val="006FF2"/>
                <w:sz w:val="17"/>
              </w:rPr>
              <w:t>Service performance</w:t>
            </w:r>
          </w:p>
          <w:p>
            <w:pPr>
              <w:spacing w:before="0" w:after="20" w:line="240" w:lineRule="auto"/>
              <w:jc w:val="center"/>
            </w:pPr>
            <w:r>
              <w:rPr>
                <w:b w:val="0"/>
                <w:i w:val="0"/>
                <w:color w:val="586273"/>
                <w:sz w:val="15"/>
              </w:rPr>
              <w:t>Priority-level improvement and risk reduction</w:t>
            </w:r>
          </w:p>
        </w:tc>
      </w:tr>
      <w:tr>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170" w:type="dxa"/>
              <w:left w:w="145" w:type="dxa"/>
              <w:bottom w:w="170" w:type="dxa"/>
              <w:right w:w="145" w:type="dxa"/>
            </w:tcMar>
            <w:vAlign w:val="center"/>
          </w:tcPr>
          <w:p>
            <w:pPr>
              <w:spacing w:before="0" w:after="20" w:line="240" w:lineRule="auto"/>
              <w:jc w:val="center"/>
            </w:pPr>
            <w:r>
              <w:rPr>
                <w:b/>
                <w:i w:val="0"/>
                <w:color w:val="071C4F"/>
                <w:sz w:val="36"/>
              </w:rPr>
              <w:t>Ticket quality</w:t>
            </w:r>
          </w:p>
          <w:p>
            <w:pPr>
              <w:spacing w:before="0" w:after="20" w:line="240" w:lineRule="auto"/>
              <w:jc w:val="center"/>
            </w:pPr>
            <w:r>
              <w:rPr>
                <w:b/>
                <w:i w:val="0"/>
                <w:color w:val="006FF2"/>
                <w:sz w:val="17"/>
              </w:rPr>
              <w:t>ITSM enrichment</w:t>
            </w:r>
          </w:p>
          <w:p>
            <w:pPr>
              <w:spacing w:before="0" w:after="20" w:line="240" w:lineRule="auto"/>
              <w:jc w:val="center"/>
            </w:pPr>
            <w:r>
              <w:rPr>
                <w:b w:val="0"/>
                <w:i w:val="0"/>
                <w:color w:val="586273"/>
                <w:sz w:val="15"/>
              </w:rPr>
              <w:t>Better context, handoff and RCA consistency</w:t>
            </w:r>
          </w:p>
        </w:tc>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170" w:type="dxa"/>
              <w:left w:w="145" w:type="dxa"/>
              <w:bottom w:w="170" w:type="dxa"/>
              <w:right w:w="145" w:type="dxa"/>
            </w:tcMar>
            <w:vAlign w:val="center"/>
          </w:tcPr>
          <w:p>
            <w:pPr>
              <w:spacing w:before="0" w:after="20" w:line="240" w:lineRule="auto"/>
              <w:jc w:val="center"/>
            </w:pPr>
            <w:r>
              <w:rPr>
                <w:b/>
                <w:i w:val="0"/>
                <w:color w:val="071C4F"/>
                <w:sz w:val="36"/>
              </w:rPr>
              <w:t>Hours / FTE</w:t>
            </w:r>
          </w:p>
          <w:p>
            <w:pPr>
              <w:spacing w:before="0" w:after="20" w:line="240" w:lineRule="auto"/>
              <w:jc w:val="center"/>
            </w:pPr>
            <w:r>
              <w:rPr>
                <w:b/>
                <w:i w:val="0"/>
                <w:color w:val="006FF2"/>
                <w:sz w:val="17"/>
              </w:rPr>
              <w:t>Capacity reclaimed</w:t>
            </w:r>
          </w:p>
          <w:p>
            <w:pPr>
              <w:spacing w:before="0" w:after="20" w:line="240" w:lineRule="auto"/>
              <w:jc w:val="center"/>
            </w:pPr>
            <w:r>
              <w:rPr>
                <w:b w:val="0"/>
                <w:i w:val="0"/>
                <w:color w:val="586273"/>
                <w:sz w:val="15"/>
              </w:rPr>
              <w:t>Engineering effort redirected to higher-value work</w:t>
            </w:r>
          </w:p>
        </w:tc>
        <w:tc>
          <w:tcPr>
            <w:tcW w:type="dxa" w:w="3305"/>
            <w:tcBorders>
              <w:top w:val="single" w:sz="6" w:space="0" w:color="D7DEE8"/>
              <w:left w:val="single" w:sz="6" w:space="0" w:color="D7DEE8"/>
              <w:bottom w:val="single" w:sz="6" w:space="0" w:color="D7DEE8"/>
              <w:right w:val="single" w:sz="6" w:space="0" w:color="D7DEE8"/>
            </w:tcBorders>
            <w:shd w:val="clear" w:color="auto" w:fill="F5F9FF"/>
            <w:tcMar>
              <w:top w:w="170" w:type="dxa"/>
              <w:left w:w="145" w:type="dxa"/>
              <w:bottom w:w="170" w:type="dxa"/>
              <w:right w:w="145" w:type="dxa"/>
            </w:tcMar>
            <w:vAlign w:val="center"/>
          </w:tcPr>
          <w:p>
            <w:pPr>
              <w:spacing w:before="0" w:after="20" w:line="240" w:lineRule="auto"/>
              <w:jc w:val="center"/>
            </w:pPr>
            <w:r>
              <w:rPr>
                <w:b/>
                <w:i w:val="0"/>
                <w:color w:val="071C4F"/>
                <w:sz w:val="36"/>
              </w:rPr>
              <w:t>Go / no-go</w:t>
            </w:r>
          </w:p>
          <w:p>
            <w:pPr>
              <w:spacing w:before="0" w:after="20" w:line="240" w:lineRule="auto"/>
              <w:jc w:val="center"/>
            </w:pPr>
            <w:r>
              <w:rPr>
                <w:b/>
                <w:i w:val="0"/>
                <w:color w:val="006FF2"/>
                <w:sz w:val="17"/>
              </w:rPr>
              <w:t>Production gate</w:t>
            </w:r>
          </w:p>
          <w:p>
            <w:pPr>
              <w:spacing w:before="0" w:after="20" w:line="240" w:lineRule="auto"/>
              <w:jc w:val="center"/>
            </w:pPr>
            <w:r>
              <w:rPr>
                <w:b w:val="0"/>
                <w:i w:val="0"/>
                <w:color w:val="586273"/>
                <w:sz w:val="15"/>
              </w:rPr>
              <w:t>Evidence-based scope and commercial decision</w:t>
            </w:r>
          </w:p>
        </w:tc>
      </w:tr>
    </w:tbl>
    <w:p>
      <w:r>
        <w:br w:type="page"/>
      </w:r>
    </w:p>
    <w:p>
      <w:pPr>
        <w:pStyle w:val="Heading1"/>
      </w:pPr>
      <w:r>
        <w:t>30 / 60 / 90-day action plan</w:t>
      </w:r>
    </w:p>
    <w:p>
      <w:pPr>
        <w:keepNext w:val="0"/>
        <w:spacing w:before="0" w:after="160" w:line="259" w:lineRule="auto"/>
      </w:pPr>
      <w:r>
        <w:rPr>
          <w:b w:val="0"/>
          <w:color w:val="586273"/>
          <w:sz w:val="19"/>
        </w:rPr>
        <w:t>Sequence foundational optimisation before broader AIOps scale</w:t>
      </w:r>
    </w:p>
    <w:tbl>
      <w:tblPr>
        <w:tblW w:type="dxa" w:w="9921"/>
        <w:jc w:val="center"/>
        <w:tblLayout w:type="fixed"/>
        <w:tblLook w:firstColumn="1" w:firstRow="1" w:lastColumn="0" w:lastRow="0" w:noHBand="0" w:noVBand="1" w:val="04A0"/>
      </w:tblPr>
      <w:tblGrid>
        <w:gridCol w:w="1587"/>
        <w:gridCol w:w="5386"/>
        <w:gridCol w:w="2948"/>
      </w:tblGrid>
      <w:tr>
        <w:trPr>
          <w:cantSplit/>
          <w:tblHeader/>
        </w:trPr>
        <w:tc>
          <w:tcPr>
            <w:tcW w:type="dxa" w:w="1587"/>
            <w:shd w:val="clear" w:color="auto" w:fill="071C4F"/>
            <w:tcMar>
              <w:top w:w="120" w:type="dxa"/>
              <w:left w:w="120" w:type="dxa"/>
              <w:bottom w:w="120" w:type="dxa"/>
              <w:right w:w="120" w:type="dxa"/>
            </w:tcMar>
            <w:vAlign w:val="center"/>
          </w:tcPr>
          <w:p>
            <w:pPr>
              <w:spacing w:before="0" w:after="0" w:line="252" w:lineRule="auto"/>
              <w:jc w:val="center"/>
            </w:pPr>
            <w:r>
              <w:rPr>
                <w:b/>
                <w:color w:val="FFFFFF"/>
                <w:sz w:val="16"/>
              </w:rPr>
              <w:t>Horizon</w:t>
            </w:r>
          </w:p>
        </w:tc>
        <w:tc>
          <w:tcPr>
            <w:tcW w:type="dxa" w:w="5386"/>
            <w:shd w:val="clear" w:color="auto" w:fill="071C4F"/>
            <w:tcMar>
              <w:top w:w="120" w:type="dxa"/>
              <w:left w:w="120" w:type="dxa"/>
              <w:bottom w:w="120" w:type="dxa"/>
              <w:right w:w="120" w:type="dxa"/>
            </w:tcMar>
            <w:vAlign w:val="center"/>
          </w:tcPr>
          <w:p>
            <w:pPr>
              <w:spacing w:before="0" w:after="0" w:line="252" w:lineRule="auto"/>
              <w:jc w:val="left"/>
            </w:pPr>
            <w:r>
              <w:rPr>
                <w:b/>
                <w:color w:val="FFFFFF"/>
                <w:sz w:val="16"/>
              </w:rPr>
              <w:t>Priority actions</w:t>
            </w:r>
          </w:p>
        </w:tc>
        <w:tc>
          <w:tcPr>
            <w:tcW w:type="dxa" w:w="2948"/>
            <w:shd w:val="clear" w:color="auto" w:fill="071C4F"/>
            <w:tcMar>
              <w:top w:w="120" w:type="dxa"/>
              <w:left w:w="120" w:type="dxa"/>
              <w:bottom w:w="120" w:type="dxa"/>
              <w:right w:w="120" w:type="dxa"/>
            </w:tcMar>
            <w:vAlign w:val="center"/>
          </w:tcPr>
          <w:p>
            <w:pPr>
              <w:spacing w:before="0" w:after="0" w:line="252" w:lineRule="auto"/>
              <w:jc w:val="left"/>
            </w:pPr>
            <w:r>
              <w:rPr>
                <w:b/>
                <w:color w:val="FFFFFF"/>
                <w:sz w:val="16"/>
              </w:rPr>
              <w:t>Exit evidence</w:t>
            </w:r>
          </w:p>
        </w:tc>
      </w:tr>
      <w:tr>
        <w:trPr>
          <w:cantSplit/>
        </w:trPr>
        <w:tc>
          <w:tcPr>
            <w:tcW w:type="dxa" w:w="1587"/>
            <w:tcBorders>
              <w:left w:val="single" w:sz="4" w:space="0" w:color="D7DEE8"/>
              <w:bottom w:val="single" w:sz="4" w:space="0" w:color="D7DEE8"/>
              <w:right w:val="single" w:sz="4" w:space="0" w:color="D7DEE8"/>
            </w:tcBorders>
            <w:shd w:val="clear" w:color="auto" w:fill="EAF3FF"/>
            <w:tcMar>
              <w:top w:w="120" w:type="dxa"/>
              <w:left w:w="120" w:type="dxa"/>
              <w:bottom w:w="120" w:type="dxa"/>
              <w:right w:w="120" w:type="dxa"/>
            </w:tcMar>
            <w:vAlign w:val="center"/>
          </w:tcPr>
          <w:p>
            <w:pPr>
              <w:spacing w:before="0" w:after="0" w:line="252" w:lineRule="auto"/>
              <w:jc w:val="center"/>
            </w:pPr>
            <w:r>
              <w:rPr>
                <w:b/>
                <w:i w:val="0"/>
                <w:color w:val="071C4F"/>
                <w:sz w:val="20"/>
              </w:rPr>
              <w:t>0-30 days</w:t>
            </w:r>
          </w:p>
        </w:tc>
        <w:tc>
          <w:tcPr>
            <w:tcW w:type="dxa" w:w="5386"/>
            <w:tcBorders>
              <w:left w:val="single" w:sz="4" w:space="0" w:color="D7DEE8"/>
              <w:bottom w:val="single" w:sz="4" w:space="0" w:color="D7DEE8"/>
              <w:right w:val="single" w:sz="4" w:space="0" w:color="D7DEE8"/>
            </w:tcBorders>
            <w:tcMar>
              <w:top w:w="120" w:type="dxa"/>
              <w:left w:w="120" w:type="dxa"/>
              <w:bottom w:w="120" w:type="dxa"/>
              <w:right w:w="120" w:type="dxa"/>
            </w:tcMar>
            <w:vAlign w:val="center"/>
          </w:tcPr>
          <w:p>
            <w:pPr>
              <w:spacing w:before="0" w:after="0" w:line="252" w:lineRule="auto"/>
              <w:jc w:val="left"/>
            </w:pPr>
            <w:r>
              <w:rPr>
                <w:b w:val="0"/>
                <w:i w:val="0"/>
                <w:color w:val="1E2430"/>
                <w:sz w:val="17"/>
              </w:rPr>
              <w:t>Assign one accountable Infosys owner per health-check action; establish signed operational baselines; classify the top alert sources (SNMP_Network_Interfaces and Wireless_AP_Clients); remediate collector down states, failover gaps and sizing exceptions; pilot dependent alert mapping; pilot dynamic thresholds on suitable metrics; close open-ended SDTs; confirm Logs and Uptime usage against entitlement.</w:t>
            </w:r>
          </w:p>
        </w:tc>
        <w:tc>
          <w:tcPr>
            <w:tcW w:type="dxa" w:w="2948"/>
            <w:tcBorders>
              <w:left w:val="single" w:sz="4" w:space="0" w:color="D7DEE8"/>
              <w:bottom w:val="single" w:sz="4" w:space="0" w:color="D7DEE8"/>
              <w:right w:val="single" w:sz="4" w:space="0" w:color="D7DEE8"/>
            </w:tcBorders>
            <w:tcMar>
              <w:top w:w="120" w:type="dxa"/>
              <w:left w:w="120" w:type="dxa"/>
              <w:bottom w:w="120" w:type="dxa"/>
              <w:right w:w="120" w:type="dxa"/>
            </w:tcMar>
            <w:vAlign w:val="center"/>
          </w:tcPr>
          <w:p>
            <w:pPr>
              <w:spacing w:before="0" w:after="0" w:line="252" w:lineRule="auto"/>
              <w:jc w:val="left"/>
            </w:pPr>
            <w:r>
              <w:rPr>
                <w:b w:val="0"/>
                <w:i w:val="0"/>
                <w:color w:val="071C4F"/>
                <w:sz w:val="17"/>
              </w:rPr>
              <w:t>Named owners and dates; baseline pack; first alert-noise and collector-health improvements; entitlement usage confirmed.</w:t>
            </w:r>
          </w:p>
        </w:tc>
      </w:tr>
      <w:tr>
        <w:trPr>
          <w:cantSplit/>
        </w:trPr>
        <w:tc>
          <w:tcPr>
            <w:tcW w:type="dxa" w:w="1587"/>
            <w:tcBorders>
              <w:left w:val="single" w:sz="4" w:space="0" w:color="D7DEE8"/>
              <w:bottom w:val="single" w:sz="4" w:space="0" w:color="D7DEE8"/>
              <w:right w:val="single" w:sz="4" w:space="0" w:color="D7DEE8"/>
            </w:tcBorders>
            <w:shd w:val="clear" w:color="auto" w:fill="F5F9FF"/>
            <w:tcMar>
              <w:top w:w="120" w:type="dxa"/>
              <w:left w:w="120" w:type="dxa"/>
              <w:bottom w:w="120" w:type="dxa"/>
              <w:right w:w="120" w:type="dxa"/>
            </w:tcMar>
            <w:vAlign w:val="center"/>
          </w:tcPr>
          <w:p>
            <w:pPr>
              <w:spacing w:before="0" w:after="0" w:line="252" w:lineRule="auto"/>
              <w:jc w:val="center"/>
            </w:pPr>
            <w:r>
              <w:rPr>
                <w:b/>
                <w:i w:val="0"/>
                <w:color w:val="071C4F"/>
                <w:sz w:val="20"/>
              </w:rPr>
              <w:t>31-60 days</w:t>
            </w:r>
          </w:p>
        </w:tc>
        <w:tc>
          <w:tcPr>
            <w:tcW w:type="dxa" w:w="5386"/>
            <w:tcBorders>
              <w:left w:val="single" w:sz="4" w:space="0" w:color="D7DEE8"/>
              <w:bottom w:val="single" w:sz="4" w:space="0" w:color="D7DEE8"/>
              <w:right w:val="single" w:sz="4" w:space="0" w:color="D7DEE8"/>
            </w:tcBorders>
            <w:tcMar>
              <w:top w:w="120" w:type="dxa"/>
              <w:left w:w="120" w:type="dxa"/>
              <w:bottom w:w="120" w:type="dxa"/>
              <w:right w:w="120" w:type="dxa"/>
            </w:tcMar>
            <w:vAlign w:val="center"/>
          </w:tcPr>
          <w:p>
            <w:pPr>
              <w:spacing w:before="0" w:after="0" w:line="252" w:lineRule="auto"/>
              <w:jc w:val="left"/>
            </w:pPr>
            <w:r>
              <w:rPr>
                <w:b w:val="0"/>
                <w:i w:val="0"/>
                <w:color w:val="1E2430"/>
                <w:sz w:val="17"/>
              </w:rPr>
              <w:t>Rationalise cloned and unused LogicModules; review alert-rule priorities and escalation rate limiting; validate service ownership and criticality; rationalise dashboards by persona; remove inactive users and idle API tokens; complete ITSM/CMDB readiness; freeze Edwin scope and success criteria.</w:t>
            </w:r>
          </w:p>
        </w:tc>
        <w:tc>
          <w:tcPr>
            <w:tcW w:type="dxa" w:w="2948"/>
            <w:tcBorders>
              <w:left w:val="single" w:sz="4" w:space="0" w:color="D7DEE8"/>
              <w:bottom w:val="single" w:sz="4" w:space="0" w:color="D7DEE8"/>
              <w:right w:val="single" w:sz="4" w:space="0" w:color="D7DEE8"/>
            </w:tcBorders>
            <w:tcMar>
              <w:top w:w="120" w:type="dxa"/>
              <w:left w:w="120" w:type="dxa"/>
              <w:bottom w:w="120" w:type="dxa"/>
              <w:right w:w="120" w:type="dxa"/>
            </w:tcMar>
            <w:vAlign w:val="center"/>
          </w:tcPr>
          <w:p>
            <w:pPr>
              <w:spacing w:before="0" w:after="0" w:line="252" w:lineRule="auto"/>
              <w:jc w:val="left"/>
            </w:pPr>
            <w:r>
              <w:rPr>
                <w:b w:val="0"/>
                <w:i w:val="0"/>
                <w:color w:val="071C4F"/>
                <w:sz w:val="17"/>
              </w:rPr>
              <w:t>Governance register; persona dashboard catalogue; service-quality map; approved POV charter and technical readiness.</w:t>
            </w:r>
          </w:p>
        </w:tc>
      </w:tr>
      <w:tr>
        <w:trPr>
          <w:cantSplit/>
        </w:trPr>
        <w:tc>
          <w:tcPr>
            <w:tcW w:type="dxa" w:w="1587"/>
            <w:tcBorders>
              <w:left w:val="single" w:sz="4" w:space="0" w:color="D7DEE8"/>
              <w:bottom w:val="single" w:sz="4" w:space="0" w:color="D7DEE8"/>
              <w:right w:val="single" w:sz="4" w:space="0" w:color="D7DEE8"/>
            </w:tcBorders>
            <w:shd w:val="clear" w:color="auto" w:fill="F3F5F7"/>
            <w:tcMar>
              <w:top w:w="120" w:type="dxa"/>
              <w:left w:w="120" w:type="dxa"/>
              <w:bottom w:w="120" w:type="dxa"/>
              <w:right w:w="120" w:type="dxa"/>
            </w:tcMar>
            <w:vAlign w:val="center"/>
          </w:tcPr>
          <w:p>
            <w:pPr>
              <w:spacing w:before="0" w:after="0" w:line="252" w:lineRule="auto"/>
              <w:jc w:val="center"/>
            </w:pPr>
            <w:r>
              <w:rPr>
                <w:b/>
                <w:i w:val="0"/>
                <w:color w:val="071C4F"/>
                <w:sz w:val="20"/>
              </w:rPr>
              <w:t>61-90 days</w:t>
            </w:r>
          </w:p>
        </w:tc>
        <w:tc>
          <w:tcPr>
            <w:tcW w:type="dxa" w:w="5386"/>
            <w:tcBorders>
              <w:left w:val="single" w:sz="4" w:space="0" w:color="D7DEE8"/>
              <w:bottom w:val="single" w:sz="4" w:space="0" w:color="D7DEE8"/>
              <w:right w:val="single" w:sz="4" w:space="0" w:color="D7DEE8"/>
            </w:tcBorders>
            <w:tcMar>
              <w:top w:w="120" w:type="dxa"/>
              <w:left w:w="120" w:type="dxa"/>
              <w:bottom w:w="120" w:type="dxa"/>
              <w:right w:w="120" w:type="dxa"/>
            </w:tcMar>
            <w:vAlign w:val="center"/>
          </w:tcPr>
          <w:p>
            <w:pPr>
              <w:spacing w:before="0" w:after="0" w:line="252" w:lineRule="auto"/>
              <w:jc w:val="left"/>
            </w:pPr>
            <w:r>
              <w:rPr>
                <w:b w:val="0"/>
                <w:i w:val="0"/>
                <w:color w:val="1E2430"/>
                <w:sz w:val="17"/>
              </w:rPr>
              <w:t>Run the three-week Edwin POV; compare evidence with baseline; produce executive value playback; agree production scope, operating model, enablement and commercial ownership; package the outcome as an Infosys repeatable proposition.</w:t>
            </w:r>
          </w:p>
        </w:tc>
        <w:tc>
          <w:tcPr>
            <w:tcW w:type="dxa" w:w="2948"/>
            <w:tcBorders>
              <w:left w:val="single" w:sz="4" w:space="0" w:color="D7DEE8"/>
              <w:bottom w:val="single" w:sz="4" w:space="0" w:color="D7DEE8"/>
              <w:right w:val="single" w:sz="4" w:space="0" w:color="D7DEE8"/>
            </w:tcBorders>
            <w:tcMar>
              <w:top w:w="120" w:type="dxa"/>
              <w:left w:w="120" w:type="dxa"/>
              <w:bottom w:w="120" w:type="dxa"/>
              <w:right w:w="120" w:type="dxa"/>
            </w:tcMar>
            <w:vAlign w:val="center"/>
          </w:tcPr>
          <w:p>
            <w:pPr>
              <w:spacing w:before="0" w:after="0" w:line="252" w:lineRule="auto"/>
              <w:jc w:val="left"/>
            </w:pPr>
            <w:r>
              <w:rPr>
                <w:b w:val="0"/>
                <w:i w:val="0"/>
                <w:color w:val="071C4F"/>
                <w:sz w:val="17"/>
              </w:rPr>
              <w:t>Validated business case; production decision; rollout plan; reusable Infosys reference architecture and value model.</w:t>
            </w:r>
          </w:p>
        </w:tc>
      </w:tr>
    </w:tbl>
    <w:p>
      <w:pPr>
        <w:pStyle w:val="Heading2"/>
      </w:pPr>
      <w:r>
        <w:t>Decisions required at the onsite</w:t>
      </w:r>
    </w:p>
    <w:p>
      <w:pPr>
        <w:spacing w:before="0" w:after="60" w:line="259" w:lineRule="auto"/>
        <w:ind w:left="408" w:hanging="295"/>
      </w:pPr>
      <w:r>
        <w:rPr>
          <w:b/>
          <w:color w:val="071C4F"/>
          <w:sz w:val="18"/>
        </w:rPr>
        <w:t>1.</w:t>
      </w:r>
      <w:r>
        <w:rPr>
          <w:b w:val="0"/>
          <w:i w:val="0"/>
          <w:color w:val="1E2430"/>
          <w:sz w:val="18"/>
        </w:rPr>
        <w:t xml:space="preserve"> Which single business KPI will unlock Infosys funding: FTE capacity, cost per ticket, MTTR, SLA-risk reduction, or an agreed combination?</w:t>
      </w:r>
    </w:p>
    <w:p>
      <w:pPr>
        <w:spacing w:before="0" w:after="60" w:line="259" w:lineRule="auto"/>
        <w:ind w:left="408" w:hanging="295"/>
      </w:pPr>
      <w:r>
        <w:rPr>
          <w:b/>
          <w:color w:val="071C4F"/>
          <w:sz w:val="18"/>
        </w:rPr>
        <w:t>2.</w:t>
      </w:r>
      <w:r>
        <w:rPr>
          <w:b w:val="0"/>
          <w:i w:val="0"/>
          <w:color w:val="1E2430"/>
          <w:sz w:val="18"/>
        </w:rPr>
        <w:t xml:space="preserve"> Which two or three incident categories will be used for the Edwin POV?</w:t>
      </w:r>
    </w:p>
    <w:p>
      <w:pPr>
        <w:spacing w:before="0" w:after="60" w:line="259" w:lineRule="auto"/>
        <w:ind w:left="408" w:hanging="295"/>
      </w:pPr>
      <w:r>
        <w:rPr>
          <w:b/>
          <w:color w:val="071C4F"/>
          <w:sz w:val="18"/>
        </w:rPr>
        <w:t>3.</w:t>
      </w:r>
      <w:r>
        <w:rPr>
          <w:b w:val="0"/>
          <w:i w:val="0"/>
          <w:color w:val="1E2430"/>
          <w:sz w:val="18"/>
        </w:rPr>
        <w:t xml:space="preserve"> Which alerts must remain for Example Corp contractual reporting, and which are expected to drive operational action?</w:t>
      </w:r>
    </w:p>
    <w:p>
      <w:pPr>
        <w:spacing w:before="0" w:after="60" w:line="259" w:lineRule="auto"/>
        <w:ind w:left="408" w:hanging="295"/>
      </w:pPr>
      <w:r>
        <w:rPr>
          <w:b/>
          <w:color w:val="071C4F"/>
          <w:sz w:val="18"/>
        </w:rPr>
        <w:t>4.</w:t>
      </w:r>
      <w:r>
        <w:rPr>
          <w:b w:val="0"/>
          <w:i w:val="0"/>
          <w:color w:val="1E2430"/>
          <w:sz w:val="18"/>
        </w:rPr>
        <w:t xml:space="preserve"> Who owns each outstanding health-check recommendation, with committed completion dates?</w:t>
      </w:r>
    </w:p>
    <w:p>
      <w:pPr>
        <w:spacing w:before="0" w:after="60" w:line="259" w:lineRule="auto"/>
        <w:ind w:left="408" w:hanging="295"/>
      </w:pPr>
      <w:r>
        <w:rPr>
          <w:b/>
          <w:color w:val="071C4F"/>
          <w:sz w:val="18"/>
        </w:rPr>
        <w:t>5.</w:t>
      </w:r>
      <w:r>
        <w:rPr>
          <w:b w:val="0"/>
          <w:i w:val="0"/>
          <w:color w:val="1E2430"/>
          <w:sz w:val="18"/>
        </w:rPr>
        <w:t xml:space="preserve"> What technical readiness evidence is required before Edwin activation, including collector health, topology, metadata, RBAC and ITSM access?</w:t>
      </w:r>
    </w:p>
    <w:p>
      <w:pPr>
        <w:spacing w:before="0" w:after="60" w:line="259" w:lineRule="auto"/>
        <w:ind w:left="408" w:hanging="295"/>
      </w:pPr>
      <w:r>
        <w:rPr>
          <w:b/>
          <w:color w:val="071C4F"/>
          <w:sz w:val="18"/>
        </w:rPr>
        <w:t>6.</w:t>
      </w:r>
      <w:r>
        <w:rPr>
          <w:b w:val="0"/>
          <w:i w:val="0"/>
          <w:color w:val="1E2430"/>
          <w:sz w:val="18"/>
        </w:rPr>
        <w:t xml:space="preserve"> What is the production decision gate after the POV playback, and who has authority to approve it?</w:t>
      </w:r>
    </w:p>
    <w:p>
      <w:pPr>
        <w:spacing w:after="80"/>
      </w:pPr>
    </w:p>
    <w:tbl>
      <w:tblPr>
        <w:tblW w:type="dxa" w:w="9922"/>
        <w:jc w:val="center"/>
        <w:tblLayout w:type="fixed"/>
        <w:tblLook w:firstColumn="1" w:firstRow="1" w:lastColumn="0" w:lastRow="0" w:noHBand="0" w:noVBand="1" w:val="04A0"/>
      </w:tblPr>
      <w:tblGrid>
        <w:gridCol w:w="142"/>
        <w:gridCol w:w="9780"/>
      </w:tblGrid>
      <w:tr>
        <w:tc>
          <w:tcPr>
            <w:tcW w:type="dxa" w:w="142"/>
            <w:shd w:val="clear" w:color="auto" w:fill="A15C00"/>
            <w:tcMar>
              <w:top w:w="0" w:type="dxa"/>
              <w:left w:w="0" w:type="dxa"/>
              <w:bottom w:w="0" w:type="dxa"/>
              <w:right w:w="0" w:type="dxa"/>
            </w:tcMar>
            <w:vAlign w:val="center"/>
          </w:tcPr>
          <w:p/>
        </w:tc>
        <w:tc>
          <w:tcPr>
            <w:tcW w:type="dxa" w:w="9780"/>
            <w:shd w:val="clear" w:color="auto" w:fill="FFF3D6"/>
            <w:tcMar>
              <w:top w:w="150" w:type="dxa"/>
              <w:left w:w="180" w:type="dxa"/>
              <w:bottom w:w="150" w:type="dxa"/>
              <w:right w:w="180" w:type="dxa"/>
            </w:tcMar>
            <w:vAlign w:val="center"/>
          </w:tcPr>
          <w:p>
            <w:pPr>
              <w:spacing w:before="0" w:after="40" w:line="259" w:lineRule="auto"/>
            </w:pPr>
            <w:r>
              <w:rPr>
                <w:b/>
                <w:color w:val="071C4F"/>
                <w:sz w:val="21"/>
              </w:rPr>
              <w:t>Recommended customer positioning</w:t>
            </w:r>
          </w:p>
          <w:p>
            <w:pPr>
              <w:spacing w:before="0" w:after="0" w:line="259" w:lineRule="auto"/>
            </w:pPr>
            <w:r>
              <w:rPr>
                <w:b w:val="0"/>
                <w:i w:val="0"/>
                <w:color w:val="1E2430"/>
                <w:sz w:val="20"/>
              </w:rPr>
              <w:t>LogicMonitor is already embedded in the Example Corp service across 147 monitored resources. The opportunity is not to add more monitoring. It is to convert the telemetry already being collected into fewer actionable situations, faster investigation, measurable SLA improvement and lower cost-to-serve for Infosys.</w:t>
            </w:r>
          </w:p>
        </w:tc>
      </w:tr>
    </w:tbl>
    <w:p>
      <w:r>
        <w:br w:type="page"/>
      </w:r>
    </w:p>
    <w:p>
      <w:pPr>
        <w:pStyle w:val="Heading1"/>
      </w:pPr>
      <w:r>
        <w:t>Sources, assumptions and validation points</w:t>
      </w:r>
    </w:p>
    <w:p>
      <w:pPr>
        <w:keepNext w:val="0"/>
        <w:spacing w:before="0" w:after="160" w:line="259" w:lineRule="auto"/>
      </w:pPr>
      <w:r>
        <w:rPr>
          <w:b w:val="0"/>
          <w:color w:val="586273"/>
          <w:sz w:val="19"/>
        </w:rPr>
        <w:t>Evidence used for this internal health check</w:t>
      </w:r>
    </w:p>
    <w:tbl>
      <w:tblPr>
        <w:tblW w:type="dxa" w:w="9921"/>
        <w:jc w:val="center"/>
        <w:tblLayout w:type="fixed"/>
        <w:tblLook w:firstColumn="1" w:firstRow="1" w:lastColumn="0" w:lastRow="0" w:noHBand="0" w:noVBand="1" w:val="04A0"/>
      </w:tblPr>
      <w:tblGrid>
        <w:gridCol w:w="567"/>
        <w:gridCol w:w="9354"/>
      </w:tblGrid>
      <w:tr>
        <w:tc>
          <w:tcPr>
            <w:tcW w:type="dxa" w:w="567"/>
            <w:tcBorders>
              <w:bottom w:val="single" w:sz="4" w:space="0" w:color="D7DEE8"/>
            </w:tcBorders>
            <w:shd w:val="clear" w:color="auto" w:fill="EAF3FF"/>
            <w:tcMar>
              <w:top w:w="90" w:type="dxa"/>
              <w:left w:w="100" w:type="dxa"/>
              <w:bottom w:w="90" w:type="dxa"/>
              <w:right w:w="100" w:type="dxa"/>
            </w:tcMar>
            <w:vAlign w:val="center"/>
          </w:tcPr>
          <w:p>
            <w:pPr>
              <w:spacing w:before="0" w:after="0" w:line="252" w:lineRule="auto"/>
              <w:jc w:val="center"/>
            </w:pPr>
            <w:r>
              <w:rPr>
                <w:b/>
                <w:color w:val="006FF2"/>
                <w:sz w:val="18"/>
              </w:rPr>
              <w:t>[1]</w:t>
            </w:r>
          </w:p>
        </w:tc>
        <w:tc>
          <w:tcPr>
            <w:tcW w:type="dxa" w:w="9354"/>
            <w:tcBorders>
              <w:bottom w:val="single" w:sz="4" w:space="0" w:color="D7DEE8"/>
            </w:tcBorders>
            <w:tcMar>
              <w:top w:w="90" w:type="dxa"/>
              <w:left w:w="100" w:type="dxa"/>
              <w:bottom w:w="90" w:type="dxa"/>
              <w:right w:w="100" w:type="dxa"/>
            </w:tcMar>
            <w:vAlign w:val="center"/>
          </w:tcPr>
          <w:p>
            <w:pPr>
              <w:spacing w:before="0" w:after="40" w:line="247" w:lineRule="auto"/>
            </w:pPr>
            <w:r>
              <w:rPr>
                <w:b/>
                <w:i w:val="0"/>
                <w:color w:val="071C4F"/>
                <w:sz w:val="18"/>
              </w:rPr>
              <w:t>LM Envision REST API v3 - example.logicmonitor.com</w:t>
            </w:r>
          </w:p>
          <w:p>
            <w:pPr>
              <w:spacing w:before="0" w:after="40" w:line="247" w:lineRule="auto"/>
            </w:pPr>
            <w:r>
              <w:rPr>
                <w:b w:val="0"/>
                <w:i w:val="0"/>
                <w:color w:val="1E2430"/>
                <w:sz w:val="17"/>
              </w:rPr>
              <w:t>Read-only collection on 20 October 2026 at 10:00 IST covering 28 of 28 endpoints (devices, collectors, alerts, alert rules, escalation chains, LogicModules, dashboards, reports, websites, users, API tokens, NetScans, SDTs and audit log). Metrics are point-in-time; real-time usage may differ from billed usage.</w:t>
            </w:r>
          </w:p>
        </w:tc>
      </w:tr>
      <w:tr>
        <w:tc>
          <w:tcPr>
            <w:tcW w:type="dxa" w:w="567"/>
            <w:tcBorders>
              <w:bottom w:val="single" w:sz="4" w:space="0" w:color="D7DEE8"/>
            </w:tcBorders>
            <w:shd w:val="clear" w:color="auto" w:fill="EAF3FF"/>
            <w:tcMar>
              <w:top w:w="90" w:type="dxa"/>
              <w:left w:w="100" w:type="dxa"/>
              <w:bottom w:w="90" w:type="dxa"/>
              <w:right w:w="100" w:type="dxa"/>
            </w:tcMar>
            <w:vAlign w:val="center"/>
          </w:tcPr>
          <w:p>
            <w:pPr>
              <w:spacing w:before="0" w:after="0" w:line="252" w:lineRule="auto"/>
              <w:jc w:val="center"/>
            </w:pPr>
            <w:r>
              <w:rPr>
                <w:b/>
                <w:color w:val="006FF2"/>
                <w:sz w:val="18"/>
              </w:rPr>
              <w:t>[2]</w:t>
            </w:r>
          </w:p>
        </w:tc>
        <w:tc>
          <w:tcPr>
            <w:tcW w:type="dxa" w:w="9354"/>
            <w:tcBorders>
              <w:bottom w:val="single" w:sz="4" w:space="0" w:color="D7DEE8"/>
            </w:tcBorders>
            <w:tcMar>
              <w:top w:w="90" w:type="dxa"/>
              <w:left w:w="100" w:type="dxa"/>
              <w:bottom w:w="90" w:type="dxa"/>
              <w:right w:w="100" w:type="dxa"/>
            </w:tcMar>
            <w:vAlign w:val="center"/>
          </w:tcPr>
          <w:p>
            <w:pPr>
              <w:spacing w:before="0" w:after="40" w:line="247" w:lineRule="auto"/>
            </w:pPr>
            <w:r>
              <w:rPr>
                <w:b/>
                <w:i/>
                <w:color w:val="A15C00"/>
                <w:sz w:val="18"/>
              </w:rPr>
              <w:t>[Consultant to complete: customer account plan or executive presentation]</w:t>
            </w:r>
          </w:p>
          <w:p>
            <w:pPr>
              <w:spacing w:before="0" w:after="40" w:line="247" w:lineRule="auto"/>
            </w:pPr>
            <w:r>
              <w:rPr>
                <w:b w:val="0"/>
                <w:i/>
                <w:color w:val="A15C00"/>
                <w:sz w:val="17"/>
              </w:rPr>
              <w:t>[Consultant to complete: title, owner and date of the source document.]</w:t>
            </w:r>
          </w:p>
        </w:tc>
      </w:tr>
      <w:tr>
        <w:tc>
          <w:tcPr>
            <w:tcW w:type="dxa" w:w="567"/>
            <w:tcBorders>
              <w:bottom w:val="single" w:sz="4" w:space="0" w:color="D7DEE8"/>
            </w:tcBorders>
            <w:shd w:val="clear" w:color="auto" w:fill="EAF3FF"/>
            <w:tcMar>
              <w:top w:w="90" w:type="dxa"/>
              <w:left w:w="100" w:type="dxa"/>
              <w:bottom w:w="90" w:type="dxa"/>
              <w:right w:w="100" w:type="dxa"/>
            </w:tcMar>
            <w:vAlign w:val="center"/>
          </w:tcPr>
          <w:p>
            <w:pPr>
              <w:spacing w:before="0" w:after="0" w:line="252" w:lineRule="auto"/>
              <w:jc w:val="center"/>
            </w:pPr>
            <w:r>
              <w:rPr>
                <w:b/>
                <w:color w:val="006FF2"/>
                <w:sz w:val="18"/>
              </w:rPr>
              <w:t>[3]</w:t>
            </w:r>
          </w:p>
        </w:tc>
        <w:tc>
          <w:tcPr>
            <w:tcW w:type="dxa" w:w="9354"/>
            <w:tcBorders>
              <w:bottom w:val="single" w:sz="4" w:space="0" w:color="D7DEE8"/>
            </w:tcBorders>
            <w:tcMar>
              <w:top w:w="90" w:type="dxa"/>
              <w:left w:w="100" w:type="dxa"/>
              <w:bottom w:w="90" w:type="dxa"/>
              <w:right w:w="100" w:type="dxa"/>
            </w:tcMar>
            <w:vAlign w:val="center"/>
          </w:tcPr>
          <w:p>
            <w:pPr>
              <w:spacing w:before="0" w:after="40" w:line="247" w:lineRule="auto"/>
            </w:pPr>
            <w:r>
              <w:rPr>
                <w:b/>
                <w:i/>
                <w:color w:val="A15C00"/>
                <w:sz w:val="18"/>
              </w:rPr>
              <w:t>[Consultant to complete: internal account updates]</w:t>
            </w:r>
          </w:p>
          <w:p>
            <w:pPr>
              <w:spacing w:before="0" w:after="40" w:line="247" w:lineRule="auto"/>
            </w:pPr>
            <w:r>
              <w:rPr>
                <w:b w:val="0"/>
                <w:i/>
                <w:color w:val="A15C00"/>
                <w:sz w:val="17"/>
              </w:rPr>
              <w:t>[Consultant to complete: channel or document, period covered and key points.]</w:t>
            </w:r>
          </w:p>
        </w:tc>
      </w:tr>
    </w:tbl>
    <w:p>
      <w:pPr>
        <w:pStyle w:val="Heading2"/>
      </w:pPr>
      <w:r>
        <w:t>Validation points before customer use</w:t>
      </w:r>
    </w:p>
    <w:p>
      <w:pPr>
        <w:pStyle w:val="ListBullet"/>
        <w:spacing w:before="0" w:after="40" w:line="259" w:lineRule="auto"/>
        <w:ind w:left="312" w:hanging="142"/>
      </w:pPr>
      <w:r>
        <w:rPr>
          <w:b w:val="0"/>
          <w:i w:val="0"/>
          <w:color w:val="1E2430"/>
          <w:sz w:val="19"/>
        </w:rPr>
        <w:t>A configuration count does not prove active adoption. Dashboard views, report recipients, service usage, query execution and user activity are not exposed through the API.</w:t>
      </w:r>
    </w:p>
    <w:p>
      <w:pPr>
        <w:pStyle w:val="ListBullet"/>
        <w:spacing w:before="0" w:after="40" w:line="259" w:lineRule="auto"/>
        <w:ind w:left="312" w:hanging="142"/>
      </w:pPr>
      <w:r>
        <w:rPr>
          <w:b w:val="0"/>
          <w:i w:val="0"/>
          <w:color w:val="1E2430"/>
          <w:sz w:val="19"/>
        </w:rPr>
        <w:t>Statuses and findings are rule-based (report_rules.json and the Operations Portal Maintenance standards). Review every RAG rating and consultant placeholder before customer use.</w:t>
      </w:r>
    </w:p>
    <w:p>
      <w:pPr>
        <w:pStyle w:val="ListBullet"/>
        <w:spacing w:before="0" w:after="40" w:line="259" w:lineRule="auto"/>
        <w:ind w:left="312" w:hanging="142"/>
      </w:pPr>
      <w:r>
        <w:rPr>
          <w:b w:val="0"/>
          <w:i w:val="0"/>
          <w:color w:val="1E2430"/>
          <w:sz w:val="19"/>
        </w:rPr>
        <w:t>The portal metrics are a current operational snapshot. Contract, billing and renewal decisions should use the formal usage reports and commercial system of record.</w:t>
      </w:r>
    </w:p>
    <w:p>
      <w:r>
        <w:br w:type="page"/>
      </w:r>
    </w:p>
    <w:p>
      <w:pPr>
        <w:pStyle w:val="Heading1"/>
      </w:pPr>
      <w:r>
        <w:t>Appendix A - Portal evidence</w:t>
      </w:r>
    </w:p>
    <w:p>
      <w:pPr>
        <w:keepNext w:val="0"/>
        <w:spacing w:before="0" w:after="160" w:line="259" w:lineRule="auto"/>
      </w:pPr>
      <w:r>
        <w:rPr>
          <w:b w:val="0"/>
          <w:color w:val="586273"/>
          <w:sz w:val="19"/>
        </w:rPr>
        <w:t>Selected charts supporting the key usage and risk observations</w:t>
      </w:r>
    </w:p>
    <w:p>
      <w:pPr>
        <w:spacing w:before="0" w:after="20" w:line="259" w:lineRule="auto"/>
        <w:jc w:val="center"/>
      </w:pPr>
      <w:r>
        <w:drawing>
          <wp:inline xmlns:a="http://schemas.openxmlformats.org/drawingml/2006/main" xmlns:pic="http://schemas.openxmlformats.org/drawingml/2006/picture">
            <wp:extent cx="6263999" cy="1730386"/>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63999" cy="1730386"/>
                    </a:xfrm>
                    <a:prstGeom prst="rect"/>
                  </pic:spPr>
                </pic:pic>
              </a:graphicData>
            </a:graphic>
          </wp:inline>
        </w:drawing>
      </w:r>
    </w:p>
    <w:p>
      <w:pPr>
        <w:pStyle w:val="Caption"/>
        <w:jc w:val="center"/>
      </w:pPr>
      <w:r>
        <w:rPr>
          <w:b w:val="0"/>
          <w:color w:val="586273"/>
          <w:sz w:val="17"/>
        </w:rPr>
        <w:t>Figure A1. Resource footprint: 147 monitored resources by type and hygiene state.</w:t>
      </w:r>
    </w:p>
    <w:p>
      <w:pPr>
        <w:spacing w:before="0" w:after="20" w:line="259" w:lineRule="auto"/>
        <w:jc w:val="center"/>
      </w:pPr>
      <w:r>
        <w:drawing>
          <wp:inline xmlns:a="http://schemas.openxmlformats.org/drawingml/2006/main" xmlns:pic="http://schemas.openxmlformats.org/drawingml/2006/picture">
            <wp:extent cx="6263999" cy="1730386"/>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63999" cy="1730386"/>
                    </a:xfrm>
                    <a:prstGeom prst="rect"/>
                  </pic:spPr>
                </pic:pic>
              </a:graphicData>
            </a:graphic>
          </wp:inline>
        </w:drawing>
      </w:r>
    </w:p>
    <w:p>
      <w:pPr>
        <w:pStyle w:val="Caption"/>
        <w:jc w:val="center"/>
      </w:pPr>
      <w:r>
        <w:rPr>
          <w:b w:val="0"/>
          <w:color w:val="586273"/>
          <w:sz w:val="17"/>
        </w:rPr>
        <w:t>Figure A2. Alert volume: 372 alerts raised in the 24 hours before collection, by severity.</w:t>
      </w:r>
    </w:p>
    <w:p>
      <w:r>
        <w:br w:type="page"/>
      </w:r>
    </w:p>
    <w:p>
      <w:pPr>
        <w:spacing w:before="0" w:after="20" w:line="259" w:lineRule="auto"/>
        <w:jc w:val="center"/>
      </w:pPr>
      <w:r>
        <w:drawing>
          <wp:inline xmlns:a="http://schemas.openxmlformats.org/drawingml/2006/main" xmlns:pic="http://schemas.openxmlformats.org/drawingml/2006/picture">
            <wp:extent cx="6263999" cy="173038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63999" cy="1730386"/>
                    </a:xfrm>
                    <a:prstGeom prst="rect"/>
                  </pic:spPr>
                </pic:pic>
              </a:graphicData>
            </a:graphic>
          </wp:inline>
        </w:drawing>
      </w:r>
    </w:p>
    <w:p>
      <w:pPr>
        <w:pStyle w:val="Caption"/>
        <w:jc w:val="center"/>
      </w:pPr>
      <w:r>
        <w:rPr>
          <w:b w:val="0"/>
          <w:color w:val="586273"/>
          <w:sz w:val="17"/>
        </w:rPr>
        <w:t>Figure A3. Website and synthetic checks: 10 checks, 6 from external locations.</w:t>
      </w:r>
    </w:p>
    <w:p>
      <w:pPr>
        <w:spacing w:before="0" w:after="20" w:line="259" w:lineRule="auto"/>
        <w:jc w:val="center"/>
      </w:pPr>
      <w:r>
        <w:drawing>
          <wp:inline xmlns:a="http://schemas.openxmlformats.org/drawingml/2006/main" xmlns:pic="http://schemas.openxmlformats.org/drawingml/2006/picture">
            <wp:extent cx="6263999" cy="2457149"/>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263999" cy="2457149"/>
                    </a:xfrm>
                    <a:prstGeom prst="rect"/>
                  </pic:spPr>
                </pic:pic>
              </a:graphicData>
            </a:graphic>
          </wp:inline>
        </w:drawing>
      </w:r>
    </w:p>
    <w:p>
      <w:pPr>
        <w:pStyle w:val="Caption"/>
        <w:jc w:val="center"/>
      </w:pPr>
      <w:r>
        <w:rPr>
          <w:b w:val="0"/>
          <w:color w:val="586273"/>
          <w:sz w:val="17"/>
        </w:rPr>
        <w:t>Figure A4. Collector estate: 10 collectors, 1 down and 2 carrying resources without failover.</w:t>
      </w:r>
    </w:p>
    <w:p>
      <w:r>
        <w:rPr>
          <w:b w:val="0"/>
          <w:i w:val="0"/>
          <w:color w:val="586273"/>
          <w:sz w:val="18"/>
        </w:rPr>
        <w:t xml:space="preserve">LM Logs and LM Uptime usage charts from the portal Usage page are not available through the REST API. </w:t>
      </w:r>
      <w:r>
        <w:rPr>
          <w:b w:val="0"/>
          <w:i/>
          <w:color w:val="A15C00"/>
          <w:sz w:val="18"/>
        </w:rPr>
        <w:t>[Consultant to complete: add Usage page screenshots if required.]</w:t>
      </w:r>
    </w:p>
    <w:p>
      <w:r>
        <w:br w:type="page"/>
      </w:r>
    </w:p>
    <w:p>
      <w:pPr>
        <w:pStyle w:val="Heading1"/>
      </w:pPr>
      <w:r>
        <w:t>Appendix B - Supporting data</w:t>
      </w:r>
    </w:p>
    <w:p>
      <w:pPr>
        <w:keepNext w:val="0"/>
        <w:spacing w:before="0" w:after="160" w:line="259" w:lineRule="auto"/>
      </w:pPr>
      <w:r>
        <w:rPr>
          <w:b w:val="0"/>
          <w:color w:val="586273"/>
          <w:sz w:val="19"/>
        </w:rPr>
        <w:t>Detail behind the alerting and collector findings</w:t>
      </w:r>
    </w:p>
    <w:p>
      <w:pPr>
        <w:pStyle w:val="Heading2"/>
      </w:pPr>
      <w:r>
        <w:t>Top alert sources in the prior 24 hours</w:t>
      </w:r>
    </w:p>
    <w:tbl>
      <w:tblPr>
        <w:tblW w:type="dxa" w:w="9921"/>
        <w:jc w:val="center"/>
        <w:tblLayout w:type="fixed"/>
        <w:tblLook w:firstColumn="1" w:firstRow="1" w:lastColumn="0" w:lastRow="0" w:noHBand="0" w:noVBand="1" w:val="04A0"/>
      </w:tblPr>
      <w:tblGrid>
        <w:gridCol w:w="3600"/>
        <w:gridCol w:w="1100"/>
        <w:gridCol w:w="1100"/>
        <w:gridCol w:w="4121"/>
      </w:tblGrid>
      <w:tr>
        <w:trPr>
          <w:cantSplit/>
          <w:tblHeader/>
        </w:trPr>
        <w:tc>
          <w:tcPr>
            <w:tcW w:type="dxa" w:w="3600"/>
            <w:shd w:val="clear" w:color="auto" w:fill="071C4F"/>
            <w:tcMar>
              <w:top w:w="110" w:type="dxa"/>
              <w:left w:w="120" w:type="dxa"/>
              <w:bottom w:w="110" w:type="dxa"/>
              <w:right w:w="120" w:type="dxa"/>
            </w:tcMar>
            <w:vAlign w:val="center"/>
          </w:tcPr>
          <w:p>
            <w:pPr>
              <w:spacing w:before="0" w:after="0" w:line="252" w:lineRule="auto"/>
              <w:jc w:val="left"/>
            </w:pPr>
            <w:r>
              <w:rPr>
                <w:b/>
                <w:color w:val="FFFFFF"/>
                <w:sz w:val="16"/>
              </w:rPr>
              <w:t>DataSource / alert type</w:t>
            </w:r>
          </w:p>
        </w:tc>
        <w:tc>
          <w:tcPr>
            <w:tcW w:type="dxa" w:w="1100"/>
            <w:shd w:val="clear" w:color="auto" w:fill="071C4F"/>
            <w:tcMar>
              <w:top w:w="110" w:type="dxa"/>
              <w:left w:w="120" w:type="dxa"/>
              <w:bottom w:w="110" w:type="dxa"/>
              <w:right w:w="120" w:type="dxa"/>
            </w:tcMar>
            <w:vAlign w:val="center"/>
          </w:tcPr>
          <w:p>
            <w:pPr>
              <w:spacing w:before="0" w:after="0" w:line="252" w:lineRule="auto"/>
              <w:jc w:val="right"/>
            </w:pPr>
            <w:r>
              <w:rPr>
                <w:b/>
                <w:color w:val="FFFFFF"/>
                <w:sz w:val="16"/>
              </w:rPr>
              <w:t>Alerts</w:t>
            </w:r>
          </w:p>
        </w:tc>
        <w:tc>
          <w:tcPr>
            <w:tcW w:type="dxa" w:w="1100"/>
            <w:shd w:val="clear" w:color="auto" w:fill="071C4F"/>
            <w:tcMar>
              <w:top w:w="110" w:type="dxa"/>
              <w:left w:w="120" w:type="dxa"/>
              <w:bottom w:w="110" w:type="dxa"/>
              <w:right w:w="120" w:type="dxa"/>
            </w:tcMar>
            <w:vAlign w:val="center"/>
          </w:tcPr>
          <w:p>
            <w:pPr>
              <w:spacing w:before="0" w:after="0" w:line="252" w:lineRule="auto"/>
              <w:jc w:val="right"/>
            </w:pPr>
            <w:r>
              <w:rPr>
                <w:b/>
                <w:color w:val="FFFFFF"/>
                <w:sz w:val="16"/>
              </w:rPr>
              <w:t>Share</w:t>
            </w:r>
          </w:p>
        </w:tc>
        <w:tc>
          <w:tcPr>
            <w:tcW w:type="dxa" w:w="4121"/>
            <w:shd w:val="clear" w:color="auto" w:fill="071C4F"/>
            <w:tcMar>
              <w:top w:w="110" w:type="dxa"/>
              <w:left w:w="120" w:type="dxa"/>
              <w:bottom w:w="110" w:type="dxa"/>
              <w:right w:w="120" w:type="dxa"/>
            </w:tcMar>
            <w:vAlign w:val="center"/>
          </w:tcPr>
          <w:p>
            <w:pPr>
              <w:spacing w:before="0" w:after="0" w:line="252" w:lineRule="auto"/>
              <w:jc w:val="left"/>
            </w:pPr>
            <w:r>
              <w:rPr>
                <w:b/>
                <w:color w:val="FFFFFF"/>
                <w:sz w:val="16"/>
              </w:rPr>
              <w:t>Most affected resource</w:t>
            </w:r>
          </w:p>
        </w:tc>
      </w:tr>
      <w:tr>
        <w:trPr>
          <w:cantSplit/>
        </w:trPr>
        <w:tc>
          <w:tcPr>
            <w:tcW w:type="dxa" w:w="36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SNMP_Network_Interfaces</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108</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29.0%</w:t>
            </w:r>
          </w:p>
        </w:tc>
        <w:tc>
          <w:tcPr>
            <w:tcW w:type="dxa" w:w="41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EXM-SW-022</w:t>
            </w:r>
          </w:p>
        </w:tc>
      </w:tr>
      <w:tr>
        <w:trPr>
          <w:cantSplit/>
        </w:trPr>
        <w:tc>
          <w:tcPr>
            <w:tcW w:type="dxa" w:w="36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Wireless_AP_Clients</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77</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20.7%</w:t>
            </w:r>
          </w:p>
        </w:tc>
        <w:tc>
          <w:tcPr>
            <w:tcW w:type="dxa" w:w="41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EXM-AP-024</w:t>
            </w:r>
          </w:p>
        </w:tc>
      </w:tr>
      <w:tr>
        <w:trPr>
          <w:cantSplit/>
        </w:trPr>
        <w:tc>
          <w:tcPr>
            <w:tcW w:type="dxa" w:w="36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Ping</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39</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10.5%</w:t>
            </w:r>
          </w:p>
        </w:tc>
        <w:tc>
          <w:tcPr>
            <w:tcW w:type="dxa" w:w="41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EXM-RTR-004</w:t>
            </w:r>
          </w:p>
        </w:tc>
      </w:tr>
      <w:tr>
        <w:trPr>
          <w:cantSplit/>
        </w:trPr>
        <w:tc>
          <w:tcPr>
            <w:tcW w:type="dxa" w:w="36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WinCPU</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37</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9.9%</w:t>
            </w:r>
          </w:p>
        </w:tc>
        <w:tc>
          <w:tcPr>
            <w:tcW w:type="dxa" w:w="41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exm-win-010</w:t>
            </w:r>
          </w:p>
        </w:tc>
      </w:tr>
      <w:tr>
        <w:trPr>
          <w:cantSplit/>
        </w:trPr>
        <w:tc>
          <w:tcPr>
            <w:tcW w:type="dxa" w:w="36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Linux_SSH_Filesystems</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34</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9.1%</w:t>
            </w:r>
          </w:p>
        </w:tc>
        <w:tc>
          <w:tcPr>
            <w:tcW w:type="dxa" w:w="41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exm-lnx-005</w:t>
            </w:r>
          </w:p>
        </w:tc>
      </w:tr>
      <w:tr>
        <w:trPr>
          <w:cantSplit/>
        </w:trPr>
        <w:tc>
          <w:tcPr>
            <w:tcW w:type="dxa" w:w="36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BGP</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29</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7.8%</w:t>
            </w:r>
          </w:p>
        </w:tc>
        <w:tc>
          <w:tcPr>
            <w:tcW w:type="dxa" w:w="41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EXM-RTR-005</w:t>
            </w:r>
          </w:p>
        </w:tc>
      </w:tr>
      <w:tr>
        <w:trPr>
          <w:cantSplit/>
        </w:trPr>
        <w:tc>
          <w:tcPr>
            <w:tcW w:type="dxa" w:w="36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WinVolumeUsage</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23</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6.2%</w:t>
            </w:r>
          </w:p>
        </w:tc>
        <w:tc>
          <w:tcPr>
            <w:tcW w:type="dxa" w:w="41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exm-win-019</w:t>
            </w:r>
          </w:p>
        </w:tc>
      </w:tr>
      <w:tr>
        <w:trPr>
          <w:cantSplit/>
        </w:trPr>
        <w:tc>
          <w:tcPr>
            <w:tcW w:type="dxa" w:w="36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HostStatus</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13</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3.5%</w:t>
            </w:r>
          </w:p>
        </w:tc>
        <w:tc>
          <w:tcPr>
            <w:tcW w:type="dxa" w:w="41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EXM-SW-026</w:t>
            </w:r>
          </w:p>
        </w:tc>
      </w:tr>
      <w:tr>
        <w:trPr>
          <w:cantSplit/>
        </w:trPr>
        <w:tc>
          <w:tcPr>
            <w:tcW w:type="dxa" w:w="36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AWS_EC2</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12</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7"/>
              </w:rPr>
              <w:t>3.2%</w:t>
            </w:r>
          </w:p>
        </w:tc>
        <w:tc>
          <w:tcPr>
            <w:tcW w:type="dxa" w:w="41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7"/>
              </w:rPr>
              <w:t>exm-aws-app-02</w:t>
            </w:r>
          </w:p>
        </w:tc>
      </w:tr>
    </w:tbl>
    <w:p>
      <w:pPr>
        <w:pStyle w:val="Heading2"/>
      </w:pPr>
      <w:r>
        <w:t>Collector exceptions</w:t>
      </w:r>
    </w:p>
    <w:tbl>
      <w:tblPr>
        <w:tblW w:type="dxa" w:w="9921"/>
        <w:jc w:val="center"/>
        <w:tblLayout w:type="fixed"/>
        <w:tblLook w:firstColumn="1" w:firstRow="1" w:lastColumn="0" w:lastRow="0" w:noHBand="0" w:noVBand="1" w:val="04A0"/>
      </w:tblPr>
      <w:tblGrid>
        <w:gridCol w:w="2300"/>
        <w:gridCol w:w="900"/>
        <w:gridCol w:w="1000"/>
        <w:gridCol w:w="1000"/>
        <w:gridCol w:w="1100"/>
        <w:gridCol w:w="3621"/>
      </w:tblGrid>
      <w:tr>
        <w:trPr>
          <w:cantSplit/>
          <w:tblHeader/>
        </w:trPr>
        <w:tc>
          <w:tcPr>
            <w:tcW w:type="dxa" w:w="2300"/>
            <w:shd w:val="clear" w:color="auto" w:fill="071C4F"/>
            <w:tcMar>
              <w:top w:w="110" w:type="dxa"/>
              <w:left w:w="120" w:type="dxa"/>
              <w:bottom w:w="110" w:type="dxa"/>
              <w:right w:w="120" w:type="dxa"/>
            </w:tcMar>
            <w:vAlign w:val="center"/>
          </w:tcPr>
          <w:p>
            <w:pPr>
              <w:spacing w:before="0" w:after="0" w:line="252" w:lineRule="auto"/>
              <w:jc w:val="left"/>
            </w:pPr>
            <w:r>
              <w:rPr>
                <w:b/>
                <w:color w:val="FFFFFF"/>
                <w:sz w:val="16"/>
              </w:rPr>
              <w:t>Collector</w:t>
            </w:r>
          </w:p>
        </w:tc>
        <w:tc>
          <w:tcPr>
            <w:tcW w:type="dxa" w:w="900"/>
            <w:shd w:val="clear" w:color="auto" w:fill="071C4F"/>
            <w:tcMar>
              <w:top w:w="110" w:type="dxa"/>
              <w:left w:w="120" w:type="dxa"/>
              <w:bottom w:w="110" w:type="dxa"/>
              <w:right w:w="120" w:type="dxa"/>
            </w:tcMar>
            <w:vAlign w:val="center"/>
          </w:tcPr>
          <w:p>
            <w:pPr>
              <w:spacing w:before="0" w:after="0" w:line="252" w:lineRule="auto"/>
              <w:jc w:val="center"/>
            </w:pPr>
            <w:r>
              <w:rPr>
                <w:b/>
                <w:color w:val="FFFFFF"/>
                <w:sz w:val="16"/>
              </w:rPr>
              <w:t>Status</w:t>
            </w:r>
          </w:p>
        </w:tc>
        <w:tc>
          <w:tcPr>
            <w:tcW w:type="dxa" w:w="1000"/>
            <w:shd w:val="clear" w:color="auto" w:fill="071C4F"/>
            <w:tcMar>
              <w:top w:w="110" w:type="dxa"/>
              <w:left w:w="120" w:type="dxa"/>
              <w:bottom w:w="110" w:type="dxa"/>
              <w:right w:w="120" w:type="dxa"/>
            </w:tcMar>
            <w:vAlign w:val="center"/>
          </w:tcPr>
          <w:p>
            <w:pPr>
              <w:spacing w:before="0" w:after="0" w:line="252" w:lineRule="auto"/>
              <w:jc w:val="left"/>
            </w:pPr>
            <w:r>
              <w:rPr>
                <w:b/>
                <w:color w:val="FFFFFF"/>
                <w:sz w:val="16"/>
              </w:rPr>
              <w:t>Size</w:t>
            </w:r>
          </w:p>
        </w:tc>
        <w:tc>
          <w:tcPr>
            <w:tcW w:type="dxa" w:w="1000"/>
            <w:shd w:val="clear" w:color="auto" w:fill="071C4F"/>
            <w:tcMar>
              <w:top w:w="110" w:type="dxa"/>
              <w:left w:w="120" w:type="dxa"/>
              <w:bottom w:w="110" w:type="dxa"/>
              <w:right w:w="120" w:type="dxa"/>
            </w:tcMar>
            <w:vAlign w:val="center"/>
          </w:tcPr>
          <w:p>
            <w:pPr>
              <w:spacing w:before="0" w:after="0" w:line="252" w:lineRule="auto"/>
              <w:jc w:val="right"/>
            </w:pPr>
            <w:r>
              <w:rPr>
                <w:b/>
                <w:color w:val="FFFFFF"/>
                <w:sz w:val="16"/>
              </w:rPr>
              <w:t>Resources</w:t>
            </w:r>
          </w:p>
        </w:tc>
        <w:tc>
          <w:tcPr>
            <w:tcW w:type="dxa" w:w="1100"/>
            <w:shd w:val="clear" w:color="auto" w:fill="071C4F"/>
            <w:tcMar>
              <w:top w:w="110" w:type="dxa"/>
              <w:left w:w="120" w:type="dxa"/>
              <w:bottom w:w="110" w:type="dxa"/>
              <w:right w:w="120" w:type="dxa"/>
            </w:tcMar>
            <w:vAlign w:val="center"/>
          </w:tcPr>
          <w:p>
            <w:pPr>
              <w:spacing w:before="0" w:after="0" w:line="252" w:lineRule="auto"/>
              <w:jc w:val="right"/>
            </w:pPr>
            <w:r>
              <w:rPr>
                <w:b/>
                <w:color w:val="FFFFFF"/>
                <w:sz w:val="16"/>
              </w:rPr>
              <w:t>Instances</w:t>
            </w:r>
          </w:p>
        </w:tc>
        <w:tc>
          <w:tcPr>
            <w:tcW w:type="dxa" w:w="3621"/>
            <w:shd w:val="clear" w:color="auto" w:fill="071C4F"/>
            <w:tcMar>
              <w:top w:w="110" w:type="dxa"/>
              <w:left w:w="120" w:type="dxa"/>
              <w:bottom w:w="110" w:type="dxa"/>
              <w:right w:w="120" w:type="dxa"/>
            </w:tcMar>
            <w:vAlign w:val="center"/>
          </w:tcPr>
          <w:p>
            <w:pPr>
              <w:spacing w:before="0" w:after="0" w:line="252" w:lineRule="auto"/>
              <w:jc w:val="left"/>
            </w:pPr>
            <w:r>
              <w:rPr>
                <w:b/>
                <w:color w:val="FFFFFF"/>
                <w:sz w:val="16"/>
              </w:rPr>
              <w:t>Findings</w:t>
            </w:r>
          </w:p>
        </w:tc>
      </w:tr>
      <w:tr>
        <w:trPr>
          <w:cantSplit/>
        </w:trPr>
        <w:tc>
          <w:tcPr>
            <w:tcW w:type="dxa" w:w="23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exm-col-dc2-01</w:t>
            </w:r>
          </w:p>
        </w:tc>
        <w:tc>
          <w:tcPr>
            <w:tcW w:type="dxa" w:w="900"/>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6"/>
              </w:rPr>
              <w:t>AMBER</w:t>
            </w:r>
          </w:p>
        </w:tc>
        <w:tc>
          <w:tcPr>
            <w:tcW w:type="dxa" w:w="10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6"/>
              </w:rPr>
              <w:t>large</w:t>
            </w:r>
          </w:p>
        </w:tc>
        <w:tc>
          <w:tcPr>
            <w:tcW w:type="dxa" w:w="10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6"/>
              </w:rPr>
              <w:t>26</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6"/>
              </w:rPr>
              <w:t>23,800</w:t>
            </w:r>
          </w:p>
        </w:tc>
        <w:tc>
          <w:tcPr>
            <w:tcW w:type="dxa" w:w="36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6"/>
              </w:rPr>
              <w:t>At 79.3% of LogicMonitor large capacity</w:t>
            </w:r>
          </w:p>
        </w:tc>
      </w:tr>
      <w:tr>
        <w:trPr>
          <w:cantSplit/>
        </w:trPr>
        <w:tc>
          <w:tcPr>
            <w:tcW w:type="dxa" w:w="23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exm-col-dc1-03</w:t>
            </w:r>
          </w:p>
        </w:tc>
        <w:tc>
          <w:tcPr>
            <w:tcW w:type="dxa" w:w="900"/>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6"/>
              </w:rPr>
              <w:t>AMBER</w:t>
            </w:r>
          </w:p>
        </w:tc>
        <w:tc>
          <w:tcPr>
            <w:tcW w:type="dxa" w:w="10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6"/>
              </w:rPr>
              <w:t>medium</w:t>
            </w:r>
          </w:p>
        </w:tc>
        <w:tc>
          <w:tcPr>
            <w:tcW w:type="dxa" w:w="10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6"/>
              </w:rPr>
              <w:t>18</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6"/>
              </w:rPr>
              <w:t>3,900</w:t>
            </w:r>
          </w:p>
        </w:tc>
        <w:tc>
          <w:tcPr>
            <w:tcW w:type="dxa" w:w="36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6"/>
              </w:rPr>
              <w:t>Behind newest in portal (37.200)</w:t>
            </w:r>
          </w:p>
        </w:tc>
      </w:tr>
      <w:tr>
        <w:trPr>
          <w:cantSplit/>
        </w:trPr>
        <w:tc>
          <w:tcPr>
            <w:tcW w:type="dxa" w:w="23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exm-col-dc2-02</w:t>
            </w:r>
          </w:p>
        </w:tc>
        <w:tc>
          <w:tcPr>
            <w:tcW w:type="dxa" w:w="900"/>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6"/>
              </w:rPr>
              <w:t>AMBER</w:t>
            </w:r>
          </w:p>
        </w:tc>
        <w:tc>
          <w:tcPr>
            <w:tcW w:type="dxa" w:w="10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6"/>
              </w:rPr>
              <w:t>medium</w:t>
            </w:r>
          </w:p>
        </w:tc>
        <w:tc>
          <w:tcPr>
            <w:tcW w:type="dxa" w:w="10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6"/>
              </w:rPr>
              <w:t>14</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6"/>
              </w:rPr>
              <w:t>2,600</w:t>
            </w:r>
          </w:p>
        </w:tc>
        <w:tc>
          <w:tcPr>
            <w:tcW w:type="dxa" w:w="36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6"/>
              </w:rPr>
              <w:t>3 major versions behind 37.200; No failover collector assigned</w:t>
            </w:r>
          </w:p>
        </w:tc>
      </w:tr>
      <w:tr>
        <w:trPr>
          <w:cantSplit/>
        </w:trPr>
        <w:tc>
          <w:tcPr>
            <w:tcW w:type="dxa" w:w="23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exm-col-branch-01</w:t>
            </w:r>
          </w:p>
        </w:tc>
        <w:tc>
          <w:tcPr>
            <w:tcW w:type="dxa" w:w="900"/>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6"/>
              </w:rPr>
              <w:t>AMBER</w:t>
            </w:r>
          </w:p>
        </w:tc>
        <w:tc>
          <w:tcPr>
            <w:tcW w:type="dxa" w:w="10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6"/>
              </w:rPr>
              <w:t>custom</w:t>
            </w:r>
          </w:p>
        </w:tc>
        <w:tc>
          <w:tcPr>
            <w:tcW w:type="dxa" w:w="10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6"/>
              </w:rPr>
              <w:t>8</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6"/>
              </w:rPr>
              <w:t>1,500</w:t>
            </w:r>
          </w:p>
        </w:tc>
        <w:tc>
          <w:tcPr>
            <w:tcW w:type="dxa" w:w="36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6"/>
              </w:rPr>
              <w:t>Behind newest in portal (37.200); No failover collector assigned</w:t>
            </w:r>
          </w:p>
        </w:tc>
      </w:tr>
      <w:tr>
        <w:trPr>
          <w:cantSplit/>
        </w:trPr>
        <w:tc>
          <w:tcPr>
            <w:tcW w:type="dxa" w:w="23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exm-col-lab-01</w:t>
            </w:r>
          </w:p>
        </w:tc>
        <w:tc>
          <w:tcPr>
            <w:tcW w:type="dxa" w:w="900"/>
            <w:tcBorders>
              <w:left w:val="single" w:sz="4" w:space="0" w:color="D7DEE8"/>
              <w:bottom w:val="single" w:sz="4" w:space="0" w:color="D7DEE8"/>
              <w:right w:val="single" w:sz="4" w:space="0" w:color="D7DEE8"/>
            </w:tcBorders>
            <w:shd w:val="clear" w:color="auto" w:fill="FFF3D6"/>
            <w:tcMar>
              <w:top w:w="110" w:type="dxa"/>
              <w:left w:w="120" w:type="dxa"/>
              <w:bottom w:w="110" w:type="dxa"/>
              <w:right w:w="120" w:type="dxa"/>
            </w:tcMar>
            <w:vAlign w:val="center"/>
          </w:tcPr>
          <w:p>
            <w:pPr>
              <w:spacing w:before="0" w:after="0" w:line="252" w:lineRule="auto"/>
              <w:jc w:val="center"/>
            </w:pPr>
            <w:r>
              <w:rPr>
                <w:b/>
                <w:i w:val="0"/>
                <w:color w:val="A15C00"/>
                <w:sz w:val="16"/>
              </w:rPr>
              <w:t>AMBER</w:t>
            </w:r>
          </w:p>
        </w:tc>
        <w:tc>
          <w:tcPr>
            <w:tcW w:type="dxa" w:w="10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6"/>
              </w:rPr>
              <w:t>small</w:t>
            </w:r>
          </w:p>
        </w:tc>
        <w:tc>
          <w:tcPr>
            <w:tcW w:type="dxa" w:w="10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6"/>
              </w:rPr>
              <w:t>4</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6"/>
              </w:rPr>
              <w:t>600</w:t>
            </w:r>
          </w:p>
        </w:tc>
        <w:tc>
          <w:tcPr>
            <w:tcW w:type="dxa" w:w="36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6"/>
              </w:rPr>
              <w:t>Behind newest in portal (37.200)</w:t>
            </w:r>
          </w:p>
        </w:tc>
      </w:tr>
      <w:tr>
        <w:trPr>
          <w:cantSplit/>
        </w:trPr>
        <w:tc>
          <w:tcPr>
            <w:tcW w:type="dxa" w:w="23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i w:val="0"/>
                <w:color w:val="071C4F"/>
                <w:sz w:val="17"/>
              </w:rPr>
              <w:t>exm-col-old-01</w:t>
            </w:r>
          </w:p>
        </w:tc>
        <w:tc>
          <w:tcPr>
            <w:tcW w:type="dxa" w:w="900"/>
            <w:tcBorders>
              <w:left w:val="single" w:sz="4" w:space="0" w:color="D7DEE8"/>
              <w:bottom w:val="single" w:sz="4" w:space="0" w:color="D7DEE8"/>
              <w:right w:val="single" w:sz="4" w:space="0" w:color="D7DEE8"/>
            </w:tcBorders>
            <w:shd w:val="clear" w:color="auto" w:fill="FCE8E6"/>
            <w:tcMar>
              <w:top w:w="110" w:type="dxa"/>
              <w:left w:w="120" w:type="dxa"/>
              <w:bottom w:w="110" w:type="dxa"/>
              <w:right w:w="120" w:type="dxa"/>
            </w:tcMar>
            <w:vAlign w:val="center"/>
          </w:tcPr>
          <w:p>
            <w:pPr>
              <w:spacing w:before="0" w:after="0" w:line="252" w:lineRule="auto"/>
              <w:jc w:val="center"/>
            </w:pPr>
            <w:r>
              <w:rPr>
                <w:b/>
                <w:i w:val="0"/>
                <w:color w:val="B3261E"/>
                <w:sz w:val="16"/>
              </w:rPr>
              <w:t>RED</w:t>
            </w:r>
          </w:p>
        </w:tc>
        <w:tc>
          <w:tcPr>
            <w:tcW w:type="dxa" w:w="10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6"/>
              </w:rPr>
              <w:t>small</w:t>
            </w:r>
          </w:p>
        </w:tc>
        <w:tc>
          <w:tcPr>
            <w:tcW w:type="dxa" w:w="10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6"/>
              </w:rPr>
              <w:t>0</w:t>
            </w:r>
          </w:p>
        </w:tc>
        <w:tc>
          <w:tcPr>
            <w:tcW w:type="dxa" w:w="1100"/>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right"/>
            </w:pPr>
            <w:r>
              <w:rPr>
                <w:b w:val="0"/>
                <w:i w:val="0"/>
                <w:color w:val="1E2430"/>
                <w:sz w:val="16"/>
              </w:rPr>
              <w:t>0</w:t>
            </w:r>
          </w:p>
        </w:tc>
        <w:tc>
          <w:tcPr>
            <w:tcW w:type="dxa" w:w="3621"/>
            <w:tcBorders>
              <w:left w:val="single" w:sz="4" w:space="0" w:color="D7DEE8"/>
              <w:bottom w:val="single" w:sz="4" w:space="0" w:color="D7DEE8"/>
              <w:right w:val="single" w:sz="4" w:space="0" w:color="D7DEE8"/>
            </w:tcBorders>
            <w:tcMar>
              <w:top w:w="110" w:type="dxa"/>
              <w:left w:w="120" w:type="dxa"/>
              <w:bottom w:w="110" w:type="dxa"/>
              <w:right w:w="120" w:type="dxa"/>
            </w:tcMar>
            <w:vAlign w:val="center"/>
          </w:tcPr>
          <w:p>
            <w:pPr>
              <w:spacing w:before="0" w:after="0" w:line="252" w:lineRule="auto"/>
              <w:jc w:val="left"/>
            </w:pPr>
            <w:r>
              <w:rPr>
                <w:b w:val="0"/>
                <w:i w:val="0"/>
                <w:color w:val="1E2430"/>
                <w:sz w:val="16"/>
              </w:rPr>
              <w:t>Collector is down; Behind newest in portal (37.200)</w:t>
            </w:r>
          </w:p>
        </w:tc>
      </w:tr>
    </w:tbl>
    <w:p>
      <w:r>
        <w:br w:type="page"/>
      </w:r>
    </w:p>
    <w:p>
      <w:pPr>
        <w:pStyle w:val="Heading1"/>
      </w:pPr>
      <w:r>
        <w:t>Appendix C - Data collection log</w:t>
      </w:r>
    </w:p>
    <w:p>
      <w:pPr>
        <w:keepNext w:val="0"/>
        <w:spacing w:before="0" w:after="160" w:line="259" w:lineRule="auto"/>
      </w:pPr>
      <w:r>
        <w:rPr>
          <w:b w:val="0"/>
          <w:color w:val="586273"/>
          <w:sz w:val="19"/>
        </w:rPr>
        <w:t>Read-only REST API v3 endpoints queried for this report</w:t>
      </w:r>
    </w:p>
    <w:tbl>
      <w:tblPr>
        <w:tblW w:type="dxa" w:w="9921"/>
        <w:jc w:val="center"/>
        <w:tblLayout w:type="fixed"/>
        <w:tblLook w:firstColumn="1" w:firstRow="1" w:lastColumn="0" w:lastRow="0" w:noHBand="0" w:noVBand="1" w:val="04A0"/>
      </w:tblPr>
      <w:tblGrid>
        <w:gridCol w:w="2200"/>
        <w:gridCol w:w="2900"/>
        <w:gridCol w:w="1000"/>
        <w:gridCol w:w="3821"/>
      </w:tblGrid>
      <w:tr>
        <w:trPr>
          <w:cantSplit/>
          <w:tblHeader/>
        </w:trPr>
        <w:tc>
          <w:tcPr>
            <w:tcW w:type="dxa" w:w="2200"/>
            <w:shd w:val="clear" w:color="auto" w:fill="071C4F"/>
            <w:tcMar>
              <w:top w:w="60" w:type="dxa"/>
              <w:left w:w="100" w:type="dxa"/>
              <w:bottom w:w="60" w:type="dxa"/>
              <w:right w:w="100" w:type="dxa"/>
            </w:tcMar>
            <w:vAlign w:val="center"/>
          </w:tcPr>
          <w:p>
            <w:pPr>
              <w:spacing w:before="0" w:after="0" w:line="252" w:lineRule="auto"/>
              <w:jc w:val="left"/>
            </w:pPr>
            <w:r>
              <w:rPr>
                <w:b/>
                <w:color w:val="FFFFFF"/>
                <w:sz w:val="16"/>
              </w:rPr>
              <w:t>Dataset</w:t>
            </w:r>
          </w:p>
        </w:tc>
        <w:tc>
          <w:tcPr>
            <w:tcW w:type="dxa" w:w="2900"/>
            <w:shd w:val="clear" w:color="auto" w:fill="071C4F"/>
            <w:tcMar>
              <w:top w:w="60" w:type="dxa"/>
              <w:left w:w="100" w:type="dxa"/>
              <w:bottom w:w="60" w:type="dxa"/>
              <w:right w:w="100" w:type="dxa"/>
            </w:tcMar>
            <w:vAlign w:val="center"/>
          </w:tcPr>
          <w:p>
            <w:pPr>
              <w:spacing w:before="0" w:after="0" w:line="252" w:lineRule="auto"/>
              <w:jc w:val="left"/>
            </w:pPr>
            <w:r>
              <w:rPr>
                <w:b/>
                <w:color w:val="FFFFFF"/>
                <w:sz w:val="16"/>
              </w:rPr>
              <w:t>Endpoint (GET)</w:t>
            </w:r>
          </w:p>
        </w:tc>
        <w:tc>
          <w:tcPr>
            <w:tcW w:type="dxa" w:w="1000"/>
            <w:shd w:val="clear" w:color="auto" w:fill="071C4F"/>
            <w:tcMar>
              <w:top w:w="60" w:type="dxa"/>
              <w:left w:w="100" w:type="dxa"/>
              <w:bottom w:w="60" w:type="dxa"/>
              <w:right w:w="100" w:type="dxa"/>
            </w:tcMar>
            <w:vAlign w:val="center"/>
          </w:tcPr>
          <w:p>
            <w:pPr>
              <w:spacing w:before="0" w:after="0" w:line="252" w:lineRule="auto"/>
              <w:jc w:val="right"/>
            </w:pPr>
            <w:r>
              <w:rPr>
                <w:b/>
                <w:color w:val="FFFFFF"/>
                <w:sz w:val="16"/>
              </w:rPr>
              <w:t>Records</w:t>
            </w:r>
          </w:p>
        </w:tc>
        <w:tc>
          <w:tcPr>
            <w:tcW w:type="dxa" w:w="3821"/>
            <w:shd w:val="clear" w:color="auto" w:fill="071C4F"/>
            <w:tcMar>
              <w:top w:w="60" w:type="dxa"/>
              <w:left w:w="100" w:type="dxa"/>
              <w:bottom w:w="60" w:type="dxa"/>
              <w:right w:w="100" w:type="dxa"/>
            </w:tcMar>
            <w:vAlign w:val="center"/>
          </w:tcPr>
          <w:p>
            <w:pPr>
              <w:spacing w:before="0" w:after="0" w:line="252" w:lineRule="auto"/>
              <w:jc w:val="left"/>
            </w:pPr>
            <w:r>
              <w:rPr>
                <w:b/>
                <w:color w:val="FFFFFF"/>
                <w:sz w:val="16"/>
              </w:rPr>
              <w:t>Status</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Devices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/device/devices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153</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Device groups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/device/groups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12</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Collectors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/setting/collector/collectors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10</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Collector groups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/setting/collector/groups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4</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Open alerts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/alert/alerts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130</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Alerts in prior 24 h</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/alert/alerts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372</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Alert rules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/setting/alert/rules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5</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Escalation chains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/setting/alert/chains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5</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Integrations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/setting/integrations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3</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DataSources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/setting/datasources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60</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EventSources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/setting/eventsources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18</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ConfigSources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/setting/configsources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6</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PropertySources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/setting/propertyrules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25</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TopologySources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/setting/topologysources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12</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JobMonitors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/setting/batchjobs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2</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LogSources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/setting/logsources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4</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AppliesTo functions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/setting/functions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9</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SNMP SysOID maps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/setting/oids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140</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Dashboards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/dashboard/dashboards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22</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Dashboard widgets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/dashboard/widgets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264</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Reports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/report/reports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15</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Websites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/website/websites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10</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Users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/setting/admins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30</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Roles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/setting/roles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7</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API tokens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/setting/admins/apitokens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6</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NetScans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/setting/netscans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5</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SDTs</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/sdt/sdts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4</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r>
        <w:trPr>
          <w:cantSplit/>
        </w:trPr>
        <w:tc>
          <w:tcPr>
            <w:tcW w:type="dxa" w:w="22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i w:val="0"/>
                <w:color w:val="071C4F"/>
                <w:sz w:val="17"/>
              </w:rPr>
              <w:t>Audit log</w:t>
            </w:r>
          </w:p>
        </w:tc>
        <w:tc>
          <w:tcPr>
            <w:tcW w:type="dxa" w:w="29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/setting/accesslogs</w:t>
            </w:r>
          </w:p>
        </w:tc>
        <w:tc>
          <w:tcPr>
            <w:tcW w:type="dxa" w:w="1000"/>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right"/>
            </w:pPr>
            <w:r>
              <w:rPr>
                <w:b w:val="0"/>
                <w:i w:val="0"/>
                <w:color w:val="1E2430"/>
                <w:sz w:val="16"/>
              </w:rPr>
              <w:t>420</w:t>
            </w:r>
          </w:p>
        </w:tc>
        <w:tc>
          <w:tcPr>
            <w:tcW w:type="dxa" w:w="3821"/>
            <w:tcBorders>
              <w:left w:val="single" w:sz="4" w:space="0" w:color="D7DEE8"/>
              <w:bottom w:val="single" w:sz="4" w:space="0" w:color="D7DEE8"/>
              <w:right w:val="single" w:sz="4" w:space="0" w:color="D7DEE8"/>
            </w:tcBorders>
            <w:tcMar>
              <w:top w:w="60" w:type="dxa"/>
              <w:left w:w="100" w:type="dxa"/>
              <w:bottom w:w="60" w:type="dxa"/>
              <w:right w:w="100" w:type="dxa"/>
            </w:tcMar>
            <w:vAlign w:val="center"/>
          </w:tcPr>
          <w:p>
            <w:pPr>
              <w:spacing w:before="0" w:after="0" w:line="252" w:lineRule="auto"/>
              <w:jc w:val="left"/>
            </w:pPr>
            <w:r>
              <w:rPr>
                <w:b w:val="0"/>
                <w:i w:val="0"/>
                <w:color w:val="1E2430"/>
                <w:sz w:val="16"/>
              </w:rPr>
              <w:t>OK</w:t>
            </w:r>
          </w:p>
        </w:tc>
      </w:tr>
    </w:tbl>
    <w:sectPr w:rsidR="00FC693F" w:rsidRPr="0006063C" w:rsidSect="00034616">
      <w:headerReference w:type="default" r:id="rId9"/>
      <w:footerReference w:type="default" r:id="rId10"/>
      <w:pgSz w:w="11906" w:h="16838"/>
      <w:pgMar w:top="935" w:right="935" w:bottom="907" w:left="935"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0034"/>
      <w:jc w:val="center"/>
      <w:tblLayout w:type="fixed"/>
      <w:tblLook w:firstColumn="1" w:firstRow="1" w:lastColumn="0" w:lastRow="0" w:noHBand="0" w:noVBand="1" w:val="04A0"/>
    </w:tblPr>
    <w:tblGrid>
      <w:gridCol w:w="6803"/>
      <w:gridCol w:w="3231"/>
    </w:tblGrid>
    <w:tr>
      <w:tc>
        <w:tcPr>
          <w:tcW w:type="dxa" w:w="6803"/>
          <w:tcBorders>
            <w:top w:val="single" w:sz="4" w:space="0" w:color="D7DEE8"/>
          </w:tcBorders>
          <w:tcMar>
            <w:top w:w="30" w:type="dxa"/>
            <w:left w:w="0" w:type="dxa"/>
            <w:bottom w:w="20" w:type="dxa"/>
            <w:right w:w="0" w:type="dxa"/>
          </w:tcMar>
          <w:vAlign w:val="center"/>
        </w:tcPr>
        <w:p>
          <w:r>
            <w:rPr>
              <w:b w:val="0"/>
              <w:color w:val="586273"/>
              <w:sz w:val="16"/>
            </w:rPr>
            <w:t>Internal | Assessment date: 20 October 2026</w:t>
          </w:r>
        </w:p>
      </w:tc>
      <w:tc>
        <w:tcPr>
          <w:tcW w:type="dxa" w:w="3231"/>
          <w:tcBorders>
            <w:top w:val="single" w:sz="4" w:space="0" w:color="D7DEE8"/>
          </w:tcBorders>
          <w:tcMar>
            <w:top w:w="30" w:type="dxa"/>
            <w:left w:w="0" w:type="dxa"/>
            <w:bottom w:w="20" w:type="dxa"/>
            <w:right w:w="0" w:type="dxa"/>
          </w:tcMar>
          <w:vAlign w:val="center"/>
        </w:tcPr>
        <w:p>
          <w:pPr>
            <w:jc w:val="right"/>
          </w:pPr>
          <w:r>
            <w:rPr>
              <w:b w:val="0"/>
              <w:color w:val="586273"/>
              <w:sz w:val="16"/>
            </w:rPr>
            <w:t xml:space="preserve">Page </w:t>
          </w:r>
          <w:r>
            <w:rPr>
              <w:color w:val="586273"/>
              <w:sz w:val="16"/>
            </w:rPr>
            <w:fldChar w:fldCharType="begin"/>
          </w:r>
          <w:r>
            <w:rPr>
              <w:color w:val="586273"/>
              <w:sz w:val="16"/>
            </w:rPr>
            <w:instrText xml:space="preserve">PAGE</w:instrText>
          </w:r>
          <w:r>
            <w:rPr>
              <w:color w:val="586273"/>
              <w:sz w:val="16"/>
            </w:rPr>
            <w:fldChar w:fldCharType="separate"/>
          </w:r>
          <w:r>
            <w:rPr>
              <w:color w:val="586273"/>
              <w:sz w:val="16"/>
            </w:rPr>
            <w:t>1</w:t>
          </w:r>
          <w:r>
            <w:rPr>
              <w:color w:val="586273"/>
              <w:sz w:val="16"/>
            </w:rPr>
            <w:fldChar w:fldCharType="end"/>
          </w:r>
        </w:p>
      </w:tc>
    </w:tr>
  </w:tbl>
  <w:p>
    <w:pPr>
      <w:pStyle w:val="Footer"/>
      <w:spacing w:before="0" w:after="0" w:line="24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
      <w:rPr>
        <w:b/>
        <w:color w:val="071C4F"/>
        <w:sz w:val="16"/>
      </w:rPr>
      <w:t>LOGICMONITOR  |  EXAMPLE CORP / INFOSYS HEALTH CHECK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s="Arial"/>
      <w:i w:val="0"/>
      <w:color w:val="1E24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Arial" w:hAnsi="Arial" w:cs="Arial"/>
      <w:b/>
      <w:bCs/>
      <w:i w:val="0"/>
      <w:color w:val="071C4F"/>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Arial" w:hAnsi="Arial" w:cs="Arial"/>
      <w:b/>
      <w:bCs/>
      <w:i w:val="0"/>
      <w:color w:val="0D2A6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Arial" w:hAnsi="Arial" w:cs="Arial"/>
      <w:b/>
      <w:bCs/>
      <w:i w:val="0"/>
      <w:color w:val="006FF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Arial" w:hAnsi="Arial" w:cs="Arial"/>
      <w:b/>
      <w:i w:val="0"/>
      <w:color w:val="071C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Arial" w:hAnsi="Arial" w:cs="Arial"/>
      <w:b w:val="0"/>
      <w:bCs/>
      <w:i w:val="0"/>
      <w:color w:val="5862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Corp / Infosys - LM Envision Customer Health Check</dc:title>
  <dc:subject>Customer health check and Edwin AI readiness assessment</dc:subject>
  <dc:creator>Infosys LogicMonitor Practice</dc:creator>
  <cp:keywords>Infosys, LogicMonitor, LM Envision, Edwin AI, health check</cp:keywords>
  <dc:description>Generated from the LogicMonitor REST API by the Infosys health check report tool.</dc:description>
  <cp:lastModifiedBy>Infosys LogicMonitor Practice</cp:lastModifiedBy>
  <cp:revision>1</cp:revision>
  <dcterms:created xsi:type="dcterms:W3CDTF">2026-10-20T04:30:00Z</dcterms:created>
  <dcterms:modified xsi:type="dcterms:W3CDTF">2026-10-20T04:30:00Z</dcterms:modified>
  <cp:category>Health check</cp:category>
</cp:coreProperties>
</file>