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Changing the Sheet or Drive Folder</w:t>
      </w:r>
    </w:p>
    <w:p>
      <w:pPr>
        <w:spacing w:after="300"/>
      </w:pPr>
      <w:r>
        <w:rPr>
          <w:i/>
          <w:iCs/>
          <w:color w:val="555555"/>
          <w:sz w:val="22"/>
          <w:szCs w:val="22"/>
        </w:rPr>
        <w:t xml:space="preserve">Reference guide — what to update if you ever point the Invoice Automation workflow at a different Google Sheet or Drive folder</w:t>
      </w:r>
    </w:p>
    <w:p>
      <w:pPr>
        <w:pStyle w:val="Heading1"/>
        <w:spacing w:after="130" w:before="260"/>
      </w:pPr>
      <w:r>
        <w:t xml:space="preserve">Short answer</w:t>
      </w:r>
    </w:p>
    <w:p>
      <w:pPr>
        <w:spacing w:after="100"/>
      </w:pPr>
      <w:r>
        <w:t xml:space="preserve">Six nodes in the workflow are pinned to your current sheet and folder. Switching either one means updating all of those in one pass, not just changing one setting. Nothing else in the workflow needs to change — the matching logic, email templates, and send rules all stay exactly the same regardless of where the data lives.</w:t>
      </w:r>
    </w:p>
    <w:p>
      <w:pPr>
        <w:pStyle w:val="Heading1"/>
        <w:spacing w:after="130" w:before="260"/>
      </w:pPr>
      <w:r>
        <w:t xml:space="preserve">Which nodes are affected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175"/>
        <w:gridCol w:w="3175"/>
      </w:tblGrid>
      <w:tr>
        <w:tc>
          <w:tcPr>
            <w:tcW w:type="dxa" w:w="3000"/>
            <w:shd w:fill="4472C4" w:val="clear"/>
          </w:tcPr>
          <w:p>
            <w:r>
              <w:rPr>
                <w:b/>
                <w:bCs/>
                <w:color w:val="FFFFFF"/>
                <w:sz w:val="20"/>
                <w:szCs w:val="20"/>
              </w:rPr>
              <w:t xml:space="preserve">Node</w:t>
            </w:r>
          </w:p>
        </w:tc>
        <w:tc>
          <w:tcPr>
            <w:tcW w:type="dxa" w:w="3175"/>
            <w:shd w:fill="4472C4" w:val="clear"/>
          </w:tcPr>
          <w:p>
            <w:r>
              <w:rPr>
                <w:b/>
                <w:bCs/>
                <w:color w:val="FFFFFF"/>
                <w:sz w:val="20"/>
                <w:szCs w:val="20"/>
              </w:rPr>
              <w:t xml:space="preserve">Points at</w:t>
            </w:r>
          </w:p>
        </w:tc>
        <w:tc>
          <w:tcPr>
            <w:tcW w:type="dxa" w:w="3175"/>
            <w:shd w:fill="4472C4" w:val="clear"/>
          </w:tcPr>
          <w:p>
            <w:r>
              <w:rPr>
                <w:b/>
                <w:bCs/>
                <w:color w:val="FFFFFF"/>
                <w:sz w:val="20"/>
                <w:szCs w:val="20"/>
              </w:rPr>
              <w:t xml:space="preserve">Needs updating if you change...</w:t>
            </w:r>
          </w:p>
        </w:tc>
      </w:tr>
      <w:tr>
        <w:tc>
          <w:tcPr>
            <w:tcW w:type="dxa" w:w="3000"/>
          </w:tcPr>
          <w:p>
            <w:r>
              <w:rPr>
                <w:b w:val="false"/>
                <w:bCs w:val="false"/>
                <w:sz w:val="20"/>
                <w:szCs w:val="20"/>
              </w:rPr>
              <w:t xml:space="preserve">Read Account Tracker</w:t>
            </w:r>
          </w:p>
        </w:tc>
        <w:tc>
          <w:tcPr>
            <w:tcW w:type="dxa" w:w="3175"/>
          </w:tcPr>
          <w:p>
            <w:r>
              <w:rPr>
                <w:b w:val="false"/>
                <w:bCs w:val="false"/>
                <w:sz w:val="20"/>
                <w:szCs w:val="20"/>
              </w:rPr>
              <w:t xml:space="preserve">Account Tracker sheet + tab</w:t>
            </w:r>
          </w:p>
        </w:tc>
        <w:tc>
          <w:tcPr>
            <w:tcW w:type="dxa" w:w="3175"/>
          </w:tcPr>
          <w:p>
            <w:r>
              <w:rPr>
                <w:b w:val="false"/>
                <w:bCs w:val="false"/>
                <w:sz w:val="20"/>
                <w:szCs w:val="20"/>
              </w:rPr>
              <w:t xml:space="preserve">The sheet</w:t>
            </w:r>
          </w:p>
        </w:tc>
      </w:tr>
      <w:tr>
        <w:tc>
          <w:tcPr>
            <w:tcW w:type="dxa" w:w="3000"/>
          </w:tcPr>
          <w:p>
            <w:r>
              <w:rPr>
                <w:b w:val="false"/>
                <w:bCs w:val="false"/>
                <w:sz w:val="20"/>
                <w:szCs w:val="20"/>
              </w:rPr>
              <w:t xml:space="preserve">Update Sent Status</w:t>
            </w:r>
          </w:p>
        </w:tc>
        <w:tc>
          <w:tcPr>
            <w:tcW w:type="dxa" w:w="3175"/>
          </w:tcPr>
          <w:p>
            <w:r>
              <w:rPr>
                <w:b w:val="false"/>
                <w:bCs w:val="false"/>
                <w:sz w:val="20"/>
                <w:szCs w:val="20"/>
              </w:rPr>
              <w:t xml:space="preserve">Account Tracker sheet + tab</w:t>
            </w:r>
          </w:p>
        </w:tc>
        <w:tc>
          <w:tcPr>
            <w:tcW w:type="dxa" w:w="3175"/>
          </w:tcPr>
          <w:p>
            <w:r>
              <w:rPr>
                <w:b w:val="false"/>
                <w:bCs w:val="false"/>
                <w:sz w:val="20"/>
                <w:szCs w:val="20"/>
              </w:rPr>
              <w:t xml:space="preserve">The sheet</w:t>
            </w:r>
          </w:p>
        </w:tc>
      </w:tr>
      <w:tr>
        <w:tc>
          <w:tcPr>
            <w:tcW w:type="dxa" w:w="3000"/>
          </w:tcPr>
          <w:p>
            <w:r>
              <w:rPr>
                <w:b w:val="false"/>
                <w:bCs w:val="false"/>
                <w:sz w:val="20"/>
                <w:szCs w:val="20"/>
              </w:rPr>
              <w:t xml:space="preserve">Read Run History</w:t>
            </w:r>
          </w:p>
        </w:tc>
        <w:tc>
          <w:tcPr>
            <w:tcW w:type="dxa" w:w="3175"/>
          </w:tcPr>
          <w:p>
            <w:r>
              <w:rPr>
                <w:b w:val="false"/>
                <w:bCs w:val="false"/>
                <w:sz w:val="20"/>
                <w:szCs w:val="20"/>
              </w:rPr>
              <w:t xml:space="preserve">Run History tab</w:t>
            </w:r>
          </w:p>
        </w:tc>
        <w:tc>
          <w:tcPr>
            <w:tcW w:type="dxa" w:w="3175"/>
          </w:tcPr>
          <w:p>
            <w:r>
              <w:rPr>
                <w:b w:val="false"/>
                <w:bCs w:val="false"/>
                <w:sz w:val="20"/>
                <w:szCs w:val="20"/>
              </w:rPr>
              <w:t xml:space="preserve">The sheet</w:t>
            </w:r>
          </w:p>
        </w:tc>
      </w:tr>
      <w:tr>
        <w:tc>
          <w:tcPr>
            <w:tcW w:type="dxa" w:w="3000"/>
          </w:tcPr>
          <w:p>
            <w:r>
              <w:rPr>
                <w:b w:val="false"/>
                <w:bCs w:val="false"/>
                <w:sz w:val="20"/>
                <w:szCs w:val="20"/>
              </w:rPr>
              <w:t xml:space="preserve">Append Run History</w:t>
            </w:r>
          </w:p>
        </w:tc>
        <w:tc>
          <w:tcPr>
            <w:tcW w:type="dxa" w:w="3175"/>
          </w:tcPr>
          <w:p>
            <w:r>
              <w:rPr>
                <w:b w:val="false"/>
                <w:bCs w:val="false"/>
                <w:sz w:val="20"/>
                <w:szCs w:val="20"/>
              </w:rPr>
              <w:t xml:space="preserve">Run History tab</w:t>
            </w:r>
          </w:p>
        </w:tc>
        <w:tc>
          <w:tcPr>
            <w:tcW w:type="dxa" w:w="3175"/>
          </w:tcPr>
          <w:p>
            <w:r>
              <w:rPr>
                <w:b w:val="false"/>
                <w:bCs w:val="false"/>
                <w:sz w:val="20"/>
                <w:szCs w:val="20"/>
              </w:rPr>
              <w:t xml:space="preserve">The sheet</w:t>
            </w:r>
          </w:p>
        </w:tc>
      </w:tr>
      <w:tr>
        <w:tc>
          <w:tcPr>
            <w:tcW w:type="dxa" w:w="3000"/>
          </w:tcPr>
          <w:p>
            <w:r>
              <w:rPr>
                <w:b w:val="false"/>
                <w:bCs w:val="false"/>
                <w:sz w:val="20"/>
                <w:szCs w:val="20"/>
              </w:rPr>
              <w:t xml:space="preserve">List Invoice Files</w:t>
            </w:r>
          </w:p>
        </w:tc>
        <w:tc>
          <w:tcPr>
            <w:tcW w:type="dxa" w:w="3175"/>
          </w:tcPr>
          <w:p>
            <w:r>
              <w:rPr>
                <w:b w:val="false"/>
                <w:bCs w:val="false"/>
                <w:sz w:val="20"/>
                <w:szCs w:val="20"/>
              </w:rPr>
              <w:t xml:space="preserve">Drive folder</w:t>
            </w:r>
          </w:p>
        </w:tc>
        <w:tc>
          <w:tcPr>
            <w:tcW w:type="dxa" w:w="3175"/>
          </w:tcPr>
          <w:p>
            <w:r>
              <w:rPr>
                <w:b w:val="false"/>
                <w:bCs w:val="false"/>
                <w:sz w:val="20"/>
                <w:szCs w:val="20"/>
              </w:rPr>
              <w:t xml:space="preserve">The folder</w:t>
            </w:r>
          </w:p>
        </w:tc>
      </w:tr>
      <w:tr>
        <w:tc>
          <w:tcPr>
            <w:tcW w:type="dxa" w:w="3000"/>
          </w:tcPr>
          <w:p>
            <w:r>
              <w:rPr>
                <w:b w:val="false"/>
                <w:bCs w:val="false"/>
                <w:sz w:val="20"/>
                <w:szCs w:val="20"/>
              </w:rPr>
              <w:t xml:space="preserve">Download Invoice PDF</w:t>
            </w:r>
          </w:p>
        </w:tc>
        <w:tc>
          <w:tcPr>
            <w:tcW w:type="dxa" w:w="3175"/>
          </w:tcPr>
          <w:p>
            <w:r>
              <w:rPr>
                <w:b w:val="false"/>
                <w:bCs w:val="false"/>
                <w:sz w:val="20"/>
                <w:szCs w:val="20"/>
              </w:rPr>
              <w:t xml:space="preserve">Drive folder (via matched file ID)</w:t>
            </w:r>
          </w:p>
        </w:tc>
        <w:tc>
          <w:tcPr>
            <w:tcW w:type="dxa" w:w="3175"/>
          </w:tcPr>
          <w:p>
            <w:r>
              <w:rPr>
                <w:b w:val="false"/>
                <w:bCs w:val="false"/>
                <w:sz w:val="20"/>
                <w:szCs w:val="20"/>
              </w:rPr>
              <w:t xml:space="preserve">The folder</w:t>
            </w:r>
          </w:p>
        </w:tc>
      </w:tr>
    </w:tbl>
    <w:p>
      <w:pPr>
        <w:pStyle w:val="Heading1"/>
        <w:spacing w:after="130" w:before="260"/>
      </w:pPr>
      <w:r>
        <w:t xml:space="preserve">What the new sheet needs, before you switch</w:t>
      </w:r>
    </w:p>
    <w:p>
      <w:pPr>
        <w:spacing w:after="100"/>
      </w:pPr>
      <w:r>
        <w:t xml:space="preserve">The new sheet's tab must have these exact column headers (spelling matters, order doesn't):</w:t>
      </w:r>
    </w:p>
    <w:p>
      <w:pPr>
        <w:pStyle w:val="ListParagraph"/>
        <w:numPr>
          <w:ilvl w:val="0"/>
          <w:numId w:val="2"/>
        </w:numPr>
        <w:spacing w:after="60"/>
      </w:pPr>
      <w:r>
        <w:t xml:space="preserve">account_id, company_name, poc_name, poc_email</w:t>
      </w:r>
    </w:p>
    <w:p>
      <w:pPr>
        <w:pStyle w:val="ListParagraph"/>
        <w:numPr>
          <w:ilvl w:val="0"/>
          <w:numId w:val="2"/>
        </w:numPr>
        <w:spacing w:after="60"/>
      </w:pPr>
      <w:r>
        <w:t xml:space="preserve">finance_contact_name, finance_email</w:t>
      </w:r>
    </w:p>
    <w:p>
      <w:pPr>
        <w:pStyle w:val="ListParagraph"/>
        <w:numPr>
          <w:ilvl w:val="0"/>
          <w:numId w:val="2"/>
        </w:numPr>
        <w:spacing w:after="60"/>
      </w:pPr>
      <w:r>
        <w:t xml:space="preserve">invoice_amount_july, outstanding_balance, months_unpaid, payment_cycle</w:t>
      </w:r>
    </w:p>
    <w:p>
      <w:pPr>
        <w:pStyle w:val="ListParagraph"/>
        <w:numPr>
          <w:ilvl w:val="0"/>
          <w:numId w:val="2"/>
        </w:numPr>
        <w:spacing w:after="60"/>
      </w:pPr>
      <w:r>
        <w:t xml:space="preserve">invoice_sent_status (can start blank)</w:t>
      </w:r>
    </w:p>
    <w:p>
      <w:pPr>
        <w:spacing w:after="100"/>
      </w:pPr>
      <w:r>
        <w:t xml:space="preserve">It also needs its own "Run History" tab — this does not carry over automatically from the old sheet. See the note below.</w:t>
      </w:r>
    </w:p>
    <w:p>
      <w:pPr>
        <w:pStyle w:val="Heading1"/>
        <w:spacing w:after="130" w:before="260"/>
      </w:pPr>
      <w:r>
        <w:t xml:space="preserve">What the new folder needs, before you switch</w:t>
      </w:r>
    </w:p>
    <w:p>
      <w:pPr>
        <w:spacing w:after="100"/>
      </w:pPr>
      <w:r>
        <w:t xml:space="preserve">Every PDF filename in the new folder must contain that row's account_id somewhere in the name (e.g. ACC-2000_Invoice_August2026.pdf). The matching logic looks for this as a substring, so exact formatting around it doesn't matter — only that the account_id itself appears in the filename.</w:t>
      </w:r>
    </w:p>
    <w:p>
      <w:pPr>
        <w:pStyle w:val="Heading1"/>
        <w:spacing w:after="130" w:before="260"/>
      </w:pPr>
      <w:r>
        <w:t xml:space="preserve">The one thing that resets: Run History</w:t>
      </w:r>
    </w:p>
    <w:p>
      <w:pPr>
        <w:spacing w:after="100"/>
      </w:pPr>
      <w:r>
        <w:t xml:space="preserve">The “Run History” tab (used for the month-over-month comparison in your summary email) lives inside the current spreadsheet. If you switch to a new sheet, that history does not travel with you — you're starting a fresh log. The first run on the new sheet will say “No previous month on record yet,” exactly like a brand-new account would. This isn't a bug, just a side effect of history being tied to the specific spreadsheet it was built in.</w:t>
      </w:r>
    </w:p>
    <w:p>
      <w:pPr>
        <w:pStyle w:val="Heading1"/>
        <w:spacing w:after="130" w:before="260"/>
      </w:pPr>
      <w:r>
        <w:t xml:space="preserve">Steps to actually make the switch</w:t>
      </w:r>
    </w:p>
    <w:p>
      <w:pPr>
        <w:pStyle w:val="ListParagraph"/>
        <w:numPr>
          <w:ilvl w:val="0"/>
          <w:numId w:val="3"/>
        </w:numPr>
        <w:spacing w:after="60"/>
      </w:pPr>
      <w:r>
        <w:t xml:space="preserve">Confirm the new sheet has the right column headers (see above), and create a blank “Run History” tab on it.</w:t>
      </w:r>
    </w:p>
    <w:p>
      <w:pPr>
        <w:pStyle w:val="ListParagraph"/>
        <w:numPr>
          <w:ilvl w:val="0"/>
          <w:numId w:val="3"/>
        </w:numPr>
        <w:spacing w:after="60"/>
      </w:pPr>
      <w:r>
        <w:t xml:space="preserve">Get the new sheet's URL and the new Drive folder's URL.</w:t>
      </w:r>
    </w:p>
    <w:p>
      <w:pPr>
        <w:pStyle w:val="ListParagraph"/>
        <w:numPr>
          <w:ilvl w:val="0"/>
          <w:numId w:val="3"/>
        </w:numPr>
        <w:spacing w:after="60"/>
      </w:pPr>
      <w:r>
        <w:t xml:space="preserve">Update the 4 sheet-related nodes and 2 folder-related nodes to point at the new locations.</w:t>
      </w:r>
    </w:p>
    <w:p>
      <w:pPr>
        <w:pStyle w:val="ListParagraph"/>
        <w:numPr>
          <w:ilvl w:val="0"/>
          <w:numId w:val="3"/>
        </w:numPr>
        <w:spacing w:after="60"/>
      </w:pPr>
      <w:r>
        <w:t xml:space="preserve">Run the workflow once and check the Run Summary output — confirm accounts are matching correctly before letting it send anything for real.</w:t>
      </w:r>
    </w:p>
    <w:p>
      <w:pPr>
        <w:pStyle w:val="Heading1"/>
        <w:spacing w:after="130" w:before="260"/>
      </w:pPr>
      <w:r>
        <w:t xml:space="preserve">Bottom line</w:t>
      </w:r>
    </w:p>
    <w:p>
      <w:pPr>
        <w:spacing w:after="100"/>
      </w:pPr>
      <w:r>
        <w:t xml:space="preserve">This is a same-day change, not a rebuild. The workflow's logic doesn't care where the data lives — it only cares that the column names and filename pattern stay consistent. If you ever want to make this switch, this doc plus a link to the new sheet and folder is all that's needed to do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2026-07-24T12:21:29.731Z</dcterms:created>
  <dcterms:modified xsi:type="dcterms:W3CDTF">2026-07-24T12:21:29.762Z</dcterms:modified>
</cp:coreProperties>
</file>

<file path=docProps/custom.xml><?xml version="1.0" encoding="utf-8"?>
<Properties xmlns="http://schemas.openxmlformats.org/officeDocument/2006/custom-properties" xmlns:vt="http://schemas.openxmlformats.org/officeDocument/2006/docPropsVTypes"/>
</file>