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Information Security, Acceptable Use and Data Handling Policy</w:t>
      </w:r>
    </w:p>
    <w:p>
      <w:pPr>
        <w:jc w:val="left"/>
      </w:pPr>
      <w:r>
        <w:rPr>
          <w:color w:val="6B728E"/>
          <w:sz w:val="22"/>
        </w:rPr>
        <w:t>Sample controlled document for the HR Payroll function. Suitable as broad policy evidence across multiple organizational controls.</w:t>
      </w:r>
    </w:p>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tcMar>
              <w:top w:w="90" w:type="dxa"/>
              <w:start w:w="120" w:type="dxa"/>
              <w:bottom w:w="90" w:type="dxa"/>
              <w:end w:w="120" w:type="dxa"/>
            </w:tcMar>
            <w:vAlign w:val="center"/>
          </w:tcPr>
          <w:p>
            <w:r>
              <w:rPr>
                <w:b/>
                <w:color w:val="212D63"/>
                <w:sz w:val="19"/>
              </w:rPr>
              <w:t>Document ID</w:t>
            </w:r>
          </w:p>
        </w:tc>
        <w:tc>
          <w:tcPr>
            <w:tcW w:type="dxa" w:w="2493"/>
            <w:tcMar>
              <w:top w:w="90" w:type="dxa"/>
              <w:start w:w="120" w:type="dxa"/>
              <w:bottom w:w="90" w:type="dxa"/>
              <w:end w:w="120" w:type="dxa"/>
            </w:tcMar>
            <w:vAlign w:val="center"/>
          </w:tcPr>
          <w:p>
            <w:r>
              <w:rPr>
                <w:sz w:val="19"/>
              </w:rPr>
              <w:t>HRP-INFOR</w:t>
            </w:r>
          </w:p>
        </w:tc>
        <w:tc>
          <w:tcPr>
            <w:tcW w:type="dxa" w:w="2493"/>
            <w:tcMar>
              <w:top w:w="90" w:type="dxa"/>
              <w:start w:w="120" w:type="dxa"/>
              <w:bottom w:w="90" w:type="dxa"/>
              <w:end w:w="120" w:type="dxa"/>
            </w:tcMar>
            <w:vAlign w:val="center"/>
          </w:tcPr>
          <w:p>
            <w:r>
              <w:rPr>
                <w:b/>
                <w:color w:val="212D63"/>
                <w:sz w:val="19"/>
              </w:rPr>
              <w:t>Version</w:t>
            </w:r>
          </w:p>
        </w:tc>
        <w:tc>
          <w:tcPr>
            <w:tcW w:type="dxa" w:w="2493"/>
            <w:tcMar>
              <w:top w:w="90" w:type="dxa"/>
              <w:start w:w="120" w:type="dxa"/>
              <w:bottom w:w="90" w:type="dxa"/>
              <w:end w:w="120" w:type="dxa"/>
            </w:tcMar>
            <w:vAlign w:val="center"/>
          </w:tcPr>
          <w:p>
            <w:r>
              <w:rPr>
                <w:sz w:val="19"/>
              </w:rPr>
              <w:t>1.0</w:t>
            </w:r>
          </w:p>
        </w:tc>
      </w:tr>
      <w:tr>
        <w:tc>
          <w:tcPr>
            <w:tcW w:type="dxa" w:w="2493"/>
            <w:tcMar>
              <w:top w:w="90" w:type="dxa"/>
              <w:start w:w="120" w:type="dxa"/>
              <w:bottom w:w="90" w:type="dxa"/>
              <w:end w:w="120" w:type="dxa"/>
            </w:tcMar>
            <w:vAlign w:val="center"/>
          </w:tcPr>
          <w:p>
            <w:r>
              <w:rPr>
                <w:b/>
                <w:color w:val="212D63"/>
                <w:sz w:val="19"/>
              </w:rPr>
              <w:t>Effective Date</w:t>
            </w:r>
          </w:p>
        </w:tc>
        <w:tc>
          <w:tcPr>
            <w:tcW w:type="dxa" w:w="2493"/>
            <w:tcMar>
              <w:top w:w="90" w:type="dxa"/>
              <w:start w:w="120" w:type="dxa"/>
              <w:bottom w:w="90" w:type="dxa"/>
              <w:end w:w="120" w:type="dxa"/>
            </w:tcMar>
            <w:vAlign w:val="center"/>
          </w:tcPr>
          <w:p>
            <w:r>
              <w:rPr>
                <w:sz w:val="19"/>
              </w:rPr>
              <w:t>01 Apr 2026</w:t>
            </w:r>
          </w:p>
        </w:tc>
        <w:tc>
          <w:tcPr>
            <w:tcW w:type="dxa" w:w="2493"/>
            <w:tcMar>
              <w:top w:w="90" w:type="dxa"/>
              <w:start w:w="120" w:type="dxa"/>
              <w:bottom w:w="90" w:type="dxa"/>
              <w:end w:w="120" w:type="dxa"/>
            </w:tcMar>
            <w:vAlign w:val="center"/>
          </w:tcPr>
          <w:p>
            <w:r>
              <w:rPr>
                <w:b/>
                <w:color w:val="212D63"/>
                <w:sz w:val="19"/>
              </w:rPr>
              <w:t>Next Review Date</w:t>
            </w:r>
          </w:p>
        </w:tc>
        <w:tc>
          <w:tcPr>
            <w:tcW w:type="dxa" w:w="2493"/>
            <w:tcMar>
              <w:top w:w="90" w:type="dxa"/>
              <w:start w:w="120" w:type="dxa"/>
              <w:bottom w:w="90" w:type="dxa"/>
              <w:end w:w="120" w:type="dxa"/>
            </w:tcMar>
            <w:vAlign w:val="center"/>
          </w:tcPr>
          <w:p>
            <w:r>
              <w:rPr>
                <w:sz w:val="19"/>
              </w:rPr>
              <w:t>01 Apr 2027</w:t>
            </w:r>
          </w:p>
        </w:tc>
      </w:tr>
      <w:tr>
        <w:tc>
          <w:tcPr>
            <w:tcW w:type="dxa" w:w="2493"/>
            <w:tcMar>
              <w:top w:w="90" w:type="dxa"/>
              <w:start w:w="120" w:type="dxa"/>
              <w:bottom w:w="90" w:type="dxa"/>
              <w:end w:w="120" w:type="dxa"/>
            </w:tcMar>
            <w:vAlign w:val="center"/>
          </w:tcPr>
          <w:p>
            <w:r>
              <w:rPr>
                <w:b/>
                <w:color w:val="212D63"/>
                <w:sz w:val="19"/>
              </w:rPr>
              <w:t>Owner</w:t>
            </w:r>
          </w:p>
        </w:tc>
        <w:tc>
          <w:tcPr>
            <w:tcW w:type="dxa" w:w="2493"/>
            <w:tcMar>
              <w:top w:w="90" w:type="dxa"/>
              <w:start w:w="120" w:type="dxa"/>
              <w:bottom w:w="90" w:type="dxa"/>
              <w:end w:w="120" w:type="dxa"/>
            </w:tcMar>
            <w:vAlign w:val="center"/>
          </w:tcPr>
          <w:p>
            <w:r>
              <w:rPr>
                <w:sz w:val="19"/>
              </w:rPr>
              <w:t>HR Operations Manager</w:t>
            </w:r>
          </w:p>
        </w:tc>
        <w:tc>
          <w:tcPr>
            <w:tcW w:type="dxa" w:w="2493"/>
            <w:tcMar>
              <w:top w:w="90" w:type="dxa"/>
              <w:start w:w="120" w:type="dxa"/>
              <w:bottom w:w="90" w:type="dxa"/>
              <w:end w:w="120" w:type="dxa"/>
            </w:tcMar>
            <w:vAlign w:val="center"/>
          </w:tcPr>
          <w:p>
            <w:r>
              <w:rPr>
                <w:b/>
                <w:color w:val="212D63"/>
                <w:sz w:val="19"/>
              </w:rPr>
              <w:t>Reviewer</w:t>
            </w:r>
          </w:p>
        </w:tc>
        <w:tc>
          <w:tcPr>
            <w:tcW w:type="dxa" w:w="2493"/>
            <w:tcMar>
              <w:top w:w="90" w:type="dxa"/>
              <w:start w:w="120" w:type="dxa"/>
              <w:bottom w:w="90" w:type="dxa"/>
              <w:end w:w="120" w:type="dxa"/>
            </w:tcMar>
            <w:vAlign w:val="center"/>
          </w:tcPr>
          <w:p>
            <w:r>
              <w:rPr>
                <w:sz w:val="19"/>
              </w:rPr>
              <w:t>IT Security Manager</w:t>
            </w:r>
          </w:p>
        </w:tc>
      </w:tr>
      <w:tr>
        <w:tc>
          <w:tcPr>
            <w:tcW w:type="dxa" w:w="2493"/>
            <w:tcMar>
              <w:top w:w="90" w:type="dxa"/>
              <w:start w:w="120" w:type="dxa"/>
              <w:bottom w:w="90" w:type="dxa"/>
              <w:end w:w="120" w:type="dxa"/>
            </w:tcMar>
            <w:vAlign w:val="center"/>
          </w:tcPr>
          <w:p>
            <w:r>
              <w:rPr>
                <w:b/>
                <w:color w:val="212D63"/>
                <w:sz w:val="19"/>
              </w:rPr>
              <w:t>Approver</w:t>
            </w:r>
          </w:p>
        </w:tc>
        <w:tc>
          <w:tcPr>
            <w:tcW w:type="dxa" w:w="2493"/>
            <w:tcMar>
              <w:top w:w="90" w:type="dxa"/>
              <w:start w:w="120" w:type="dxa"/>
              <w:bottom w:w="90" w:type="dxa"/>
              <w:end w:w="120" w:type="dxa"/>
            </w:tcMar>
            <w:vAlign w:val="center"/>
          </w:tcPr>
          <w:p>
            <w:r>
              <w:rPr>
                <w:sz w:val="19"/>
              </w:rPr>
              <w:t>Head - Shared Services</w:t>
            </w:r>
          </w:p>
        </w:tc>
        <w:tc>
          <w:tcPr>
            <w:tcW w:type="dxa" w:w="2493"/>
            <w:tcMar>
              <w:top w:w="90" w:type="dxa"/>
              <w:start w:w="120" w:type="dxa"/>
              <w:bottom w:w="90" w:type="dxa"/>
              <w:end w:w="120" w:type="dxa"/>
            </w:tcMar>
            <w:vAlign w:val="center"/>
          </w:tcPr>
          <w:p>
            <w:r>
              <w:rPr>
                <w:b/>
                <w:color w:val="212D63"/>
                <w:sz w:val="19"/>
              </w:rPr>
              <w:t>Approval Status</w:t>
            </w:r>
          </w:p>
        </w:tc>
        <w:tc>
          <w:tcPr>
            <w:tcW w:type="dxa" w:w="2493"/>
            <w:tcMar>
              <w:top w:w="90" w:type="dxa"/>
              <w:start w:w="120" w:type="dxa"/>
              <w:bottom w:w="90" w:type="dxa"/>
              <w:end w:w="120" w:type="dxa"/>
            </w:tcMar>
            <w:vAlign w:val="center"/>
          </w:tcPr>
          <w:p>
            <w:r>
              <w:rPr>
                <w:sz w:val="19"/>
              </w:rPr>
              <w:t>Approved</w:t>
            </w:r>
          </w:p>
        </w:tc>
      </w:tr>
    </w:tbl>
    <w:p/>
    <w:p>
      <w:pPr>
        <w:pStyle w:val="Heading1"/>
      </w:pPr>
      <w:r>
        <w:t>Revision History</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tcMar>
              <w:top w:w="90" w:type="dxa"/>
              <w:start w:w="110" w:type="dxa"/>
              <w:bottom w:w="90" w:type="dxa"/>
              <w:end w:w="110" w:type="dxa"/>
            </w:tcMar>
            <w:vAlign w:val="center"/>
          </w:tcPr>
          <w:p>
            <w:r>
              <w:rPr>
                <w:b/>
                <w:color w:val="212D63"/>
                <w:sz w:val="19"/>
              </w:rPr>
              <w:t>Version</w:t>
            </w:r>
          </w:p>
        </w:tc>
        <w:tc>
          <w:tcPr>
            <w:tcW w:type="dxa" w:w="1994"/>
            <w:tcMar>
              <w:top w:w="90" w:type="dxa"/>
              <w:start w:w="110" w:type="dxa"/>
              <w:bottom w:w="90" w:type="dxa"/>
              <w:end w:w="110" w:type="dxa"/>
            </w:tcMar>
            <w:vAlign w:val="center"/>
          </w:tcPr>
          <w:p>
            <w:r>
              <w:rPr>
                <w:b/>
                <w:color w:val="212D63"/>
                <w:sz w:val="19"/>
              </w:rPr>
              <w:t>Date</w:t>
            </w:r>
          </w:p>
        </w:tc>
        <w:tc>
          <w:tcPr>
            <w:tcW w:type="dxa" w:w="1994"/>
            <w:tcMar>
              <w:top w:w="90" w:type="dxa"/>
              <w:start w:w="110" w:type="dxa"/>
              <w:bottom w:w="90" w:type="dxa"/>
              <w:end w:w="110" w:type="dxa"/>
            </w:tcMar>
            <w:vAlign w:val="center"/>
          </w:tcPr>
          <w:p>
            <w:r>
              <w:rPr>
                <w:b/>
                <w:color w:val="212D63"/>
                <w:sz w:val="19"/>
              </w:rPr>
              <w:t>Prepared By</w:t>
            </w:r>
          </w:p>
        </w:tc>
        <w:tc>
          <w:tcPr>
            <w:tcW w:type="dxa" w:w="1994"/>
            <w:tcMar>
              <w:top w:w="90" w:type="dxa"/>
              <w:start w:w="110" w:type="dxa"/>
              <w:bottom w:w="90" w:type="dxa"/>
              <w:end w:w="110" w:type="dxa"/>
            </w:tcMar>
            <w:vAlign w:val="center"/>
          </w:tcPr>
          <w:p>
            <w:r>
              <w:rPr>
                <w:b/>
                <w:color w:val="212D63"/>
                <w:sz w:val="19"/>
              </w:rPr>
              <w:t>Approved By</w:t>
            </w:r>
          </w:p>
        </w:tc>
        <w:tc>
          <w:tcPr>
            <w:tcW w:type="dxa" w:w="1994"/>
            <w:tcMar>
              <w:top w:w="90" w:type="dxa"/>
              <w:start w:w="110" w:type="dxa"/>
              <w:bottom w:w="90" w:type="dxa"/>
              <w:end w:w="110" w:type="dxa"/>
            </w:tcMar>
            <w:vAlign w:val="center"/>
          </w:tcPr>
          <w:p>
            <w:r>
              <w:rPr>
                <w:b/>
                <w:color w:val="212D63"/>
                <w:sz w:val="19"/>
              </w:rPr>
              <w:t>Change Summary</w:t>
            </w:r>
          </w:p>
        </w:tc>
      </w:tr>
      <w:tr>
        <w:tc>
          <w:tcPr>
            <w:tcW w:type="dxa" w:w="1994"/>
            <w:tcMar>
              <w:top w:w="90" w:type="dxa"/>
              <w:start w:w="110" w:type="dxa"/>
              <w:bottom w:w="90" w:type="dxa"/>
              <w:end w:w="110" w:type="dxa"/>
            </w:tcMar>
            <w:vAlign w:val="center"/>
          </w:tcPr>
          <w:p>
            <w:r>
              <w:rPr>
                <w:sz w:val="19"/>
              </w:rPr>
              <w:t>0.9</w:t>
            </w:r>
          </w:p>
        </w:tc>
        <w:tc>
          <w:tcPr>
            <w:tcW w:type="dxa" w:w="1994"/>
            <w:tcMar>
              <w:top w:w="90" w:type="dxa"/>
              <w:start w:w="110" w:type="dxa"/>
              <w:bottom w:w="90" w:type="dxa"/>
              <w:end w:w="110" w:type="dxa"/>
            </w:tcMar>
            <w:vAlign w:val="center"/>
          </w:tcPr>
          <w:p>
            <w:r>
              <w:rPr>
                <w:sz w:val="19"/>
              </w:rPr>
              <w:t>20 Mar 2026</w:t>
            </w:r>
          </w:p>
        </w:tc>
        <w:tc>
          <w:tcPr>
            <w:tcW w:type="dxa" w:w="1994"/>
            <w:tcMar>
              <w:top w:w="90" w:type="dxa"/>
              <w:start w:w="110" w:type="dxa"/>
              <w:bottom w:w="90" w:type="dxa"/>
              <w:end w:w="110" w:type="dxa"/>
            </w:tcMar>
            <w:vAlign w:val="center"/>
          </w:tcPr>
          <w:p>
            <w:r>
              <w:rPr>
                <w:sz w:val="19"/>
              </w:rPr>
              <w:t>HR Operations Manager</w:t>
            </w:r>
          </w:p>
        </w:tc>
        <w:tc>
          <w:tcPr>
            <w:tcW w:type="dxa" w:w="1994"/>
            <w:tcMar>
              <w:top w:w="90" w:type="dxa"/>
              <w:start w:w="110" w:type="dxa"/>
              <w:bottom w:w="90" w:type="dxa"/>
              <w:end w:w="110" w:type="dxa"/>
            </w:tcMar>
            <w:vAlign w:val="center"/>
          </w:tcPr>
          <w:p>
            <w:r>
              <w:rPr>
                <w:sz w:val="19"/>
              </w:rPr>
              <w:t>IT Security Manager</w:t>
            </w:r>
          </w:p>
        </w:tc>
        <w:tc>
          <w:tcPr>
            <w:tcW w:type="dxa" w:w="1994"/>
            <w:tcMar>
              <w:top w:w="90" w:type="dxa"/>
              <w:start w:w="110" w:type="dxa"/>
              <w:bottom w:w="90" w:type="dxa"/>
              <w:end w:w="110" w:type="dxa"/>
            </w:tcMar>
            <w:vAlign w:val="center"/>
          </w:tcPr>
          <w:p>
            <w:r>
              <w:rPr>
                <w:sz w:val="19"/>
              </w:rPr>
              <w:t>Draft issued for review</w:t>
            </w:r>
          </w:p>
        </w:tc>
      </w:tr>
      <w:tr>
        <w:tc>
          <w:tcPr>
            <w:tcW w:type="dxa" w:w="1994"/>
            <w:tcMar>
              <w:top w:w="90" w:type="dxa"/>
              <w:start w:w="110" w:type="dxa"/>
              <w:bottom w:w="90" w:type="dxa"/>
              <w:end w:w="110" w:type="dxa"/>
            </w:tcMar>
            <w:vAlign w:val="center"/>
          </w:tcPr>
          <w:p>
            <w:r>
              <w:rPr>
                <w:sz w:val="19"/>
              </w:rPr>
              <w:t>1.0</w:t>
            </w:r>
          </w:p>
        </w:tc>
        <w:tc>
          <w:tcPr>
            <w:tcW w:type="dxa" w:w="1994"/>
            <w:tcMar>
              <w:top w:w="90" w:type="dxa"/>
              <w:start w:w="110" w:type="dxa"/>
              <w:bottom w:w="90" w:type="dxa"/>
              <w:end w:w="110" w:type="dxa"/>
            </w:tcMar>
            <w:vAlign w:val="center"/>
          </w:tcPr>
          <w:p>
            <w:r>
              <w:rPr>
                <w:sz w:val="19"/>
              </w:rPr>
              <w:t>01 Apr 2026</w:t>
            </w:r>
          </w:p>
        </w:tc>
        <w:tc>
          <w:tcPr>
            <w:tcW w:type="dxa" w:w="1994"/>
            <w:tcMar>
              <w:top w:w="90" w:type="dxa"/>
              <w:start w:w="110" w:type="dxa"/>
              <w:bottom w:w="90" w:type="dxa"/>
              <w:end w:w="110" w:type="dxa"/>
            </w:tcMar>
            <w:vAlign w:val="center"/>
          </w:tcPr>
          <w:p>
            <w:r>
              <w:rPr>
                <w:sz w:val="19"/>
              </w:rPr>
              <w:t>HR Operations Manager</w:t>
            </w:r>
          </w:p>
        </w:tc>
        <w:tc>
          <w:tcPr>
            <w:tcW w:type="dxa" w:w="1994"/>
            <w:tcMar>
              <w:top w:w="90" w:type="dxa"/>
              <w:start w:w="110" w:type="dxa"/>
              <w:bottom w:w="90" w:type="dxa"/>
              <w:end w:w="110" w:type="dxa"/>
            </w:tcMar>
            <w:vAlign w:val="center"/>
          </w:tcPr>
          <w:p>
            <w:r>
              <w:rPr>
                <w:sz w:val="19"/>
              </w:rPr>
              <w:t>Head - Shared Services</w:t>
            </w:r>
          </w:p>
        </w:tc>
        <w:tc>
          <w:tcPr>
            <w:tcW w:type="dxa" w:w="1994"/>
            <w:tcMar>
              <w:top w:w="90" w:type="dxa"/>
              <w:start w:w="110" w:type="dxa"/>
              <w:bottom w:w="90" w:type="dxa"/>
              <w:end w:w="110" w:type="dxa"/>
            </w:tcMar>
            <w:vAlign w:val="center"/>
          </w:tcPr>
          <w:p>
            <w:r>
              <w:rPr>
                <w:sz w:val="19"/>
              </w:rPr>
              <w:t>Approved release</w:t>
            </w:r>
          </w:p>
        </w:tc>
      </w:tr>
    </w:tbl>
    <w:p/>
    <w:p>
      <w:pPr>
        <w:pStyle w:val="Heading1"/>
      </w:pPr>
      <w:r>
        <w:t>1. Purpose and Scope</w:t>
      </w:r>
    </w:p>
    <w:p>
      <w:pPr>
        <w:spacing w:after="120"/>
      </w:pPr>
      <w:r>
        <w:t>This policy defines baseline information security expectations for the HR Payroll function, including use of the cloud HRMS, handling of employee personal data, use of company devices, and restrictions on printing or sharing HR records. It applies to HR executives, payroll staff, managers, and any support teams with approved access to HR information.</w:t>
      </w:r>
    </w:p>
    <w:p>
      <w:pPr>
        <w:pStyle w:val="Heading1"/>
      </w:pPr>
      <w:r>
        <w:t>2. Key Policy Statements</w:t>
      </w:r>
    </w:p>
    <w:p>
      <w:pPr>
        <w:pStyle w:val="ListBullet"/>
      </w:pPr>
      <w:r>
        <w:rPr>
          <w:sz w:val="21"/>
        </w:rPr>
        <w:t>Access to the HRMS shall be role-based and granted only through approved joiner, mover and leaver workflows.</w:t>
      </w:r>
    </w:p>
    <w:p>
      <w:pPr>
        <w:pStyle w:val="ListBullet"/>
      </w:pPr>
      <w:r>
        <w:rPr>
          <w:sz w:val="21"/>
        </w:rPr>
        <w:t>Employee salary, bank, tax, attendance and reimbursement data shall be treated as confidential information.</w:t>
      </w:r>
    </w:p>
    <w:p>
      <w:pPr>
        <w:pStyle w:val="ListBullet"/>
      </w:pPr>
      <w:r>
        <w:rPr>
          <w:sz w:val="21"/>
        </w:rPr>
        <w:t>Company laptops and approved VPN shall be used for remote access to HR systems.</w:t>
      </w:r>
    </w:p>
    <w:p>
      <w:pPr>
        <w:pStyle w:val="ListBullet"/>
      </w:pPr>
      <w:r>
        <w:rPr>
          <w:sz w:val="21"/>
        </w:rPr>
        <w:t>Personal email, consumer messaging apps and unmanaged devices shall not be used to store or share HR records.</w:t>
      </w:r>
    </w:p>
    <w:p>
      <w:pPr>
        <w:pStyle w:val="ListBullet"/>
      </w:pPr>
      <w:r>
        <w:rPr>
          <w:sz w:val="21"/>
        </w:rPr>
        <w:t>Printed HR documents shall be kept to a minimum and stored in locked cabinets when retention is required.</w:t>
      </w:r>
    </w:p>
    <w:p>
      <w:pPr>
        <w:pStyle w:val="ListBullet"/>
      </w:pPr>
      <w:r>
        <w:rPr>
          <w:sz w:val="21"/>
        </w:rPr>
        <w:t>Users shall comply with password, screen lock, antivirus and device encryption requirements managed by enterprise IT.</w:t>
      </w:r>
    </w:p>
    <w:p>
      <w:pPr>
        <w:pStyle w:val="Heading1"/>
      </w:pPr>
      <w:r>
        <w:t>3. Data Handling and Classification</w:t>
      </w:r>
    </w:p>
    <w:p>
      <w:pPr>
        <w:pStyle w:val="ListBullet"/>
      </w:pPr>
      <w:r>
        <w:rPr>
          <w:sz w:val="21"/>
        </w:rPr>
        <w:t>HR records are classified as Confidential.</w:t>
      </w:r>
    </w:p>
    <w:p>
      <w:pPr>
        <w:pStyle w:val="ListBullet"/>
      </w:pPr>
      <w:r>
        <w:rPr>
          <w:sz w:val="21"/>
        </w:rPr>
        <w:t>Confidential HR records shall be shared only with authorised internal recipients on a need-to-know basis.</w:t>
      </w:r>
    </w:p>
    <w:p>
      <w:pPr>
        <w:pStyle w:val="ListBullet"/>
      </w:pPr>
      <w:r>
        <w:rPr>
          <w:sz w:val="21"/>
        </w:rPr>
        <w:t>Exports from the HRMS shall be stored only in approved repositories with retention controls.</w:t>
      </w:r>
    </w:p>
    <w:p>
      <w:pPr>
        <w:pStyle w:val="ListBullet"/>
      </w:pPr>
      <w:r>
        <w:rPr>
          <w:sz w:val="21"/>
        </w:rPr>
        <w:t>Any suspected misuse, leakage or accidental exposure of HR information shall be reported through the incident reporting process without delay.</w:t>
      </w:r>
    </w:p>
    <w:p>
      <w:pPr>
        <w:pStyle w:val="Heading1"/>
      </w:pPr>
      <w:r>
        <w:t>4. Review and Exceptions</w:t>
      </w:r>
    </w:p>
    <w:p>
      <w:pPr>
        <w:spacing w:after="120"/>
      </w:pPr>
      <w:r>
        <w:t>This policy shall be reviewed annually or sooner if there is a major change to the HRMS, remote working model, or legal and privacy obligations. Any exception shall be approved by the document owner and reviewed by IT Security.</w:t>
      </w:r>
    </w:p>
    <w:p>
      <w:pPr>
        <w:pStyle w:val="Heading1"/>
      </w:pPr>
      <w:r>
        <w:t>Review and Approval</w:t>
      </w:r>
    </w:p>
    <w:tbl>
      <w:tblPr>
        <w:tblStyle w:val="TableGrid"/>
        <w:tblW w:type="auto" w:w="0"/>
        <w:jc w:val="left"/>
        <w:tblLook w:firstColumn="1" w:firstRow="1" w:lastColumn="0" w:lastRow="0" w:noHBand="0" w:noVBand="1" w:val="04A0"/>
      </w:tblPr>
      <w:tblGrid>
        <w:gridCol w:w="3324"/>
        <w:gridCol w:w="3324"/>
        <w:gridCol w:w="3324"/>
      </w:tblGrid>
      <w:tr>
        <w:tc>
          <w:tcPr>
            <w:tcW w:type="dxa" w:w="3324"/>
            <w:tcMar>
              <w:top w:w="120" w:type="dxa"/>
              <w:start w:w="120" w:type="dxa"/>
              <w:bottom w:w="120" w:type="dxa"/>
              <w:end w:w="120" w:type="dxa"/>
            </w:tcMar>
            <w:vAlign w:val="center"/>
          </w:tcPr>
          <w:p>
            <w:r>
              <w:rPr>
                <w:sz w:val="19"/>
              </w:rPr>
              <w:t>Prepared By</w:t>
            </w:r>
          </w:p>
        </w:tc>
        <w:tc>
          <w:tcPr>
            <w:tcW w:type="dxa" w:w="3324"/>
            <w:tcMar>
              <w:top w:w="120" w:type="dxa"/>
              <w:start w:w="120" w:type="dxa"/>
              <w:bottom w:w="120" w:type="dxa"/>
              <w:end w:w="120" w:type="dxa"/>
            </w:tcMar>
            <w:vAlign w:val="center"/>
          </w:tcPr>
          <w:p>
            <w:r>
              <w:rPr>
                <w:sz w:val="19"/>
              </w:rPr>
              <w:t>Reviewed By</w:t>
            </w:r>
          </w:p>
        </w:tc>
        <w:tc>
          <w:tcPr>
            <w:tcW w:type="dxa" w:w="3324"/>
            <w:tcMar>
              <w:top w:w="120" w:type="dxa"/>
              <w:start w:w="120" w:type="dxa"/>
              <w:bottom w:w="120" w:type="dxa"/>
              <w:end w:w="120" w:type="dxa"/>
            </w:tcMar>
            <w:vAlign w:val="center"/>
          </w:tcPr>
          <w:p>
            <w:r>
              <w:rPr>
                <w:sz w:val="19"/>
              </w:rPr>
              <w:t>Approved By</w:t>
            </w:r>
          </w:p>
        </w:tc>
      </w:tr>
      <w:tr>
        <w:tc>
          <w:tcPr>
            <w:tcW w:type="dxa" w:w="3324"/>
            <w:tcMar>
              <w:top w:w="120" w:type="dxa"/>
              <w:start w:w="120" w:type="dxa"/>
              <w:bottom w:w="120" w:type="dxa"/>
              <w:end w:w="120" w:type="dxa"/>
            </w:tcMar>
            <w:vAlign w:val="center"/>
          </w:tcPr>
          <w:p>
            <w:r>
              <w:rPr>
                <w:sz w:val="19"/>
              </w:rPr>
              <w:t>HR Operations Manager</w:t>
              <w:br/>
              <w:t>Signed electronically</w:t>
              <w:br/>
              <w:t>Date: 01 Apr 2026</w:t>
            </w:r>
          </w:p>
        </w:tc>
        <w:tc>
          <w:tcPr>
            <w:tcW w:type="dxa" w:w="3324"/>
            <w:tcMar>
              <w:top w:w="120" w:type="dxa"/>
              <w:start w:w="120" w:type="dxa"/>
              <w:bottom w:w="120" w:type="dxa"/>
              <w:end w:w="120" w:type="dxa"/>
            </w:tcMar>
            <w:vAlign w:val="center"/>
          </w:tcPr>
          <w:p>
            <w:r>
              <w:rPr>
                <w:sz w:val="19"/>
              </w:rPr>
              <w:t>IT Security Manager</w:t>
              <w:br/>
              <w:t>Signed electronically</w:t>
              <w:br/>
              <w:t>Date: 01 Apr 2026</w:t>
            </w:r>
          </w:p>
        </w:tc>
        <w:tc>
          <w:tcPr>
            <w:tcW w:type="dxa" w:w="3324"/>
            <w:tcMar>
              <w:top w:w="120" w:type="dxa"/>
              <w:start w:w="120" w:type="dxa"/>
              <w:bottom w:w="120" w:type="dxa"/>
              <w:end w:w="120" w:type="dxa"/>
            </w:tcMar>
            <w:vAlign w:val="center"/>
          </w:tcPr>
          <w:p>
            <w:r>
              <w:rPr>
                <w:sz w:val="19"/>
              </w:rPr>
              <w:t>Head - Shared Services</w:t>
              <w:br/>
              <w:t>Signed electronically</w:t>
              <w:br/>
              <w:t>Date: 01 Apr 2026</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E"/>
        <w:sz w:val="16"/>
      </w:rPr>
      <w:t>Information Security, Acceptable Use and Data Handling Policy  |  HR Payroll Evidence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12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318F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12D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