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HRMS User Access Management and Joiner-Mover-Leaver Procedure</w:t>
      </w:r>
    </w:p>
    <w:p>
      <w:pPr>
        <w:jc w:val="left"/>
      </w:pPr>
      <w:r>
        <w:rPr>
          <w:color w:val="6B728E"/>
          <w:sz w:val="22"/>
        </w:rPr>
        <w:t>Sample operational procedure covering request, approval, provisioning, review and revocation of HRMS access.</w:t>
      </w:r>
    </w:p>
    <w:p/>
    <w:tbl>
      <w:tblPr>
        <w:tblStyle w:val="TableGrid"/>
        <w:tblW w:type="auto" w:w="0"/>
        <w:jc w:val="left"/>
        <w:tblLook w:firstColumn="1" w:firstRow="1" w:lastColumn="0" w:lastRow="0" w:noHBand="0" w:noVBand="1" w:val="04A0"/>
      </w:tblPr>
      <w:tblGrid>
        <w:gridCol w:w="2493"/>
        <w:gridCol w:w="2493"/>
        <w:gridCol w:w="2493"/>
        <w:gridCol w:w="2493"/>
      </w:tblGrid>
      <w:tr>
        <w:tc>
          <w:tcPr>
            <w:tcW w:type="dxa" w:w="2493"/>
            <w:tcMar>
              <w:top w:w="90" w:type="dxa"/>
              <w:start w:w="120" w:type="dxa"/>
              <w:bottom w:w="90" w:type="dxa"/>
              <w:end w:w="120" w:type="dxa"/>
            </w:tcMar>
            <w:vAlign w:val="center"/>
          </w:tcPr>
          <w:p>
            <w:r>
              <w:rPr>
                <w:b/>
                <w:color w:val="212D63"/>
                <w:sz w:val="19"/>
              </w:rPr>
              <w:t>Document ID</w:t>
            </w:r>
          </w:p>
        </w:tc>
        <w:tc>
          <w:tcPr>
            <w:tcW w:type="dxa" w:w="2493"/>
            <w:tcMar>
              <w:top w:w="90" w:type="dxa"/>
              <w:start w:w="120" w:type="dxa"/>
              <w:bottom w:w="90" w:type="dxa"/>
              <w:end w:w="120" w:type="dxa"/>
            </w:tcMar>
            <w:vAlign w:val="center"/>
          </w:tcPr>
          <w:p>
            <w:r>
              <w:rPr>
                <w:sz w:val="19"/>
              </w:rPr>
              <w:t>HRP-HRMSU</w:t>
            </w:r>
          </w:p>
        </w:tc>
        <w:tc>
          <w:tcPr>
            <w:tcW w:type="dxa" w:w="2493"/>
            <w:tcMar>
              <w:top w:w="90" w:type="dxa"/>
              <w:start w:w="120" w:type="dxa"/>
              <w:bottom w:w="90" w:type="dxa"/>
              <w:end w:w="120" w:type="dxa"/>
            </w:tcMar>
            <w:vAlign w:val="center"/>
          </w:tcPr>
          <w:p>
            <w:r>
              <w:rPr>
                <w:b/>
                <w:color w:val="212D63"/>
                <w:sz w:val="19"/>
              </w:rPr>
              <w:t>Version</w:t>
            </w:r>
          </w:p>
        </w:tc>
        <w:tc>
          <w:tcPr>
            <w:tcW w:type="dxa" w:w="2493"/>
            <w:tcMar>
              <w:top w:w="90" w:type="dxa"/>
              <w:start w:w="120" w:type="dxa"/>
              <w:bottom w:w="90" w:type="dxa"/>
              <w:end w:w="120" w:type="dxa"/>
            </w:tcMar>
            <w:vAlign w:val="center"/>
          </w:tcPr>
          <w:p>
            <w:r>
              <w:rPr>
                <w:sz w:val="19"/>
              </w:rPr>
              <w:t>1.0</w:t>
            </w:r>
          </w:p>
        </w:tc>
      </w:tr>
      <w:tr>
        <w:tc>
          <w:tcPr>
            <w:tcW w:type="dxa" w:w="2493"/>
            <w:tcMar>
              <w:top w:w="90" w:type="dxa"/>
              <w:start w:w="120" w:type="dxa"/>
              <w:bottom w:w="90" w:type="dxa"/>
              <w:end w:w="120" w:type="dxa"/>
            </w:tcMar>
            <w:vAlign w:val="center"/>
          </w:tcPr>
          <w:p>
            <w:r>
              <w:rPr>
                <w:b/>
                <w:color w:val="212D63"/>
                <w:sz w:val="19"/>
              </w:rPr>
              <w:t>Effective Date</w:t>
            </w:r>
          </w:p>
        </w:tc>
        <w:tc>
          <w:tcPr>
            <w:tcW w:type="dxa" w:w="2493"/>
            <w:tcMar>
              <w:top w:w="90" w:type="dxa"/>
              <w:start w:w="120" w:type="dxa"/>
              <w:bottom w:w="90" w:type="dxa"/>
              <w:end w:w="120" w:type="dxa"/>
            </w:tcMar>
            <w:vAlign w:val="center"/>
          </w:tcPr>
          <w:p>
            <w:r>
              <w:rPr>
                <w:sz w:val="19"/>
              </w:rPr>
              <w:t>01 Apr 2026</w:t>
            </w:r>
          </w:p>
        </w:tc>
        <w:tc>
          <w:tcPr>
            <w:tcW w:type="dxa" w:w="2493"/>
            <w:tcMar>
              <w:top w:w="90" w:type="dxa"/>
              <w:start w:w="120" w:type="dxa"/>
              <w:bottom w:w="90" w:type="dxa"/>
              <w:end w:w="120" w:type="dxa"/>
            </w:tcMar>
            <w:vAlign w:val="center"/>
          </w:tcPr>
          <w:p>
            <w:r>
              <w:rPr>
                <w:b/>
                <w:color w:val="212D63"/>
                <w:sz w:val="19"/>
              </w:rPr>
              <w:t>Next Review Date</w:t>
            </w:r>
          </w:p>
        </w:tc>
        <w:tc>
          <w:tcPr>
            <w:tcW w:type="dxa" w:w="2493"/>
            <w:tcMar>
              <w:top w:w="90" w:type="dxa"/>
              <w:start w:w="120" w:type="dxa"/>
              <w:bottom w:w="90" w:type="dxa"/>
              <w:end w:w="120" w:type="dxa"/>
            </w:tcMar>
            <w:vAlign w:val="center"/>
          </w:tcPr>
          <w:p>
            <w:r>
              <w:rPr>
                <w:sz w:val="19"/>
              </w:rPr>
              <w:t>01 Apr 2027</w:t>
            </w:r>
          </w:p>
        </w:tc>
      </w:tr>
      <w:tr>
        <w:tc>
          <w:tcPr>
            <w:tcW w:type="dxa" w:w="2493"/>
            <w:tcMar>
              <w:top w:w="90" w:type="dxa"/>
              <w:start w:w="120" w:type="dxa"/>
              <w:bottom w:w="90" w:type="dxa"/>
              <w:end w:w="120" w:type="dxa"/>
            </w:tcMar>
            <w:vAlign w:val="center"/>
          </w:tcPr>
          <w:p>
            <w:r>
              <w:rPr>
                <w:b/>
                <w:color w:val="212D63"/>
                <w:sz w:val="19"/>
              </w:rPr>
              <w:t>Owner</w:t>
            </w:r>
          </w:p>
        </w:tc>
        <w:tc>
          <w:tcPr>
            <w:tcW w:type="dxa" w:w="2493"/>
            <w:tcMar>
              <w:top w:w="90" w:type="dxa"/>
              <w:start w:w="120" w:type="dxa"/>
              <w:bottom w:w="90" w:type="dxa"/>
              <w:end w:w="120" w:type="dxa"/>
            </w:tcMar>
            <w:vAlign w:val="center"/>
          </w:tcPr>
          <w:p>
            <w:r>
              <w:rPr>
                <w:sz w:val="19"/>
              </w:rPr>
              <w:t>HR Operations Manager</w:t>
            </w:r>
          </w:p>
        </w:tc>
        <w:tc>
          <w:tcPr>
            <w:tcW w:type="dxa" w:w="2493"/>
            <w:tcMar>
              <w:top w:w="90" w:type="dxa"/>
              <w:start w:w="120" w:type="dxa"/>
              <w:bottom w:w="90" w:type="dxa"/>
              <w:end w:w="120" w:type="dxa"/>
            </w:tcMar>
            <w:vAlign w:val="center"/>
          </w:tcPr>
          <w:p>
            <w:r>
              <w:rPr>
                <w:b/>
                <w:color w:val="212D63"/>
                <w:sz w:val="19"/>
              </w:rPr>
              <w:t>Reviewer</w:t>
            </w:r>
          </w:p>
        </w:tc>
        <w:tc>
          <w:tcPr>
            <w:tcW w:type="dxa" w:w="2493"/>
            <w:tcMar>
              <w:top w:w="90" w:type="dxa"/>
              <w:start w:w="120" w:type="dxa"/>
              <w:bottom w:w="90" w:type="dxa"/>
              <w:end w:w="120" w:type="dxa"/>
            </w:tcMar>
            <w:vAlign w:val="center"/>
          </w:tcPr>
          <w:p>
            <w:r>
              <w:rPr>
                <w:sz w:val="19"/>
              </w:rPr>
              <w:t>IT Security Manager</w:t>
            </w:r>
          </w:p>
        </w:tc>
      </w:tr>
      <w:tr>
        <w:tc>
          <w:tcPr>
            <w:tcW w:type="dxa" w:w="2493"/>
            <w:tcMar>
              <w:top w:w="90" w:type="dxa"/>
              <w:start w:w="120" w:type="dxa"/>
              <w:bottom w:w="90" w:type="dxa"/>
              <w:end w:w="120" w:type="dxa"/>
            </w:tcMar>
            <w:vAlign w:val="center"/>
          </w:tcPr>
          <w:p>
            <w:r>
              <w:rPr>
                <w:b/>
                <w:color w:val="212D63"/>
                <w:sz w:val="19"/>
              </w:rPr>
              <w:t>Approver</w:t>
            </w:r>
          </w:p>
        </w:tc>
        <w:tc>
          <w:tcPr>
            <w:tcW w:type="dxa" w:w="2493"/>
            <w:tcMar>
              <w:top w:w="90" w:type="dxa"/>
              <w:start w:w="120" w:type="dxa"/>
              <w:bottom w:w="90" w:type="dxa"/>
              <w:end w:w="120" w:type="dxa"/>
            </w:tcMar>
            <w:vAlign w:val="center"/>
          </w:tcPr>
          <w:p>
            <w:r>
              <w:rPr>
                <w:sz w:val="19"/>
              </w:rPr>
              <w:t>Head - Shared Services</w:t>
            </w:r>
          </w:p>
        </w:tc>
        <w:tc>
          <w:tcPr>
            <w:tcW w:type="dxa" w:w="2493"/>
            <w:tcMar>
              <w:top w:w="90" w:type="dxa"/>
              <w:start w:w="120" w:type="dxa"/>
              <w:bottom w:w="90" w:type="dxa"/>
              <w:end w:w="120" w:type="dxa"/>
            </w:tcMar>
            <w:vAlign w:val="center"/>
          </w:tcPr>
          <w:p>
            <w:r>
              <w:rPr>
                <w:b/>
                <w:color w:val="212D63"/>
                <w:sz w:val="19"/>
              </w:rPr>
              <w:t>Approval Status</w:t>
            </w:r>
          </w:p>
        </w:tc>
        <w:tc>
          <w:tcPr>
            <w:tcW w:type="dxa" w:w="2493"/>
            <w:tcMar>
              <w:top w:w="90" w:type="dxa"/>
              <w:start w:w="120" w:type="dxa"/>
              <w:bottom w:w="90" w:type="dxa"/>
              <w:end w:w="120" w:type="dxa"/>
            </w:tcMar>
            <w:vAlign w:val="center"/>
          </w:tcPr>
          <w:p>
            <w:r>
              <w:rPr>
                <w:sz w:val="19"/>
              </w:rPr>
              <w:t>Approved</w:t>
            </w:r>
          </w:p>
        </w:tc>
      </w:tr>
    </w:tbl>
    <w:p/>
    <w:p>
      <w:pPr>
        <w:pStyle w:val="Heading1"/>
      </w:pPr>
      <w:r>
        <w:t>Revision History</w:t>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1994"/>
            <w:tcMar>
              <w:top w:w="90" w:type="dxa"/>
              <w:start w:w="110" w:type="dxa"/>
              <w:bottom w:w="90" w:type="dxa"/>
              <w:end w:w="110" w:type="dxa"/>
            </w:tcMar>
            <w:vAlign w:val="center"/>
          </w:tcPr>
          <w:p>
            <w:r>
              <w:rPr>
                <w:b/>
                <w:color w:val="212D63"/>
                <w:sz w:val="19"/>
              </w:rPr>
              <w:t>Version</w:t>
            </w:r>
          </w:p>
        </w:tc>
        <w:tc>
          <w:tcPr>
            <w:tcW w:type="dxa" w:w="1994"/>
            <w:tcMar>
              <w:top w:w="90" w:type="dxa"/>
              <w:start w:w="110" w:type="dxa"/>
              <w:bottom w:w="90" w:type="dxa"/>
              <w:end w:w="110" w:type="dxa"/>
            </w:tcMar>
            <w:vAlign w:val="center"/>
          </w:tcPr>
          <w:p>
            <w:r>
              <w:rPr>
                <w:b/>
                <w:color w:val="212D63"/>
                <w:sz w:val="19"/>
              </w:rPr>
              <w:t>Date</w:t>
            </w:r>
          </w:p>
        </w:tc>
        <w:tc>
          <w:tcPr>
            <w:tcW w:type="dxa" w:w="1994"/>
            <w:tcMar>
              <w:top w:w="90" w:type="dxa"/>
              <w:start w:w="110" w:type="dxa"/>
              <w:bottom w:w="90" w:type="dxa"/>
              <w:end w:w="110" w:type="dxa"/>
            </w:tcMar>
            <w:vAlign w:val="center"/>
          </w:tcPr>
          <w:p>
            <w:r>
              <w:rPr>
                <w:b/>
                <w:color w:val="212D63"/>
                <w:sz w:val="19"/>
              </w:rPr>
              <w:t>Prepared By</w:t>
            </w:r>
          </w:p>
        </w:tc>
        <w:tc>
          <w:tcPr>
            <w:tcW w:type="dxa" w:w="1994"/>
            <w:tcMar>
              <w:top w:w="90" w:type="dxa"/>
              <w:start w:w="110" w:type="dxa"/>
              <w:bottom w:w="90" w:type="dxa"/>
              <w:end w:w="110" w:type="dxa"/>
            </w:tcMar>
            <w:vAlign w:val="center"/>
          </w:tcPr>
          <w:p>
            <w:r>
              <w:rPr>
                <w:b/>
                <w:color w:val="212D63"/>
                <w:sz w:val="19"/>
              </w:rPr>
              <w:t>Approved By</w:t>
            </w:r>
          </w:p>
        </w:tc>
        <w:tc>
          <w:tcPr>
            <w:tcW w:type="dxa" w:w="1994"/>
            <w:tcMar>
              <w:top w:w="90" w:type="dxa"/>
              <w:start w:w="110" w:type="dxa"/>
              <w:bottom w:w="90" w:type="dxa"/>
              <w:end w:w="110" w:type="dxa"/>
            </w:tcMar>
            <w:vAlign w:val="center"/>
          </w:tcPr>
          <w:p>
            <w:r>
              <w:rPr>
                <w:b/>
                <w:color w:val="212D63"/>
                <w:sz w:val="19"/>
              </w:rPr>
              <w:t>Change Summary</w:t>
            </w:r>
          </w:p>
        </w:tc>
      </w:tr>
      <w:tr>
        <w:tc>
          <w:tcPr>
            <w:tcW w:type="dxa" w:w="1994"/>
            <w:tcMar>
              <w:top w:w="90" w:type="dxa"/>
              <w:start w:w="110" w:type="dxa"/>
              <w:bottom w:w="90" w:type="dxa"/>
              <w:end w:w="110" w:type="dxa"/>
            </w:tcMar>
            <w:vAlign w:val="center"/>
          </w:tcPr>
          <w:p>
            <w:r>
              <w:rPr>
                <w:sz w:val="19"/>
              </w:rPr>
              <w:t>0.9</w:t>
            </w:r>
          </w:p>
        </w:tc>
        <w:tc>
          <w:tcPr>
            <w:tcW w:type="dxa" w:w="1994"/>
            <w:tcMar>
              <w:top w:w="90" w:type="dxa"/>
              <w:start w:w="110" w:type="dxa"/>
              <w:bottom w:w="90" w:type="dxa"/>
              <w:end w:w="110" w:type="dxa"/>
            </w:tcMar>
            <w:vAlign w:val="center"/>
          </w:tcPr>
          <w:p>
            <w:r>
              <w:rPr>
                <w:sz w:val="19"/>
              </w:rPr>
              <w:t>20 Mar 2026</w:t>
            </w:r>
          </w:p>
        </w:tc>
        <w:tc>
          <w:tcPr>
            <w:tcW w:type="dxa" w:w="1994"/>
            <w:tcMar>
              <w:top w:w="90" w:type="dxa"/>
              <w:start w:w="110" w:type="dxa"/>
              <w:bottom w:w="90" w:type="dxa"/>
              <w:end w:w="110" w:type="dxa"/>
            </w:tcMar>
            <w:vAlign w:val="center"/>
          </w:tcPr>
          <w:p>
            <w:r>
              <w:rPr>
                <w:sz w:val="19"/>
              </w:rPr>
              <w:t>HR Operations Manager</w:t>
            </w:r>
          </w:p>
        </w:tc>
        <w:tc>
          <w:tcPr>
            <w:tcW w:type="dxa" w:w="1994"/>
            <w:tcMar>
              <w:top w:w="90" w:type="dxa"/>
              <w:start w:w="110" w:type="dxa"/>
              <w:bottom w:w="90" w:type="dxa"/>
              <w:end w:w="110" w:type="dxa"/>
            </w:tcMar>
            <w:vAlign w:val="center"/>
          </w:tcPr>
          <w:p>
            <w:r>
              <w:rPr>
                <w:sz w:val="19"/>
              </w:rPr>
              <w:t>IT Security Manager</w:t>
            </w:r>
          </w:p>
        </w:tc>
        <w:tc>
          <w:tcPr>
            <w:tcW w:type="dxa" w:w="1994"/>
            <w:tcMar>
              <w:top w:w="90" w:type="dxa"/>
              <w:start w:w="110" w:type="dxa"/>
              <w:bottom w:w="90" w:type="dxa"/>
              <w:end w:w="110" w:type="dxa"/>
            </w:tcMar>
            <w:vAlign w:val="center"/>
          </w:tcPr>
          <w:p>
            <w:r>
              <w:rPr>
                <w:sz w:val="19"/>
              </w:rPr>
              <w:t>Draft issued for review</w:t>
            </w:r>
          </w:p>
        </w:tc>
      </w:tr>
      <w:tr>
        <w:tc>
          <w:tcPr>
            <w:tcW w:type="dxa" w:w="1994"/>
            <w:tcMar>
              <w:top w:w="90" w:type="dxa"/>
              <w:start w:w="110" w:type="dxa"/>
              <w:bottom w:w="90" w:type="dxa"/>
              <w:end w:w="110" w:type="dxa"/>
            </w:tcMar>
            <w:vAlign w:val="center"/>
          </w:tcPr>
          <w:p>
            <w:r>
              <w:rPr>
                <w:sz w:val="19"/>
              </w:rPr>
              <w:t>1.0</w:t>
            </w:r>
          </w:p>
        </w:tc>
        <w:tc>
          <w:tcPr>
            <w:tcW w:type="dxa" w:w="1994"/>
            <w:tcMar>
              <w:top w:w="90" w:type="dxa"/>
              <w:start w:w="110" w:type="dxa"/>
              <w:bottom w:w="90" w:type="dxa"/>
              <w:end w:w="110" w:type="dxa"/>
            </w:tcMar>
            <w:vAlign w:val="center"/>
          </w:tcPr>
          <w:p>
            <w:r>
              <w:rPr>
                <w:sz w:val="19"/>
              </w:rPr>
              <w:t>01 Apr 2026</w:t>
            </w:r>
          </w:p>
        </w:tc>
        <w:tc>
          <w:tcPr>
            <w:tcW w:type="dxa" w:w="1994"/>
            <w:tcMar>
              <w:top w:w="90" w:type="dxa"/>
              <w:start w:w="110" w:type="dxa"/>
              <w:bottom w:w="90" w:type="dxa"/>
              <w:end w:w="110" w:type="dxa"/>
            </w:tcMar>
            <w:vAlign w:val="center"/>
          </w:tcPr>
          <w:p>
            <w:r>
              <w:rPr>
                <w:sz w:val="19"/>
              </w:rPr>
              <w:t>HR Operations Manager</w:t>
            </w:r>
          </w:p>
        </w:tc>
        <w:tc>
          <w:tcPr>
            <w:tcW w:type="dxa" w:w="1994"/>
            <w:tcMar>
              <w:top w:w="90" w:type="dxa"/>
              <w:start w:w="110" w:type="dxa"/>
              <w:bottom w:w="90" w:type="dxa"/>
              <w:end w:w="110" w:type="dxa"/>
            </w:tcMar>
            <w:vAlign w:val="center"/>
          </w:tcPr>
          <w:p>
            <w:r>
              <w:rPr>
                <w:sz w:val="19"/>
              </w:rPr>
              <w:t>Head - Shared Services</w:t>
            </w:r>
          </w:p>
        </w:tc>
        <w:tc>
          <w:tcPr>
            <w:tcW w:type="dxa" w:w="1994"/>
            <w:tcMar>
              <w:top w:w="90" w:type="dxa"/>
              <w:start w:w="110" w:type="dxa"/>
              <w:bottom w:w="90" w:type="dxa"/>
              <w:end w:w="110" w:type="dxa"/>
            </w:tcMar>
            <w:vAlign w:val="center"/>
          </w:tcPr>
          <w:p>
            <w:r>
              <w:rPr>
                <w:sz w:val="19"/>
              </w:rPr>
              <w:t>Approved release</w:t>
            </w:r>
          </w:p>
        </w:tc>
      </w:tr>
    </w:tbl>
    <w:p/>
    <w:p>
      <w:pPr>
        <w:pStyle w:val="Heading1"/>
      </w:pPr>
      <w:r>
        <w:t>1. Purpose and Scope</w:t>
      </w:r>
    </w:p>
    <w:p>
      <w:pPr>
        <w:spacing w:after="120"/>
      </w:pPr>
      <w:r>
        <w:t>This procedure governs creation, modification, review and removal of user access to the HRMS used for payroll and employee administration. It covers HR staff, payroll staff, managers and approved support teams.</w:t>
      </w:r>
    </w:p>
    <w:p>
      <w:pPr>
        <w:pStyle w:val="Heading1"/>
      </w:pPr>
      <w:r>
        <w:t>2. Access Provisioning Steps</w:t>
      </w:r>
    </w:p>
    <w:p>
      <w:pPr>
        <w:pStyle w:val="ListBullet"/>
      </w:pPr>
      <w:r>
        <w:rPr>
          <w:sz w:val="21"/>
        </w:rPr>
        <w:t>Access requests shall be initiated through the approved service request workflow and mapped to predefined HRMS roles.</w:t>
      </w:r>
    </w:p>
    <w:p>
      <w:pPr>
        <w:pStyle w:val="ListBullet"/>
      </w:pPr>
      <w:r>
        <w:rPr>
          <w:sz w:val="21"/>
        </w:rPr>
        <w:t>The reporting manager and HR Operations Manager shall approve new or changed access before provisioning.</w:t>
      </w:r>
    </w:p>
    <w:p>
      <w:pPr>
        <w:pStyle w:val="ListBullet"/>
      </w:pPr>
      <w:r>
        <w:rPr>
          <w:sz w:val="21"/>
        </w:rPr>
        <w:t>Enterprise IT shall create user accounts with named IDs and enforce MFA or centrally managed authentication controls where applicable.</w:t>
      </w:r>
    </w:p>
    <w:p>
      <w:pPr>
        <w:pStyle w:val="ListBullet"/>
      </w:pPr>
      <w:r>
        <w:rPr>
          <w:sz w:val="21"/>
        </w:rPr>
        <w:t>Privileged access, if required for HRMS administration, shall be granted to a limited set of authorised personnel only.</w:t>
      </w:r>
    </w:p>
    <w:p>
      <w:pPr>
        <w:pStyle w:val="Heading1"/>
      </w:pPr>
      <w:r>
        <w:t>3. Joiner, Mover and Leaver Controls</w:t>
      </w:r>
    </w:p>
    <w:p>
      <w:pPr>
        <w:pStyle w:val="ListBullet"/>
      </w:pPr>
      <w:r>
        <w:rPr>
          <w:sz w:val="21"/>
        </w:rPr>
        <w:t>Joiners shall receive only role-appropriate access after approval and completion of induction steps.</w:t>
      </w:r>
    </w:p>
    <w:p>
      <w:pPr>
        <w:pStyle w:val="ListBullet"/>
      </w:pPr>
      <w:r>
        <w:rPr>
          <w:sz w:val="21"/>
        </w:rPr>
        <w:t>Movers shall have prior access removed where no longer required before new role permissions are assigned.</w:t>
      </w:r>
    </w:p>
    <w:p>
      <w:pPr>
        <w:pStyle w:val="ListBullet"/>
      </w:pPr>
      <w:r>
        <w:rPr>
          <w:sz w:val="21"/>
        </w:rPr>
        <w:t>Leavers and transferred contractors shall have HRMS access revoked within one working day of exit notification.</w:t>
      </w:r>
    </w:p>
    <w:p>
      <w:pPr>
        <w:pStyle w:val="ListBullet"/>
      </w:pPr>
      <w:r>
        <w:rPr>
          <w:sz w:val="21"/>
        </w:rPr>
        <w:t>Dormant or unused accounts shall be identified during periodic access review and either justified or removed.</w:t>
      </w:r>
    </w:p>
    <w:p>
      <w:pPr>
        <w:pStyle w:val="Heading1"/>
      </w:pPr>
      <w:r>
        <w:t>4. Access Review</w:t>
      </w:r>
    </w:p>
    <w:p>
      <w:pPr>
        <w:pStyle w:val="ListBullet"/>
      </w:pPr>
      <w:r>
        <w:rPr>
          <w:sz w:val="21"/>
        </w:rPr>
        <w:t>Quarterly user access reviews shall be performed by HR Operations with IT support.</w:t>
      </w:r>
    </w:p>
    <w:p>
      <w:pPr>
        <w:pStyle w:val="ListBullet"/>
      </w:pPr>
      <w:r>
        <w:rPr>
          <w:sz w:val="21"/>
        </w:rPr>
        <w:t>Review evidence shall include named users, roles, status, reviewer comments and sign-off.</w:t>
      </w:r>
    </w:p>
    <w:p>
      <w:pPr>
        <w:pStyle w:val="ListBullet"/>
      </w:pPr>
      <w:r>
        <w:rPr>
          <w:sz w:val="21"/>
        </w:rPr>
        <w:t>Any excess, conflicting or inactive access identified during review shall be remediated and tracked to closure.</w:t>
      </w:r>
    </w:p>
    <w:p>
      <w:pPr>
        <w:pStyle w:val="Heading1"/>
      </w:pPr>
      <w:r>
        <w:t>5. Records Maintained</w:t>
      </w:r>
    </w:p>
    <w:p>
      <w:pPr>
        <w:spacing w:after="120"/>
      </w:pPr>
      <w:r>
        <w:t>The service desk ticket, approval chain, access matrix and periodic access review record shall be retained as evidence for audit and review purposes.</w:t>
      </w:r>
    </w:p>
    <w:p>
      <w:pPr>
        <w:pStyle w:val="Heading1"/>
      </w:pPr>
      <w:r>
        <w:t>Review and Approval</w:t>
      </w:r>
    </w:p>
    <w:tbl>
      <w:tblPr>
        <w:tblStyle w:val="TableGrid"/>
        <w:tblW w:type="auto" w:w="0"/>
        <w:jc w:val="left"/>
        <w:tblLook w:firstColumn="1" w:firstRow="1" w:lastColumn="0" w:lastRow="0" w:noHBand="0" w:noVBand="1" w:val="04A0"/>
      </w:tblPr>
      <w:tblGrid>
        <w:gridCol w:w="3324"/>
        <w:gridCol w:w="3324"/>
        <w:gridCol w:w="3324"/>
      </w:tblGrid>
      <w:tr>
        <w:tc>
          <w:tcPr>
            <w:tcW w:type="dxa" w:w="3324"/>
            <w:tcMar>
              <w:top w:w="120" w:type="dxa"/>
              <w:start w:w="120" w:type="dxa"/>
              <w:bottom w:w="120" w:type="dxa"/>
              <w:end w:w="120" w:type="dxa"/>
            </w:tcMar>
            <w:vAlign w:val="center"/>
          </w:tcPr>
          <w:p>
            <w:r>
              <w:rPr>
                <w:sz w:val="19"/>
              </w:rPr>
              <w:t>Prepared By</w:t>
            </w:r>
          </w:p>
        </w:tc>
        <w:tc>
          <w:tcPr>
            <w:tcW w:type="dxa" w:w="3324"/>
            <w:tcMar>
              <w:top w:w="120" w:type="dxa"/>
              <w:start w:w="120" w:type="dxa"/>
              <w:bottom w:w="120" w:type="dxa"/>
              <w:end w:w="120" w:type="dxa"/>
            </w:tcMar>
            <w:vAlign w:val="center"/>
          </w:tcPr>
          <w:p>
            <w:r>
              <w:rPr>
                <w:sz w:val="19"/>
              </w:rPr>
              <w:t>Reviewed By</w:t>
            </w:r>
          </w:p>
        </w:tc>
        <w:tc>
          <w:tcPr>
            <w:tcW w:type="dxa" w:w="3324"/>
            <w:tcMar>
              <w:top w:w="120" w:type="dxa"/>
              <w:start w:w="120" w:type="dxa"/>
              <w:bottom w:w="120" w:type="dxa"/>
              <w:end w:w="120" w:type="dxa"/>
            </w:tcMar>
            <w:vAlign w:val="center"/>
          </w:tcPr>
          <w:p>
            <w:r>
              <w:rPr>
                <w:sz w:val="19"/>
              </w:rPr>
              <w:t>Approved By</w:t>
            </w:r>
          </w:p>
        </w:tc>
      </w:tr>
      <w:tr>
        <w:tc>
          <w:tcPr>
            <w:tcW w:type="dxa" w:w="3324"/>
            <w:tcMar>
              <w:top w:w="120" w:type="dxa"/>
              <w:start w:w="120" w:type="dxa"/>
              <w:bottom w:w="120" w:type="dxa"/>
              <w:end w:w="120" w:type="dxa"/>
            </w:tcMar>
            <w:vAlign w:val="center"/>
          </w:tcPr>
          <w:p>
            <w:r>
              <w:rPr>
                <w:sz w:val="19"/>
              </w:rPr>
              <w:t>HR Operations Manager</w:t>
              <w:br/>
              <w:t>Signed electronically</w:t>
              <w:br/>
              <w:t>Date: 01 Apr 2026</w:t>
            </w:r>
          </w:p>
        </w:tc>
        <w:tc>
          <w:tcPr>
            <w:tcW w:type="dxa" w:w="3324"/>
            <w:tcMar>
              <w:top w:w="120" w:type="dxa"/>
              <w:start w:w="120" w:type="dxa"/>
              <w:bottom w:w="120" w:type="dxa"/>
              <w:end w:w="120" w:type="dxa"/>
            </w:tcMar>
            <w:vAlign w:val="center"/>
          </w:tcPr>
          <w:p>
            <w:r>
              <w:rPr>
                <w:sz w:val="19"/>
              </w:rPr>
              <w:t>IT Security Manager</w:t>
              <w:br/>
              <w:t>Signed electronically</w:t>
              <w:br/>
              <w:t>Date: 01 Apr 2026</w:t>
            </w:r>
          </w:p>
        </w:tc>
        <w:tc>
          <w:tcPr>
            <w:tcW w:type="dxa" w:w="3324"/>
            <w:tcMar>
              <w:top w:w="120" w:type="dxa"/>
              <w:start w:w="120" w:type="dxa"/>
              <w:bottom w:w="120" w:type="dxa"/>
              <w:end w:w="120" w:type="dxa"/>
            </w:tcMar>
            <w:vAlign w:val="center"/>
          </w:tcPr>
          <w:p>
            <w:r>
              <w:rPr>
                <w:sz w:val="19"/>
              </w:rPr>
              <w:t>Head - Shared Services</w:t>
              <w:br/>
              <w:t>Signed electronically</w:t>
              <w:br/>
              <w:t>Date: 01 Apr 2026</w:t>
            </w:r>
          </w:p>
        </w:tc>
      </w:tr>
    </w:tbl>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E"/>
        <w:sz w:val="16"/>
      </w:rPr>
      <w:t>HRMS User Access Management and Joiner-Mover-Leaver Procedure  |  HR Payroll Evidence Sample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212D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318F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212D6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