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Incident Reporting and Personal Data Breach Management Procedure</w:t>
      </w:r>
    </w:p>
    <w:p>
      <w:pPr>
        <w:jc w:val="left"/>
      </w:pPr>
      <w:r>
        <w:rPr>
          <w:color w:val="6B728E"/>
          <w:sz w:val="22"/>
        </w:rPr>
        <w:t>Sample procedure for reporting, triage, response and post-incident learning for HR Payroll information incidents.</w:t>
      </w:r>
    </w:p>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tcMar>
              <w:top w:w="90" w:type="dxa"/>
              <w:start w:w="120" w:type="dxa"/>
              <w:bottom w:w="90" w:type="dxa"/>
              <w:end w:w="120" w:type="dxa"/>
            </w:tcMar>
            <w:vAlign w:val="center"/>
          </w:tcPr>
          <w:p>
            <w:r>
              <w:rPr>
                <w:b/>
                <w:color w:val="212D63"/>
                <w:sz w:val="19"/>
              </w:rPr>
              <w:t>Document ID</w:t>
            </w:r>
          </w:p>
        </w:tc>
        <w:tc>
          <w:tcPr>
            <w:tcW w:type="dxa" w:w="2493"/>
            <w:tcMar>
              <w:top w:w="90" w:type="dxa"/>
              <w:start w:w="120" w:type="dxa"/>
              <w:bottom w:w="90" w:type="dxa"/>
              <w:end w:w="120" w:type="dxa"/>
            </w:tcMar>
            <w:vAlign w:val="center"/>
          </w:tcPr>
          <w:p>
            <w:r>
              <w:rPr>
                <w:sz w:val="19"/>
              </w:rPr>
              <w:t>HRP-INCID</w:t>
            </w:r>
          </w:p>
        </w:tc>
        <w:tc>
          <w:tcPr>
            <w:tcW w:type="dxa" w:w="2493"/>
            <w:tcMar>
              <w:top w:w="90" w:type="dxa"/>
              <w:start w:w="120" w:type="dxa"/>
              <w:bottom w:w="90" w:type="dxa"/>
              <w:end w:w="120" w:type="dxa"/>
            </w:tcMar>
            <w:vAlign w:val="center"/>
          </w:tcPr>
          <w:p>
            <w:r>
              <w:rPr>
                <w:b/>
                <w:color w:val="212D63"/>
                <w:sz w:val="19"/>
              </w:rPr>
              <w:t>Version</w:t>
            </w:r>
          </w:p>
        </w:tc>
        <w:tc>
          <w:tcPr>
            <w:tcW w:type="dxa" w:w="2493"/>
            <w:tcMar>
              <w:top w:w="90" w:type="dxa"/>
              <w:start w:w="120" w:type="dxa"/>
              <w:bottom w:w="90" w:type="dxa"/>
              <w:end w:w="120" w:type="dxa"/>
            </w:tcMar>
            <w:vAlign w:val="center"/>
          </w:tcPr>
          <w:p>
            <w:r>
              <w:rPr>
                <w:sz w:val="19"/>
              </w:rPr>
              <w:t>1.0</w:t>
            </w:r>
          </w:p>
        </w:tc>
      </w:tr>
      <w:tr>
        <w:tc>
          <w:tcPr>
            <w:tcW w:type="dxa" w:w="2493"/>
            <w:tcMar>
              <w:top w:w="90" w:type="dxa"/>
              <w:start w:w="120" w:type="dxa"/>
              <w:bottom w:w="90" w:type="dxa"/>
              <w:end w:w="120" w:type="dxa"/>
            </w:tcMar>
            <w:vAlign w:val="center"/>
          </w:tcPr>
          <w:p>
            <w:r>
              <w:rPr>
                <w:b/>
                <w:color w:val="212D63"/>
                <w:sz w:val="19"/>
              </w:rPr>
              <w:t>Effective Date</w:t>
            </w:r>
          </w:p>
        </w:tc>
        <w:tc>
          <w:tcPr>
            <w:tcW w:type="dxa" w:w="2493"/>
            <w:tcMar>
              <w:top w:w="90" w:type="dxa"/>
              <w:start w:w="120" w:type="dxa"/>
              <w:bottom w:w="90" w:type="dxa"/>
              <w:end w:w="120" w:type="dxa"/>
            </w:tcMar>
            <w:vAlign w:val="center"/>
          </w:tcPr>
          <w:p>
            <w:r>
              <w:rPr>
                <w:sz w:val="19"/>
              </w:rPr>
              <w:t>01 Apr 2026</w:t>
            </w:r>
          </w:p>
        </w:tc>
        <w:tc>
          <w:tcPr>
            <w:tcW w:type="dxa" w:w="2493"/>
            <w:tcMar>
              <w:top w:w="90" w:type="dxa"/>
              <w:start w:w="120" w:type="dxa"/>
              <w:bottom w:w="90" w:type="dxa"/>
              <w:end w:w="120" w:type="dxa"/>
            </w:tcMar>
            <w:vAlign w:val="center"/>
          </w:tcPr>
          <w:p>
            <w:r>
              <w:rPr>
                <w:b/>
                <w:color w:val="212D63"/>
                <w:sz w:val="19"/>
              </w:rPr>
              <w:t>Next Review Date</w:t>
            </w:r>
          </w:p>
        </w:tc>
        <w:tc>
          <w:tcPr>
            <w:tcW w:type="dxa" w:w="2493"/>
            <w:tcMar>
              <w:top w:w="90" w:type="dxa"/>
              <w:start w:w="120" w:type="dxa"/>
              <w:bottom w:w="90" w:type="dxa"/>
              <w:end w:w="120" w:type="dxa"/>
            </w:tcMar>
            <w:vAlign w:val="center"/>
          </w:tcPr>
          <w:p>
            <w:r>
              <w:rPr>
                <w:sz w:val="19"/>
              </w:rPr>
              <w:t>01 Apr 2027</w:t>
            </w:r>
          </w:p>
        </w:tc>
      </w:tr>
      <w:tr>
        <w:tc>
          <w:tcPr>
            <w:tcW w:type="dxa" w:w="2493"/>
            <w:tcMar>
              <w:top w:w="90" w:type="dxa"/>
              <w:start w:w="120" w:type="dxa"/>
              <w:bottom w:w="90" w:type="dxa"/>
              <w:end w:w="120" w:type="dxa"/>
            </w:tcMar>
            <w:vAlign w:val="center"/>
          </w:tcPr>
          <w:p>
            <w:r>
              <w:rPr>
                <w:b/>
                <w:color w:val="212D63"/>
                <w:sz w:val="19"/>
              </w:rPr>
              <w:t>Owner</w:t>
            </w:r>
          </w:p>
        </w:tc>
        <w:tc>
          <w:tcPr>
            <w:tcW w:type="dxa" w:w="2493"/>
            <w:tcMar>
              <w:top w:w="90" w:type="dxa"/>
              <w:start w:w="120" w:type="dxa"/>
              <w:bottom w:w="90" w:type="dxa"/>
              <w:end w:w="120" w:type="dxa"/>
            </w:tcMar>
            <w:vAlign w:val="center"/>
          </w:tcPr>
          <w:p>
            <w:r>
              <w:rPr>
                <w:sz w:val="19"/>
              </w:rPr>
              <w:t>HR Operations Manager</w:t>
            </w:r>
          </w:p>
        </w:tc>
        <w:tc>
          <w:tcPr>
            <w:tcW w:type="dxa" w:w="2493"/>
            <w:tcMar>
              <w:top w:w="90" w:type="dxa"/>
              <w:start w:w="120" w:type="dxa"/>
              <w:bottom w:w="90" w:type="dxa"/>
              <w:end w:w="120" w:type="dxa"/>
            </w:tcMar>
            <w:vAlign w:val="center"/>
          </w:tcPr>
          <w:p>
            <w:r>
              <w:rPr>
                <w:b/>
                <w:color w:val="212D63"/>
                <w:sz w:val="19"/>
              </w:rPr>
              <w:t>Reviewer</w:t>
            </w:r>
          </w:p>
        </w:tc>
        <w:tc>
          <w:tcPr>
            <w:tcW w:type="dxa" w:w="2493"/>
            <w:tcMar>
              <w:top w:w="90" w:type="dxa"/>
              <w:start w:w="120" w:type="dxa"/>
              <w:bottom w:w="90" w:type="dxa"/>
              <w:end w:w="120" w:type="dxa"/>
            </w:tcMar>
            <w:vAlign w:val="center"/>
          </w:tcPr>
          <w:p>
            <w:r>
              <w:rPr>
                <w:sz w:val="19"/>
              </w:rPr>
              <w:t>IT Security Manager</w:t>
            </w:r>
          </w:p>
        </w:tc>
      </w:tr>
      <w:tr>
        <w:tc>
          <w:tcPr>
            <w:tcW w:type="dxa" w:w="2493"/>
            <w:tcMar>
              <w:top w:w="90" w:type="dxa"/>
              <w:start w:w="120" w:type="dxa"/>
              <w:bottom w:w="90" w:type="dxa"/>
              <w:end w:w="120" w:type="dxa"/>
            </w:tcMar>
            <w:vAlign w:val="center"/>
          </w:tcPr>
          <w:p>
            <w:r>
              <w:rPr>
                <w:b/>
                <w:color w:val="212D63"/>
                <w:sz w:val="19"/>
              </w:rPr>
              <w:t>Approver</w:t>
            </w:r>
          </w:p>
        </w:tc>
        <w:tc>
          <w:tcPr>
            <w:tcW w:type="dxa" w:w="2493"/>
            <w:tcMar>
              <w:top w:w="90" w:type="dxa"/>
              <w:start w:w="120" w:type="dxa"/>
              <w:bottom w:w="90" w:type="dxa"/>
              <w:end w:w="120" w:type="dxa"/>
            </w:tcMar>
            <w:vAlign w:val="center"/>
          </w:tcPr>
          <w:p>
            <w:r>
              <w:rPr>
                <w:sz w:val="19"/>
              </w:rPr>
              <w:t>Head - Shared Services</w:t>
            </w:r>
          </w:p>
        </w:tc>
        <w:tc>
          <w:tcPr>
            <w:tcW w:type="dxa" w:w="2493"/>
            <w:tcMar>
              <w:top w:w="90" w:type="dxa"/>
              <w:start w:w="120" w:type="dxa"/>
              <w:bottom w:w="90" w:type="dxa"/>
              <w:end w:w="120" w:type="dxa"/>
            </w:tcMar>
            <w:vAlign w:val="center"/>
          </w:tcPr>
          <w:p>
            <w:r>
              <w:rPr>
                <w:b/>
                <w:color w:val="212D63"/>
                <w:sz w:val="19"/>
              </w:rPr>
              <w:t>Approval Status</w:t>
            </w:r>
          </w:p>
        </w:tc>
        <w:tc>
          <w:tcPr>
            <w:tcW w:type="dxa" w:w="2493"/>
            <w:tcMar>
              <w:top w:w="90" w:type="dxa"/>
              <w:start w:w="120" w:type="dxa"/>
              <w:bottom w:w="90" w:type="dxa"/>
              <w:end w:w="120" w:type="dxa"/>
            </w:tcMar>
            <w:vAlign w:val="center"/>
          </w:tcPr>
          <w:p>
            <w:r>
              <w:rPr>
                <w:sz w:val="19"/>
              </w:rPr>
              <w:t>Approved</w:t>
            </w:r>
          </w:p>
        </w:tc>
      </w:tr>
    </w:tbl>
    <w:p/>
    <w:p>
      <w:pPr>
        <w:pStyle w:val="Heading1"/>
      </w:pPr>
      <w:r>
        <w:t>Revision History</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tcMar>
              <w:top w:w="90" w:type="dxa"/>
              <w:start w:w="110" w:type="dxa"/>
              <w:bottom w:w="90" w:type="dxa"/>
              <w:end w:w="110" w:type="dxa"/>
            </w:tcMar>
            <w:vAlign w:val="center"/>
          </w:tcPr>
          <w:p>
            <w:r>
              <w:rPr>
                <w:b/>
                <w:color w:val="212D63"/>
                <w:sz w:val="19"/>
              </w:rPr>
              <w:t>Version</w:t>
            </w:r>
          </w:p>
        </w:tc>
        <w:tc>
          <w:tcPr>
            <w:tcW w:type="dxa" w:w="1994"/>
            <w:tcMar>
              <w:top w:w="90" w:type="dxa"/>
              <w:start w:w="110" w:type="dxa"/>
              <w:bottom w:w="90" w:type="dxa"/>
              <w:end w:w="110" w:type="dxa"/>
            </w:tcMar>
            <w:vAlign w:val="center"/>
          </w:tcPr>
          <w:p>
            <w:r>
              <w:rPr>
                <w:b/>
                <w:color w:val="212D63"/>
                <w:sz w:val="19"/>
              </w:rPr>
              <w:t>Date</w:t>
            </w:r>
          </w:p>
        </w:tc>
        <w:tc>
          <w:tcPr>
            <w:tcW w:type="dxa" w:w="1994"/>
            <w:tcMar>
              <w:top w:w="90" w:type="dxa"/>
              <w:start w:w="110" w:type="dxa"/>
              <w:bottom w:w="90" w:type="dxa"/>
              <w:end w:w="110" w:type="dxa"/>
            </w:tcMar>
            <w:vAlign w:val="center"/>
          </w:tcPr>
          <w:p>
            <w:r>
              <w:rPr>
                <w:b/>
                <w:color w:val="212D63"/>
                <w:sz w:val="19"/>
              </w:rPr>
              <w:t>Prepared By</w:t>
            </w:r>
          </w:p>
        </w:tc>
        <w:tc>
          <w:tcPr>
            <w:tcW w:type="dxa" w:w="1994"/>
            <w:tcMar>
              <w:top w:w="90" w:type="dxa"/>
              <w:start w:w="110" w:type="dxa"/>
              <w:bottom w:w="90" w:type="dxa"/>
              <w:end w:w="110" w:type="dxa"/>
            </w:tcMar>
            <w:vAlign w:val="center"/>
          </w:tcPr>
          <w:p>
            <w:r>
              <w:rPr>
                <w:b/>
                <w:color w:val="212D63"/>
                <w:sz w:val="19"/>
              </w:rPr>
              <w:t>Approved By</w:t>
            </w:r>
          </w:p>
        </w:tc>
        <w:tc>
          <w:tcPr>
            <w:tcW w:type="dxa" w:w="1994"/>
            <w:tcMar>
              <w:top w:w="90" w:type="dxa"/>
              <w:start w:w="110" w:type="dxa"/>
              <w:bottom w:w="90" w:type="dxa"/>
              <w:end w:w="110" w:type="dxa"/>
            </w:tcMar>
            <w:vAlign w:val="center"/>
          </w:tcPr>
          <w:p>
            <w:r>
              <w:rPr>
                <w:b/>
                <w:color w:val="212D63"/>
                <w:sz w:val="19"/>
              </w:rPr>
              <w:t>Change Summary</w:t>
            </w:r>
          </w:p>
        </w:tc>
      </w:tr>
      <w:tr>
        <w:tc>
          <w:tcPr>
            <w:tcW w:type="dxa" w:w="1994"/>
            <w:tcMar>
              <w:top w:w="90" w:type="dxa"/>
              <w:start w:w="110" w:type="dxa"/>
              <w:bottom w:w="90" w:type="dxa"/>
              <w:end w:w="110" w:type="dxa"/>
            </w:tcMar>
            <w:vAlign w:val="center"/>
          </w:tcPr>
          <w:p>
            <w:r>
              <w:rPr>
                <w:sz w:val="19"/>
              </w:rPr>
              <w:t>0.9</w:t>
            </w:r>
          </w:p>
        </w:tc>
        <w:tc>
          <w:tcPr>
            <w:tcW w:type="dxa" w:w="1994"/>
            <w:tcMar>
              <w:top w:w="90" w:type="dxa"/>
              <w:start w:w="110" w:type="dxa"/>
              <w:bottom w:w="90" w:type="dxa"/>
              <w:end w:w="110" w:type="dxa"/>
            </w:tcMar>
            <w:vAlign w:val="center"/>
          </w:tcPr>
          <w:p>
            <w:r>
              <w:rPr>
                <w:sz w:val="19"/>
              </w:rPr>
              <w:t>20 Mar 2026</w:t>
            </w:r>
          </w:p>
        </w:tc>
        <w:tc>
          <w:tcPr>
            <w:tcW w:type="dxa" w:w="1994"/>
            <w:tcMar>
              <w:top w:w="90" w:type="dxa"/>
              <w:start w:w="110" w:type="dxa"/>
              <w:bottom w:w="90" w:type="dxa"/>
              <w:end w:w="110" w:type="dxa"/>
            </w:tcMar>
            <w:vAlign w:val="center"/>
          </w:tcPr>
          <w:p>
            <w:r>
              <w:rPr>
                <w:sz w:val="19"/>
              </w:rPr>
              <w:t>HR Operations Manager</w:t>
            </w:r>
          </w:p>
        </w:tc>
        <w:tc>
          <w:tcPr>
            <w:tcW w:type="dxa" w:w="1994"/>
            <w:tcMar>
              <w:top w:w="90" w:type="dxa"/>
              <w:start w:w="110" w:type="dxa"/>
              <w:bottom w:w="90" w:type="dxa"/>
              <w:end w:w="110" w:type="dxa"/>
            </w:tcMar>
            <w:vAlign w:val="center"/>
          </w:tcPr>
          <w:p>
            <w:r>
              <w:rPr>
                <w:sz w:val="19"/>
              </w:rPr>
              <w:t>IT Security Manager</w:t>
            </w:r>
          </w:p>
        </w:tc>
        <w:tc>
          <w:tcPr>
            <w:tcW w:type="dxa" w:w="1994"/>
            <w:tcMar>
              <w:top w:w="90" w:type="dxa"/>
              <w:start w:w="110" w:type="dxa"/>
              <w:bottom w:w="90" w:type="dxa"/>
              <w:end w:w="110" w:type="dxa"/>
            </w:tcMar>
            <w:vAlign w:val="center"/>
          </w:tcPr>
          <w:p>
            <w:r>
              <w:rPr>
                <w:sz w:val="19"/>
              </w:rPr>
              <w:t>Draft issued for review</w:t>
            </w:r>
          </w:p>
        </w:tc>
      </w:tr>
      <w:tr>
        <w:tc>
          <w:tcPr>
            <w:tcW w:type="dxa" w:w="1994"/>
            <w:tcMar>
              <w:top w:w="90" w:type="dxa"/>
              <w:start w:w="110" w:type="dxa"/>
              <w:bottom w:w="90" w:type="dxa"/>
              <w:end w:w="110" w:type="dxa"/>
            </w:tcMar>
            <w:vAlign w:val="center"/>
          </w:tcPr>
          <w:p>
            <w:r>
              <w:rPr>
                <w:sz w:val="19"/>
              </w:rPr>
              <w:t>1.0</w:t>
            </w:r>
          </w:p>
        </w:tc>
        <w:tc>
          <w:tcPr>
            <w:tcW w:type="dxa" w:w="1994"/>
            <w:tcMar>
              <w:top w:w="90" w:type="dxa"/>
              <w:start w:w="110" w:type="dxa"/>
              <w:bottom w:w="90" w:type="dxa"/>
              <w:end w:w="110" w:type="dxa"/>
            </w:tcMar>
            <w:vAlign w:val="center"/>
          </w:tcPr>
          <w:p>
            <w:r>
              <w:rPr>
                <w:sz w:val="19"/>
              </w:rPr>
              <w:t>01 Apr 2026</w:t>
            </w:r>
          </w:p>
        </w:tc>
        <w:tc>
          <w:tcPr>
            <w:tcW w:type="dxa" w:w="1994"/>
            <w:tcMar>
              <w:top w:w="90" w:type="dxa"/>
              <w:start w:w="110" w:type="dxa"/>
              <w:bottom w:w="90" w:type="dxa"/>
              <w:end w:w="110" w:type="dxa"/>
            </w:tcMar>
            <w:vAlign w:val="center"/>
          </w:tcPr>
          <w:p>
            <w:r>
              <w:rPr>
                <w:sz w:val="19"/>
              </w:rPr>
              <w:t>HR Operations Manager</w:t>
            </w:r>
          </w:p>
        </w:tc>
        <w:tc>
          <w:tcPr>
            <w:tcW w:type="dxa" w:w="1994"/>
            <w:tcMar>
              <w:top w:w="90" w:type="dxa"/>
              <w:start w:w="110" w:type="dxa"/>
              <w:bottom w:w="90" w:type="dxa"/>
              <w:end w:w="110" w:type="dxa"/>
            </w:tcMar>
            <w:vAlign w:val="center"/>
          </w:tcPr>
          <w:p>
            <w:r>
              <w:rPr>
                <w:sz w:val="19"/>
              </w:rPr>
              <w:t>Head - Shared Services</w:t>
            </w:r>
          </w:p>
        </w:tc>
        <w:tc>
          <w:tcPr>
            <w:tcW w:type="dxa" w:w="1994"/>
            <w:tcMar>
              <w:top w:w="90" w:type="dxa"/>
              <w:start w:w="110" w:type="dxa"/>
              <w:bottom w:w="90" w:type="dxa"/>
              <w:end w:w="110" w:type="dxa"/>
            </w:tcMar>
            <w:vAlign w:val="center"/>
          </w:tcPr>
          <w:p>
            <w:r>
              <w:rPr>
                <w:sz w:val="19"/>
              </w:rPr>
              <w:t>Approved release</w:t>
            </w:r>
          </w:p>
        </w:tc>
      </w:tr>
    </w:tbl>
    <w:p/>
    <w:p>
      <w:pPr>
        <w:pStyle w:val="Heading1"/>
      </w:pPr>
      <w:r>
        <w:t>1. Purpose and Scope</w:t>
      </w:r>
    </w:p>
    <w:p>
      <w:pPr>
        <w:spacing w:after="120"/>
      </w:pPr>
      <w:r>
        <w:t>This procedure defines how HR Payroll information security incidents and personal data breaches are reported, assessed, contained, investigated and closed. It applies to suspected exposure, misuse, loss or unauthorised modification of employee information and HRMS data.</w:t>
      </w:r>
    </w:p>
    <w:p>
      <w:pPr>
        <w:pStyle w:val="Heading1"/>
      </w:pPr>
      <w:r>
        <w:t>2. Reporting Requirements</w:t>
      </w:r>
    </w:p>
    <w:p>
      <w:pPr>
        <w:pStyle w:val="ListBullet"/>
      </w:pPr>
      <w:r>
        <w:rPr>
          <w:sz w:val="21"/>
        </w:rPr>
        <w:t>Any employee who becomes aware of a security event affecting HR data shall report it immediately through the incident reporting channel.</w:t>
      </w:r>
    </w:p>
    <w:p>
      <w:pPr>
        <w:pStyle w:val="ListBullet"/>
      </w:pPr>
      <w:r>
        <w:rPr>
          <w:sz w:val="21"/>
        </w:rPr>
        <w:t>Examples include wrong-recipient email, exposed payroll export, suspicious HRMS login activity, lost laptop containing HR data, or unauthorised access to employee documents.</w:t>
      </w:r>
    </w:p>
    <w:p>
      <w:pPr>
        <w:pStyle w:val="ListBullet"/>
      </w:pPr>
      <w:r>
        <w:rPr>
          <w:sz w:val="21"/>
        </w:rPr>
        <w:t>Reported incidents shall receive a unique reference number and severity triage by the incident response team.</w:t>
      </w:r>
    </w:p>
    <w:p>
      <w:pPr>
        <w:pStyle w:val="Heading1"/>
      </w:pPr>
      <w:r>
        <w:t>3. Assessment and Response</w:t>
      </w:r>
    </w:p>
    <w:p>
      <w:pPr>
        <w:pStyle w:val="ListBullet"/>
      </w:pPr>
      <w:r>
        <w:rPr>
          <w:sz w:val="21"/>
        </w:rPr>
        <w:t>IT Security shall assess impact, affected systems, affected data and urgency.</w:t>
      </w:r>
    </w:p>
    <w:p>
      <w:pPr>
        <w:pStyle w:val="ListBullet"/>
      </w:pPr>
      <w:r>
        <w:rPr>
          <w:sz w:val="21"/>
        </w:rPr>
        <w:t>HR Operations shall support identification of exposed records, owners and business impact.</w:t>
      </w:r>
    </w:p>
    <w:p>
      <w:pPr>
        <w:pStyle w:val="ListBullet"/>
      </w:pPr>
      <w:r>
        <w:rPr>
          <w:sz w:val="21"/>
        </w:rPr>
        <w:t>Containment actions may include access revocation, password reset, file quarantine, endpoint isolation or vendor escalation.</w:t>
      </w:r>
    </w:p>
    <w:p>
      <w:pPr>
        <w:pStyle w:val="ListBullet"/>
      </w:pPr>
      <w:r>
        <w:rPr>
          <w:sz w:val="21"/>
        </w:rPr>
        <w:t>Where personal data is involved, privacy and legal stakeholders shall be informed in line with notification requirements.</w:t>
      </w:r>
    </w:p>
    <w:p>
      <w:pPr>
        <w:pStyle w:val="Heading1"/>
      </w:pPr>
      <w:r>
        <w:t>4. Closure and Lessons Learned</w:t>
      </w:r>
    </w:p>
    <w:p>
      <w:pPr>
        <w:pStyle w:val="ListBullet"/>
      </w:pPr>
      <w:r>
        <w:rPr>
          <w:sz w:val="21"/>
        </w:rPr>
        <w:t>Incident closure shall include root cause, corrective action, owner and target completion date.</w:t>
      </w:r>
    </w:p>
    <w:p>
      <w:pPr>
        <w:pStyle w:val="ListBullet"/>
      </w:pPr>
      <w:r>
        <w:rPr>
          <w:sz w:val="21"/>
        </w:rPr>
        <w:t>Major incidents shall undergo a lessons-learned review and relevant procedures shall be updated where required.</w:t>
      </w:r>
    </w:p>
    <w:p>
      <w:pPr>
        <w:pStyle w:val="ListBullet"/>
      </w:pPr>
      <w:r>
        <w:rPr>
          <w:sz w:val="21"/>
        </w:rPr>
        <w:t>Evidence of response actions and approvals shall be retained in the incident record.</w:t>
      </w:r>
    </w:p>
    <w:p>
      <w:pPr>
        <w:pStyle w:val="Heading1"/>
      </w:pPr>
      <w:r>
        <w:t>Review and Approval</w:t>
      </w:r>
    </w:p>
    <w:tbl>
      <w:tblPr>
        <w:tblStyle w:val="TableGrid"/>
        <w:tblW w:type="auto" w:w="0"/>
        <w:jc w:val="left"/>
        <w:tblLook w:firstColumn="1" w:firstRow="1" w:lastColumn="0" w:lastRow="0" w:noHBand="0" w:noVBand="1" w:val="04A0"/>
      </w:tblPr>
      <w:tblGrid>
        <w:gridCol w:w="3324"/>
        <w:gridCol w:w="3324"/>
        <w:gridCol w:w="3324"/>
      </w:tblGrid>
      <w:tr>
        <w:tc>
          <w:tcPr>
            <w:tcW w:type="dxa" w:w="3324"/>
            <w:tcMar>
              <w:top w:w="120" w:type="dxa"/>
              <w:start w:w="120" w:type="dxa"/>
              <w:bottom w:w="120" w:type="dxa"/>
              <w:end w:w="120" w:type="dxa"/>
            </w:tcMar>
            <w:vAlign w:val="center"/>
          </w:tcPr>
          <w:p>
            <w:r>
              <w:rPr>
                <w:sz w:val="19"/>
              </w:rPr>
              <w:t>Prepared By</w:t>
            </w:r>
          </w:p>
        </w:tc>
        <w:tc>
          <w:tcPr>
            <w:tcW w:type="dxa" w:w="3324"/>
            <w:tcMar>
              <w:top w:w="120" w:type="dxa"/>
              <w:start w:w="120" w:type="dxa"/>
              <w:bottom w:w="120" w:type="dxa"/>
              <w:end w:w="120" w:type="dxa"/>
            </w:tcMar>
            <w:vAlign w:val="center"/>
          </w:tcPr>
          <w:p>
            <w:r>
              <w:rPr>
                <w:sz w:val="19"/>
              </w:rPr>
              <w:t>Reviewed By</w:t>
            </w:r>
          </w:p>
        </w:tc>
        <w:tc>
          <w:tcPr>
            <w:tcW w:type="dxa" w:w="3324"/>
            <w:tcMar>
              <w:top w:w="120" w:type="dxa"/>
              <w:start w:w="120" w:type="dxa"/>
              <w:bottom w:w="120" w:type="dxa"/>
              <w:end w:w="120" w:type="dxa"/>
            </w:tcMar>
            <w:vAlign w:val="center"/>
          </w:tcPr>
          <w:p>
            <w:r>
              <w:rPr>
                <w:sz w:val="19"/>
              </w:rPr>
              <w:t>Approved By</w:t>
            </w:r>
          </w:p>
        </w:tc>
      </w:tr>
      <w:tr>
        <w:tc>
          <w:tcPr>
            <w:tcW w:type="dxa" w:w="3324"/>
            <w:tcMar>
              <w:top w:w="120" w:type="dxa"/>
              <w:start w:w="120" w:type="dxa"/>
              <w:bottom w:w="120" w:type="dxa"/>
              <w:end w:w="120" w:type="dxa"/>
            </w:tcMar>
            <w:vAlign w:val="center"/>
          </w:tcPr>
          <w:p>
            <w:r>
              <w:rPr>
                <w:sz w:val="19"/>
              </w:rPr>
              <w:t>HR Operations Manager</w:t>
              <w:br/>
              <w:t>Signed electronically</w:t>
              <w:br/>
              <w:t>Date: 01 Apr 2026</w:t>
            </w:r>
          </w:p>
        </w:tc>
        <w:tc>
          <w:tcPr>
            <w:tcW w:type="dxa" w:w="3324"/>
            <w:tcMar>
              <w:top w:w="120" w:type="dxa"/>
              <w:start w:w="120" w:type="dxa"/>
              <w:bottom w:w="120" w:type="dxa"/>
              <w:end w:w="120" w:type="dxa"/>
            </w:tcMar>
            <w:vAlign w:val="center"/>
          </w:tcPr>
          <w:p>
            <w:r>
              <w:rPr>
                <w:sz w:val="19"/>
              </w:rPr>
              <w:t>IT Security Manager</w:t>
              <w:br/>
              <w:t>Signed electronically</w:t>
              <w:br/>
              <w:t>Date: 01 Apr 2026</w:t>
            </w:r>
          </w:p>
        </w:tc>
        <w:tc>
          <w:tcPr>
            <w:tcW w:type="dxa" w:w="3324"/>
            <w:tcMar>
              <w:top w:w="120" w:type="dxa"/>
              <w:start w:w="120" w:type="dxa"/>
              <w:bottom w:w="120" w:type="dxa"/>
              <w:end w:w="120" w:type="dxa"/>
            </w:tcMar>
            <w:vAlign w:val="center"/>
          </w:tcPr>
          <w:p>
            <w:r>
              <w:rPr>
                <w:sz w:val="19"/>
              </w:rPr>
              <w:t>Head - Shared Services</w:t>
              <w:br/>
              <w:t>Signed electronically</w:t>
              <w:br/>
              <w:t>Date: 01 Apr 2026</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E"/>
        <w:sz w:val="16"/>
      </w:rPr>
      <w:t>Incident Reporting and Personal Data Breach Management Procedure  |  HR Payroll Evidence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12D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318F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12D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