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AC10D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D65" w:rsidRPr="00AA4D65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AA4D6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Film Studies</w:t>
                                </w:r>
                                <w:r w:rsidR="007B5B52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proofErr w:type="spellStart"/>
                                <w:r w:rsidR="007B5B52">
                                  <w:rPr>
                                    <w:sz w:val="40"/>
                                    <w:szCs w:val="40"/>
                                  </w:rPr>
                                  <w:t>efst</w:t>
                                </w:r>
                                <w:proofErr w:type="spellEnd"/>
                                <w:r w:rsidR="007B5B52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AC10D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D65" w:rsidRPr="00AA4D65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AA4D6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Film Studies</w:t>
                          </w:r>
                          <w:r w:rsidR="007B5B52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proofErr w:type="spellStart"/>
                          <w:r w:rsidR="007B5B52">
                            <w:rPr>
                              <w:sz w:val="40"/>
                              <w:szCs w:val="40"/>
                            </w:rPr>
                            <w:t>efst</w:t>
                          </w:r>
                          <w:proofErr w:type="spellEnd"/>
                          <w:r w:rsidR="007B5B52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CD3FB8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21180" w:history="1">
            <w:r w:rsidR="00CD3FB8" w:rsidRPr="00B5083D">
              <w:rPr>
                <w:rStyle w:val="Hyperlink"/>
                <w:noProof/>
              </w:rPr>
              <w:t>1</w:t>
            </w:r>
            <w:r w:rsidR="00CD3FB8">
              <w:rPr>
                <w:rFonts w:eastAsiaTheme="minorEastAsia"/>
                <w:noProof/>
                <w:lang w:eastAsia="de-CH"/>
              </w:rPr>
              <w:tab/>
            </w:r>
            <w:r w:rsidR="00CD3FB8" w:rsidRPr="00B5083D">
              <w:rPr>
                <w:rStyle w:val="Hyperlink"/>
                <w:noProof/>
              </w:rPr>
              <w:t>Einleitung</w:t>
            </w:r>
            <w:r w:rsidR="00CD3FB8">
              <w:rPr>
                <w:noProof/>
                <w:webHidden/>
              </w:rPr>
              <w:tab/>
            </w:r>
            <w:r w:rsidR="00CD3FB8">
              <w:rPr>
                <w:noProof/>
                <w:webHidden/>
              </w:rPr>
              <w:fldChar w:fldCharType="begin"/>
            </w:r>
            <w:r w:rsidR="00CD3FB8">
              <w:rPr>
                <w:noProof/>
                <w:webHidden/>
              </w:rPr>
              <w:instrText xml:space="preserve"> PAGEREF _Toc535521180 \h </w:instrText>
            </w:r>
            <w:r w:rsidR="00CD3FB8">
              <w:rPr>
                <w:noProof/>
                <w:webHidden/>
              </w:rPr>
            </w:r>
            <w:r w:rsidR="00CD3FB8">
              <w:rPr>
                <w:noProof/>
                <w:webHidden/>
              </w:rPr>
              <w:fldChar w:fldCharType="separate"/>
            </w:r>
            <w:r w:rsidR="00CD3FB8">
              <w:rPr>
                <w:noProof/>
                <w:webHidden/>
              </w:rPr>
              <w:t>2</w:t>
            </w:r>
            <w:r w:rsidR="00CD3FB8"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1" w:history="1">
            <w:r w:rsidRPr="00B5083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2" w:history="1">
            <w:r w:rsidRPr="00B5083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3" w:history="1">
            <w:r w:rsidRPr="00B5083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84" w:history="1">
            <w:r w:rsidRPr="00B508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85" w:history="1">
            <w:r w:rsidRPr="00B508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86" w:history="1">
            <w:r w:rsidRPr="00B508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7" w:history="1">
            <w:r w:rsidRPr="00B5083D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8" w:history="1">
            <w:r w:rsidRPr="00B5083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Wide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89" w:history="1">
            <w:r w:rsidRPr="00B5083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Medium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5521190" w:history="1">
            <w:r w:rsidRPr="00B5083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Close-Up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1" w:history="1">
            <w:r w:rsidRPr="00B5083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2" w:history="1">
            <w:r w:rsidRPr="00B5083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3" w:history="1">
            <w:r w:rsidRPr="00B5083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4" w:history="1">
            <w:r w:rsidRPr="00B5083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5" w:history="1">
            <w:r w:rsidRPr="00B5083D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6" w:history="1">
            <w:r w:rsidRPr="00B5083D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7" w:history="1">
            <w:r w:rsidRPr="00B5083D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8" w:history="1">
            <w:r w:rsidRPr="00B5083D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199" w:history="1">
            <w:r w:rsidRPr="00B5083D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200" w:history="1">
            <w:r w:rsidRPr="00B5083D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201" w:history="1">
            <w:r w:rsidRPr="00B5083D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202" w:history="1">
            <w:r w:rsidRPr="00B5083D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FB8" w:rsidRDefault="00CD3FB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35521203" w:history="1">
            <w:r w:rsidRPr="00B5083D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5083D">
              <w:rPr>
                <w:rStyle w:val="Hyperlink"/>
                <w:noProof/>
              </w:rPr>
              <w:t>Woc</w:t>
            </w:r>
            <w:r w:rsidRPr="00B5083D">
              <w:rPr>
                <w:rStyle w:val="Hyperlink"/>
                <w:noProof/>
              </w:rPr>
              <w:t>h</w:t>
            </w:r>
            <w:r w:rsidRPr="00B5083D">
              <w:rPr>
                <w:rStyle w:val="Hyperlink"/>
                <w:noProof/>
              </w:rPr>
              <w:t>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535521180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535521181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proofErr w:type="spellStart"/>
      <w:r w:rsidR="00864916">
        <w:t>efst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535521182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2A6148" w:rsidRPr="002A6148" w:rsidRDefault="002A6148" w:rsidP="002A6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2A6148">
        <w:rPr>
          <w:lang w:val="en-US"/>
        </w:rPr>
        <w:t>repare and structure a presentation based on theoretical film studies articles</w:t>
      </w:r>
    </w:p>
    <w:p w:rsidR="002A6148" w:rsidRPr="002A6148" w:rsidRDefault="002A6148" w:rsidP="002A6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2A6148">
        <w:rPr>
          <w:lang w:val="en-US"/>
        </w:rPr>
        <w:t xml:space="preserve">iscuss and </w:t>
      </w:r>
      <w:proofErr w:type="spellStart"/>
      <w:r w:rsidRPr="002A6148">
        <w:rPr>
          <w:lang w:val="en-US"/>
        </w:rPr>
        <w:t>analyse</w:t>
      </w:r>
      <w:proofErr w:type="spellEnd"/>
      <w:r w:rsidRPr="002A6148">
        <w:rPr>
          <w:lang w:val="en-US"/>
        </w:rPr>
        <w:t xml:space="preserve"> theoretical approaches in film with practical examples</w:t>
      </w:r>
    </w:p>
    <w:p w:rsidR="003A70B0" w:rsidRPr="002A6148" w:rsidRDefault="002A6148" w:rsidP="002A6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2A6148">
        <w:rPr>
          <w:lang w:val="en-US"/>
        </w:rPr>
        <w:t>pply film analysis skills in writing</w:t>
      </w:r>
    </w:p>
    <w:p w:rsidR="003A70B0" w:rsidRDefault="003A70B0" w:rsidP="003A70B0">
      <w:pPr>
        <w:pStyle w:val="Heading2"/>
      </w:pPr>
      <w:bookmarkStart w:id="11" w:name="_Toc430422364"/>
      <w:bookmarkStart w:id="12" w:name="_Toc430435987"/>
      <w:bookmarkStart w:id="13" w:name="_Toc431304095"/>
      <w:bookmarkStart w:id="14" w:name="_Toc535521183"/>
      <w:r>
        <w:t>Prüfungen</w:t>
      </w:r>
      <w:bookmarkEnd w:id="11"/>
      <w:bookmarkEnd w:id="12"/>
      <w:bookmarkEnd w:id="13"/>
      <w:bookmarkEnd w:id="14"/>
    </w:p>
    <w:p w:rsidR="003A70B0" w:rsidRDefault="00F92CC5" w:rsidP="003A70B0">
      <w:r>
        <w:t xml:space="preserve">Die Modulbenotung setzt sich </w:t>
      </w:r>
      <w:proofErr w:type="gramStart"/>
      <w:r>
        <w:t>aus folgenden</w:t>
      </w:r>
      <w:proofErr w:type="gramEnd"/>
      <w:r>
        <w:t xml:space="preserve"> Komponenten zusammen:</w:t>
      </w:r>
    </w:p>
    <w:p w:rsidR="00F92CC5" w:rsidRDefault="00F92CC5" w:rsidP="00F92CC5">
      <w:pPr>
        <w:pStyle w:val="ListParagraph"/>
        <w:numPr>
          <w:ilvl w:val="0"/>
          <w:numId w:val="3"/>
        </w:numPr>
      </w:pPr>
      <w:proofErr w:type="spellStart"/>
      <w:r>
        <w:t>Assignment</w:t>
      </w:r>
      <w:proofErr w:type="spellEnd"/>
      <w:r>
        <w:t xml:space="preserve"> 1: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(10%)</w:t>
      </w:r>
    </w:p>
    <w:p w:rsidR="00F92CC5" w:rsidRDefault="00F92CC5" w:rsidP="00F92CC5">
      <w:pPr>
        <w:pStyle w:val="ListParagraph"/>
        <w:numPr>
          <w:ilvl w:val="0"/>
          <w:numId w:val="3"/>
        </w:numPr>
      </w:pPr>
      <w:proofErr w:type="spellStart"/>
      <w:r>
        <w:t>Assignment</w:t>
      </w:r>
      <w:proofErr w:type="spellEnd"/>
      <w:r>
        <w:t xml:space="preserve"> 2: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(10%)</w:t>
      </w:r>
    </w:p>
    <w:p w:rsidR="00F92CC5" w:rsidRDefault="00F92CC5" w:rsidP="00F92CC5">
      <w:pPr>
        <w:pStyle w:val="ListParagraph"/>
        <w:numPr>
          <w:ilvl w:val="0"/>
          <w:numId w:val="3"/>
        </w:numPr>
      </w:pPr>
      <w:proofErr w:type="spellStart"/>
      <w:r>
        <w:t>Assignment</w:t>
      </w:r>
      <w:proofErr w:type="spellEnd"/>
      <w:r>
        <w:t xml:space="preserve"> 3: Plot </w:t>
      </w:r>
      <w:proofErr w:type="spellStart"/>
      <w:r>
        <w:t>analysis</w:t>
      </w:r>
      <w:proofErr w:type="spellEnd"/>
      <w:r>
        <w:t xml:space="preserve"> (10%)</w:t>
      </w:r>
    </w:p>
    <w:p w:rsidR="00F92CC5" w:rsidRDefault="00F92CC5" w:rsidP="00F92CC5">
      <w:pPr>
        <w:pStyle w:val="ListParagraph"/>
        <w:numPr>
          <w:ilvl w:val="0"/>
          <w:numId w:val="3"/>
        </w:numPr>
      </w:pPr>
      <w:proofErr w:type="spellStart"/>
      <w:r>
        <w:t>Assignment</w:t>
      </w:r>
      <w:proofErr w:type="spellEnd"/>
      <w:r>
        <w:t xml:space="preserve"> 4: Handout (20%)</w:t>
      </w:r>
    </w:p>
    <w:p w:rsidR="00F92CC5" w:rsidRPr="00F92CC5" w:rsidRDefault="00F92CC5" w:rsidP="00F92CC5">
      <w:pPr>
        <w:pStyle w:val="ListParagraph"/>
        <w:numPr>
          <w:ilvl w:val="0"/>
          <w:numId w:val="3"/>
        </w:numPr>
        <w:rPr>
          <w:lang w:val="en-US"/>
        </w:rPr>
      </w:pPr>
      <w:r w:rsidRPr="00F92CC5">
        <w:rPr>
          <w:lang w:val="en-US"/>
        </w:rPr>
        <w:t>Assignment 5: Film analysis presentation and discussion (50%)</w:t>
      </w:r>
    </w:p>
    <w:p w:rsidR="00AF65CF" w:rsidRPr="00F92CC5" w:rsidRDefault="00AF65CF" w:rsidP="00AF65CF">
      <w:pPr>
        <w:rPr>
          <w:lang w:val="en-US"/>
        </w:rPr>
      </w:pPr>
    </w:p>
    <w:p w:rsidR="00973D65" w:rsidRDefault="00973D65" w:rsidP="00973D65">
      <w:pPr>
        <w:pStyle w:val="Heading1"/>
      </w:pPr>
      <w:bookmarkStart w:id="15" w:name="_Toc535521184"/>
      <w:r>
        <w:lastRenderedPageBreak/>
        <w:t>Woche 1</w:t>
      </w:r>
      <w:bookmarkEnd w:id="15"/>
    </w:p>
    <w:p w:rsidR="00973D65" w:rsidRDefault="00A839E1" w:rsidP="00AF65CF">
      <w:r>
        <w:t>In der ersten Lektion wurden die 3 «S» und 3 «C» besprochen:</w:t>
      </w:r>
    </w:p>
    <w:p w:rsidR="00A839E1" w:rsidRDefault="00A839E1" w:rsidP="00AF65CF">
      <w:r>
        <w:rPr>
          <w:noProof/>
        </w:rPr>
        <w:drawing>
          <wp:inline distT="0" distB="0" distL="0" distR="0" wp14:anchorId="7661C14B" wp14:editId="5467A967">
            <wp:extent cx="5760720" cy="485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65" w:rsidRDefault="00973D65" w:rsidP="00AF65CF"/>
    <w:p w:rsidR="00A839E1" w:rsidRDefault="00A839E1" w:rsidP="00A839E1">
      <w:pPr>
        <w:pStyle w:val="Heading1"/>
      </w:pPr>
      <w:bookmarkStart w:id="16" w:name="_Toc535521185"/>
      <w:r>
        <w:lastRenderedPageBreak/>
        <w:t>Woche 2</w:t>
      </w:r>
      <w:bookmarkEnd w:id="16"/>
    </w:p>
    <w:p w:rsidR="00A839E1" w:rsidRDefault="001245D0" w:rsidP="00AF65CF">
      <w:r>
        <w:t>In der zweiten Woche wurde der Film «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Wild» besprochen und diskutiert.</w:t>
      </w:r>
    </w:p>
    <w:p w:rsidR="001245D0" w:rsidRDefault="001245D0" w:rsidP="00AF65CF"/>
    <w:p w:rsidR="009F6303" w:rsidRDefault="009F6303" w:rsidP="009F6303">
      <w:pPr>
        <w:pStyle w:val="Heading1"/>
      </w:pPr>
      <w:bookmarkStart w:id="17" w:name="_Toc535521186"/>
      <w:r>
        <w:lastRenderedPageBreak/>
        <w:t>Woche 3</w:t>
      </w:r>
      <w:bookmarkEnd w:id="17"/>
    </w:p>
    <w:p w:rsidR="00C81446" w:rsidRPr="00C81446" w:rsidRDefault="00C81446" w:rsidP="00C81446">
      <w:pPr>
        <w:pStyle w:val="Heading2"/>
        <w:rPr>
          <w:lang w:val="en-US"/>
        </w:rPr>
      </w:pPr>
      <w:bookmarkStart w:id="18" w:name="_Toc535521187"/>
      <w:r w:rsidRPr="00C81446">
        <w:rPr>
          <w:lang w:val="en-US"/>
        </w:rPr>
        <w:t>Overview</w:t>
      </w:r>
      <w:bookmarkEnd w:id="18"/>
    </w:p>
    <w:p w:rsidR="00C81446" w:rsidRPr="00C81446" w:rsidRDefault="004106B4" w:rsidP="00C81446">
      <w:pPr>
        <w:rPr>
          <w:lang w:val="fr-CH"/>
        </w:rPr>
      </w:pPr>
      <w:proofErr w:type="gramStart"/>
      <w:r>
        <w:rPr>
          <w:lang w:val="fr-CH"/>
        </w:rPr>
        <w:t>Source</w:t>
      </w:r>
      <w:r w:rsidRPr="00C81446">
        <w:rPr>
          <w:lang w:val="fr-CH"/>
        </w:rPr>
        <w:t>:</w:t>
      </w:r>
      <w:proofErr w:type="gramEnd"/>
      <w:r w:rsidR="00C81446" w:rsidRPr="00C81446">
        <w:rPr>
          <w:lang w:val="fr-CH"/>
        </w:rPr>
        <w:t xml:space="preserve"> </w:t>
      </w:r>
      <w:hyperlink r:id="rId10" w:history="1">
        <w:r w:rsidR="00C81446" w:rsidRPr="00C81446">
          <w:rPr>
            <w:rStyle w:val="Hyperlink"/>
            <w:lang w:val="fr-CH"/>
          </w:rPr>
          <w:t>http://www.elementsofcinema.com/cinematography/framing-shot-sizes/</w:t>
        </w:r>
      </w:hyperlink>
    </w:p>
    <w:p w:rsidR="009F6303" w:rsidRDefault="003B7DF0" w:rsidP="00C81446">
      <w:pPr>
        <w:pStyle w:val="Heading2"/>
      </w:pPr>
      <w:bookmarkStart w:id="19" w:name="_Toc535521188"/>
      <w:r>
        <w:t>Wide Shot</w:t>
      </w:r>
      <w:bookmarkEnd w:id="19"/>
    </w:p>
    <w:p w:rsidR="004106B4" w:rsidRPr="004106B4" w:rsidRDefault="004106B4" w:rsidP="004106B4">
      <w:pPr>
        <w:rPr>
          <w:lang w:val="en-US"/>
        </w:rPr>
      </w:pPr>
      <w:r w:rsidRPr="004106B4">
        <w:rPr>
          <w:lang w:val="en-US"/>
        </w:rPr>
        <w:t>Long shots are used to emphasize a sweeping location around the subject.</w:t>
      </w:r>
    </w:p>
    <w:p w:rsidR="004106B4" w:rsidRPr="004106B4" w:rsidRDefault="004106B4" w:rsidP="004106B4">
      <w:pPr>
        <w:rPr>
          <w:lang w:val="en-US"/>
        </w:rPr>
      </w:pPr>
      <w:r w:rsidRPr="004106B4">
        <w:rPr>
          <w:lang w:val="en-US"/>
        </w:rPr>
        <w:t>Long shot and wide shot are interchangeable terms.</w:t>
      </w:r>
    </w:p>
    <w:p w:rsidR="004106B4" w:rsidRPr="004106B4" w:rsidRDefault="004106B4" w:rsidP="004106B4">
      <w:pPr>
        <w:rPr>
          <w:lang w:val="en-US"/>
        </w:rPr>
      </w:pPr>
      <w:r w:rsidRPr="004106B4">
        <w:rPr>
          <w:lang w:val="en-US"/>
        </w:rPr>
        <w:t>This frame from Gone with the Wind (1939) emphasizes the tragedy of the Civil War and its death toll. Can you find Scarlet O’Hara in the picture?</w:t>
      </w:r>
    </w:p>
    <w:p w:rsidR="003B7DF0" w:rsidRPr="004106B4" w:rsidRDefault="004106B4" w:rsidP="004106B4">
      <w:pPr>
        <w:rPr>
          <w:lang w:val="en-US"/>
        </w:rPr>
      </w:pPr>
      <w:r w:rsidRPr="004106B4">
        <w:rPr>
          <w:lang w:val="en-US"/>
        </w:rPr>
        <w:t>Wide shots are more easily captured with wide-angle lens*.</w:t>
      </w:r>
    </w:p>
    <w:p w:rsidR="004106B4" w:rsidRDefault="004106B4" w:rsidP="004106B4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322341"/>
            <wp:effectExtent l="0" t="0" r="0" b="2540"/>
            <wp:docPr id="4" name="Picture 4" descr="long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g 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B4" w:rsidRDefault="004106B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3B7DF0" w:rsidRDefault="003B7DF0" w:rsidP="00C81446">
      <w:pPr>
        <w:pStyle w:val="Heading2"/>
      </w:pPr>
      <w:bookmarkStart w:id="20" w:name="_Toc535521189"/>
      <w:r>
        <w:lastRenderedPageBreak/>
        <w:t>Medium Shot</w:t>
      </w:r>
      <w:bookmarkEnd w:id="20"/>
    </w:p>
    <w:p w:rsidR="003B7DF0" w:rsidRPr="00C81446" w:rsidRDefault="00C81446" w:rsidP="00AF65CF">
      <w:pPr>
        <w:rPr>
          <w:lang w:val="en-US"/>
        </w:rPr>
      </w:pPr>
      <w:r w:rsidRPr="00C81446">
        <w:rPr>
          <w:lang w:val="en-US"/>
        </w:rPr>
        <w:t>Medium shots are the most common types of shots in the movies. Showing most of the subject’s body, medium shots are halfway between long shots and close-ups; however, author</w:t>
      </w:r>
      <w:r w:rsidR="000567E5">
        <w:rPr>
          <w:lang w:val="en-US"/>
        </w:rPr>
        <w:t>s</w:t>
      </w:r>
      <w:r w:rsidRPr="00C81446">
        <w:rPr>
          <w:lang w:val="en-US"/>
        </w:rPr>
        <w:t xml:space="preserve"> disagree on the definition. While some writers say that the medium shot shows the character from a little above the knees to the top of his head, others state that medium shots only go as low as a little above the waist. Regardless of the academic debate, a medium shot is by all definitions a happy medium between a full shot and a closeup. Also, composition guidelines suggest that frame lines shouldn’t cut the actors on the joints, so </w:t>
      </w:r>
      <w:proofErr w:type="gramStart"/>
      <w:r w:rsidRPr="00C81446">
        <w:rPr>
          <w:lang w:val="en-US"/>
        </w:rPr>
        <w:t>as long as</w:t>
      </w:r>
      <w:proofErr w:type="gramEnd"/>
      <w:r w:rsidRPr="00C81446">
        <w:rPr>
          <w:lang w:val="en-US"/>
        </w:rPr>
        <w:t xml:space="preserve"> operators avoid knees, waists, elbows, etc., the framing shouldn’t be a problem. In other words, just go a little higher or lower with the framing to avoid the joints.</w:t>
      </w:r>
    </w:p>
    <w:p w:rsidR="00C81446" w:rsidRDefault="00C81446" w:rsidP="00AF65CF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317608"/>
            <wp:effectExtent l="0" t="0" r="0" b="6985"/>
            <wp:docPr id="3" name="Picture 3" descr="medium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um 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B4" w:rsidRDefault="004106B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3B7DF0" w:rsidRDefault="003B7DF0" w:rsidP="00C81446">
      <w:pPr>
        <w:pStyle w:val="Heading2"/>
      </w:pPr>
      <w:bookmarkStart w:id="21" w:name="_Toc535521190"/>
      <w:r>
        <w:lastRenderedPageBreak/>
        <w:t>Close-Up Shot</w:t>
      </w:r>
      <w:bookmarkEnd w:id="21"/>
    </w:p>
    <w:p w:rsidR="003B7DF0" w:rsidRPr="004106B4" w:rsidRDefault="00C81446" w:rsidP="00AF65CF">
      <w:pPr>
        <w:rPr>
          <w:lang w:val="en-US"/>
        </w:rPr>
      </w:pPr>
      <w:r w:rsidRPr="004106B4">
        <w:rPr>
          <w:lang w:val="en-US"/>
        </w:rPr>
        <w:t>In close-up shots, the subject occupies most of the frame, allowing very little observation on the environment. Close-ups are much more dramatic than long or medium shots. They are preferred when emphasizing someone’s emotion:</w:t>
      </w:r>
    </w:p>
    <w:p w:rsidR="003B7DF0" w:rsidRDefault="00C81446" w:rsidP="00AF65CF">
      <w:r>
        <w:rPr>
          <w:noProof/>
        </w:rPr>
        <w:drawing>
          <wp:inline distT="0" distB="0" distL="0" distR="0">
            <wp:extent cx="5760720" cy="2877884"/>
            <wp:effectExtent l="0" t="0" r="0" b="0"/>
            <wp:docPr id="2" name="Picture 2" descr="close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 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46" w:rsidRDefault="00C81446" w:rsidP="00AF65CF"/>
    <w:p w:rsidR="003B7DF0" w:rsidRDefault="003B7DF0" w:rsidP="003B7DF0">
      <w:pPr>
        <w:pStyle w:val="Heading1"/>
      </w:pPr>
      <w:bookmarkStart w:id="22" w:name="_Toc535521191"/>
      <w:r>
        <w:lastRenderedPageBreak/>
        <w:t>Woche 4</w:t>
      </w:r>
      <w:bookmarkEnd w:id="22"/>
    </w:p>
    <w:p w:rsidR="003B7DF0" w:rsidRDefault="00B40B1F" w:rsidP="00AF65CF">
      <w:r>
        <w:t>In Woche 5 wurden diverse Themen, unter anderem der Spannungsbogen in Filmen diskutiert.</w:t>
      </w:r>
    </w:p>
    <w:p w:rsidR="00457EB5" w:rsidRDefault="00457EB5" w:rsidP="00457EB5">
      <w:pPr>
        <w:jc w:val="center"/>
      </w:pPr>
      <w:r>
        <w:rPr>
          <w:noProof/>
        </w:rPr>
        <w:drawing>
          <wp:inline distT="0" distB="0" distL="0" distR="0" wp14:anchorId="580F39B0" wp14:editId="5533C93A">
            <wp:extent cx="7980930" cy="4631790"/>
            <wp:effectExtent l="0" t="190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8214" cy="4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B5" w:rsidRDefault="00457EB5" w:rsidP="00AF65CF"/>
    <w:p w:rsidR="00B40B1F" w:rsidRDefault="00B40B1F" w:rsidP="00B40B1F">
      <w:pPr>
        <w:pStyle w:val="Heading1"/>
      </w:pPr>
      <w:bookmarkStart w:id="23" w:name="_Toc535521192"/>
      <w:r>
        <w:lastRenderedPageBreak/>
        <w:t>Woche 5</w:t>
      </w:r>
      <w:bookmarkEnd w:id="23"/>
    </w:p>
    <w:p w:rsidR="00B40B1F" w:rsidRDefault="00972365" w:rsidP="00AF65CF">
      <w:r>
        <w:t>In Woche 5 fand kein Unterricht statt.</w:t>
      </w:r>
    </w:p>
    <w:p w:rsidR="00972365" w:rsidRDefault="00972365" w:rsidP="00AF65CF"/>
    <w:p w:rsidR="00972365" w:rsidRDefault="00972365" w:rsidP="00972365">
      <w:pPr>
        <w:pStyle w:val="Heading1"/>
      </w:pPr>
      <w:bookmarkStart w:id="24" w:name="_Toc535521193"/>
      <w:r>
        <w:lastRenderedPageBreak/>
        <w:t>Woche 6</w:t>
      </w:r>
      <w:bookmarkEnd w:id="24"/>
    </w:p>
    <w:p w:rsidR="00972365" w:rsidRDefault="00B93313" w:rsidP="00AF65CF">
      <w:r>
        <w:t>In Woche 6 fanden die ersten Vorträge statt.</w:t>
      </w:r>
    </w:p>
    <w:p w:rsidR="00B93313" w:rsidRDefault="00B93313" w:rsidP="00AF65CF"/>
    <w:p w:rsidR="00B93313" w:rsidRDefault="00B93313" w:rsidP="00B93313">
      <w:pPr>
        <w:pStyle w:val="Heading1"/>
      </w:pPr>
      <w:bookmarkStart w:id="25" w:name="_Toc535521194"/>
      <w:r>
        <w:lastRenderedPageBreak/>
        <w:t>Woche 7</w:t>
      </w:r>
      <w:bookmarkEnd w:id="25"/>
    </w:p>
    <w:p w:rsidR="006C5856" w:rsidRDefault="006C5856" w:rsidP="006C5856">
      <w:r>
        <w:t>In Woche 7 fanden die nächsten Vorträge statt.</w:t>
      </w:r>
    </w:p>
    <w:p w:rsidR="00B93313" w:rsidRDefault="00B93313" w:rsidP="00AF65CF"/>
    <w:p w:rsidR="006C5856" w:rsidRDefault="006C5856" w:rsidP="006C5856">
      <w:pPr>
        <w:pStyle w:val="Heading1"/>
      </w:pPr>
      <w:bookmarkStart w:id="26" w:name="_Toc535521195"/>
      <w:r>
        <w:lastRenderedPageBreak/>
        <w:t>Woche 8</w:t>
      </w:r>
      <w:bookmarkEnd w:id="26"/>
    </w:p>
    <w:p w:rsidR="00A07C64" w:rsidRDefault="00A07C64" w:rsidP="00A07C64">
      <w:r>
        <w:t>In Woche 8 fanden die nächsten Vorträge statt.</w:t>
      </w:r>
    </w:p>
    <w:p w:rsidR="006C5856" w:rsidRDefault="006C5856" w:rsidP="00AF65CF"/>
    <w:p w:rsidR="00A07C64" w:rsidRDefault="00A07C64" w:rsidP="00A07C64">
      <w:pPr>
        <w:pStyle w:val="Heading1"/>
      </w:pPr>
      <w:bookmarkStart w:id="27" w:name="_Toc535521196"/>
      <w:r>
        <w:lastRenderedPageBreak/>
        <w:t>Woche 9</w:t>
      </w:r>
      <w:bookmarkEnd w:id="27"/>
    </w:p>
    <w:p w:rsidR="00A07C64" w:rsidRDefault="00E50B40" w:rsidP="00AF65CF">
      <w:r>
        <w:t>In Woche 9 fand kein Unterricht statt.</w:t>
      </w:r>
    </w:p>
    <w:p w:rsidR="00E50B40" w:rsidRDefault="00E50B40" w:rsidP="00AF65CF"/>
    <w:p w:rsidR="00E50B40" w:rsidRDefault="00E50B40" w:rsidP="00E50B40">
      <w:pPr>
        <w:pStyle w:val="Heading1"/>
      </w:pPr>
      <w:bookmarkStart w:id="28" w:name="_Toc535521197"/>
      <w:r>
        <w:lastRenderedPageBreak/>
        <w:t>Woche 10</w:t>
      </w:r>
      <w:bookmarkEnd w:id="28"/>
    </w:p>
    <w:p w:rsidR="00147DE4" w:rsidRDefault="00147DE4" w:rsidP="00147DE4">
      <w:r>
        <w:t>In Woche 10 fanden die nächsten Vorträge statt.</w:t>
      </w:r>
    </w:p>
    <w:p w:rsidR="00E50B40" w:rsidRDefault="00E50B40" w:rsidP="00AF65CF"/>
    <w:p w:rsidR="00584248" w:rsidRDefault="00584248" w:rsidP="00584248">
      <w:pPr>
        <w:pStyle w:val="Heading1"/>
      </w:pPr>
      <w:bookmarkStart w:id="29" w:name="_Toc535521198"/>
      <w:r>
        <w:lastRenderedPageBreak/>
        <w:t>Woche 11</w:t>
      </w:r>
      <w:bookmarkEnd w:id="29"/>
    </w:p>
    <w:p w:rsidR="00B10ADC" w:rsidRDefault="00B10ADC" w:rsidP="00B10ADC">
      <w:r>
        <w:t>In Woche 11 fand die Projektwoche statt.</w:t>
      </w:r>
    </w:p>
    <w:p w:rsidR="00584248" w:rsidRDefault="00584248" w:rsidP="00AF65CF"/>
    <w:p w:rsidR="00B10ADC" w:rsidRDefault="00B10ADC" w:rsidP="00B10ADC">
      <w:pPr>
        <w:pStyle w:val="Heading1"/>
      </w:pPr>
      <w:bookmarkStart w:id="30" w:name="_Toc535521199"/>
      <w:r>
        <w:lastRenderedPageBreak/>
        <w:t>Woche 12</w:t>
      </w:r>
      <w:bookmarkEnd w:id="30"/>
    </w:p>
    <w:p w:rsidR="00B10ADC" w:rsidRDefault="00B10ADC" w:rsidP="00AF65CF">
      <w:r>
        <w:t>In Woche 12 fanden die nächsten Vorträge statt.</w:t>
      </w:r>
    </w:p>
    <w:p w:rsidR="00B10ADC" w:rsidRDefault="00B10ADC" w:rsidP="00AF65CF"/>
    <w:p w:rsidR="00B10ADC" w:rsidRDefault="00B10ADC" w:rsidP="00B10ADC">
      <w:pPr>
        <w:pStyle w:val="Heading1"/>
      </w:pPr>
      <w:bookmarkStart w:id="31" w:name="_Toc535521200"/>
      <w:r>
        <w:lastRenderedPageBreak/>
        <w:t>Woche 13</w:t>
      </w:r>
      <w:bookmarkEnd w:id="31"/>
    </w:p>
    <w:p w:rsidR="00B10ADC" w:rsidRDefault="00C94A7D" w:rsidP="00AF65CF">
      <w:r>
        <w:t>In Woche 13 fand mein Vortrag statt.</w:t>
      </w:r>
    </w:p>
    <w:p w:rsidR="00C94A7D" w:rsidRDefault="00C94A7D" w:rsidP="00AF65CF"/>
    <w:p w:rsidR="00C94A7D" w:rsidRDefault="00C94A7D" w:rsidP="00C94A7D">
      <w:pPr>
        <w:pStyle w:val="Heading1"/>
      </w:pPr>
      <w:bookmarkStart w:id="32" w:name="_Toc535521201"/>
      <w:r>
        <w:lastRenderedPageBreak/>
        <w:t>Woche 14</w:t>
      </w:r>
      <w:bookmarkEnd w:id="32"/>
    </w:p>
    <w:p w:rsidR="00234C34" w:rsidRDefault="00234C34" w:rsidP="00234C34">
      <w:r>
        <w:t>In Woche 14 fand kein Unterricht statt.</w:t>
      </w:r>
    </w:p>
    <w:p w:rsidR="00C94A7D" w:rsidRDefault="00C94A7D" w:rsidP="00AF65CF"/>
    <w:p w:rsidR="00234C34" w:rsidRDefault="00234C34" w:rsidP="00234C34">
      <w:pPr>
        <w:pStyle w:val="Heading1"/>
      </w:pPr>
      <w:bookmarkStart w:id="33" w:name="_Toc535521202"/>
      <w:r>
        <w:lastRenderedPageBreak/>
        <w:t>Woche 15</w:t>
      </w:r>
      <w:bookmarkEnd w:id="33"/>
    </w:p>
    <w:p w:rsidR="006A2C90" w:rsidRDefault="006A2C90" w:rsidP="006A2C90">
      <w:r>
        <w:t>In Woche 15 fanden die nächsten Vorträge statt.</w:t>
      </w:r>
    </w:p>
    <w:p w:rsidR="00234C34" w:rsidRDefault="00234C34" w:rsidP="00AF65CF"/>
    <w:p w:rsidR="006A2C90" w:rsidRDefault="006A2C90" w:rsidP="006A2C90">
      <w:pPr>
        <w:pStyle w:val="Heading1"/>
      </w:pPr>
      <w:bookmarkStart w:id="34" w:name="_Toc535521203"/>
      <w:r>
        <w:lastRenderedPageBreak/>
        <w:t>Woche 16</w:t>
      </w:r>
      <w:bookmarkEnd w:id="34"/>
    </w:p>
    <w:p w:rsidR="000D2885" w:rsidRDefault="000D2885" w:rsidP="000D2885">
      <w:r>
        <w:t>In Woche 1</w:t>
      </w:r>
      <w:r>
        <w:t>6</w:t>
      </w:r>
      <w:r>
        <w:t xml:space="preserve"> fanden die nächsten Vorträge statt.</w:t>
      </w:r>
    </w:p>
    <w:p w:rsidR="006A2C90" w:rsidRPr="00AF65CF" w:rsidRDefault="006A2C90" w:rsidP="00AF65CF">
      <w:bookmarkStart w:id="35" w:name="_GoBack"/>
      <w:bookmarkEnd w:id="35"/>
    </w:p>
    <w:sectPr w:rsidR="006A2C90" w:rsidRPr="00AF65CF" w:rsidSect="00164DB6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0D9" w:rsidRDefault="00AC10D9" w:rsidP="006B5E49">
      <w:pPr>
        <w:spacing w:after="0" w:line="240" w:lineRule="auto"/>
      </w:pPr>
      <w:r>
        <w:separator/>
      </w:r>
    </w:p>
  </w:endnote>
  <w:endnote w:type="continuationSeparator" w:id="0">
    <w:p w:rsidR="00AC10D9" w:rsidRDefault="00AC10D9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7B5B52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0D9" w:rsidRDefault="00AC10D9" w:rsidP="006B5E49">
      <w:pPr>
        <w:spacing w:after="0" w:line="240" w:lineRule="auto"/>
      </w:pPr>
      <w:r>
        <w:separator/>
      </w:r>
    </w:p>
  </w:footnote>
  <w:footnote w:type="continuationSeparator" w:id="0">
    <w:p w:rsidR="00AC10D9" w:rsidRDefault="00AC10D9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AA4D65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A420A9"/>
    <w:multiLevelType w:val="hybridMultilevel"/>
    <w:tmpl w:val="3DC87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5"/>
    <w:rsid w:val="0001007A"/>
    <w:rsid w:val="000567E5"/>
    <w:rsid w:val="00057AA2"/>
    <w:rsid w:val="00081753"/>
    <w:rsid w:val="000828D6"/>
    <w:rsid w:val="000A251E"/>
    <w:rsid w:val="000D2885"/>
    <w:rsid w:val="000E01D5"/>
    <w:rsid w:val="000E0DEE"/>
    <w:rsid w:val="001018C5"/>
    <w:rsid w:val="00105030"/>
    <w:rsid w:val="0012397E"/>
    <w:rsid w:val="001245D0"/>
    <w:rsid w:val="00127061"/>
    <w:rsid w:val="00147DE4"/>
    <w:rsid w:val="00157CA7"/>
    <w:rsid w:val="00160860"/>
    <w:rsid w:val="00164748"/>
    <w:rsid w:val="00164DB6"/>
    <w:rsid w:val="00174FE0"/>
    <w:rsid w:val="001A0960"/>
    <w:rsid w:val="001A52D5"/>
    <w:rsid w:val="001A6B64"/>
    <w:rsid w:val="001C1356"/>
    <w:rsid w:val="001E32AD"/>
    <w:rsid w:val="002010C7"/>
    <w:rsid w:val="00234C34"/>
    <w:rsid w:val="0026725B"/>
    <w:rsid w:val="002865EA"/>
    <w:rsid w:val="002A6148"/>
    <w:rsid w:val="002E435D"/>
    <w:rsid w:val="003037A4"/>
    <w:rsid w:val="00317043"/>
    <w:rsid w:val="0033460C"/>
    <w:rsid w:val="00342602"/>
    <w:rsid w:val="0038683A"/>
    <w:rsid w:val="003917D7"/>
    <w:rsid w:val="003A70B0"/>
    <w:rsid w:val="003B27B1"/>
    <w:rsid w:val="003B7DF0"/>
    <w:rsid w:val="003D5735"/>
    <w:rsid w:val="003E53D8"/>
    <w:rsid w:val="004106B4"/>
    <w:rsid w:val="004254A8"/>
    <w:rsid w:val="00457EB5"/>
    <w:rsid w:val="004B5461"/>
    <w:rsid w:val="004B776C"/>
    <w:rsid w:val="004C2A43"/>
    <w:rsid w:val="004F242C"/>
    <w:rsid w:val="005038BA"/>
    <w:rsid w:val="00510030"/>
    <w:rsid w:val="00584248"/>
    <w:rsid w:val="005C62A4"/>
    <w:rsid w:val="00614CCE"/>
    <w:rsid w:val="00625534"/>
    <w:rsid w:val="00646267"/>
    <w:rsid w:val="0066227C"/>
    <w:rsid w:val="0067227E"/>
    <w:rsid w:val="00695C4B"/>
    <w:rsid w:val="006A25F0"/>
    <w:rsid w:val="006A2C90"/>
    <w:rsid w:val="006A6BF8"/>
    <w:rsid w:val="006B5E49"/>
    <w:rsid w:val="006C5856"/>
    <w:rsid w:val="006D62FC"/>
    <w:rsid w:val="006E2F0C"/>
    <w:rsid w:val="006E35E8"/>
    <w:rsid w:val="006F43E6"/>
    <w:rsid w:val="0073229F"/>
    <w:rsid w:val="007957A5"/>
    <w:rsid w:val="007B0CD9"/>
    <w:rsid w:val="007B5B52"/>
    <w:rsid w:val="007B68D0"/>
    <w:rsid w:val="007B7AD3"/>
    <w:rsid w:val="00811C32"/>
    <w:rsid w:val="00864916"/>
    <w:rsid w:val="00870088"/>
    <w:rsid w:val="008B7C57"/>
    <w:rsid w:val="008C1085"/>
    <w:rsid w:val="008D68BE"/>
    <w:rsid w:val="00923291"/>
    <w:rsid w:val="0095096E"/>
    <w:rsid w:val="009637E6"/>
    <w:rsid w:val="00972365"/>
    <w:rsid w:val="00973D65"/>
    <w:rsid w:val="00990E7F"/>
    <w:rsid w:val="009B342F"/>
    <w:rsid w:val="009F6303"/>
    <w:rsid w:val="00A07C64"/>
    <w:rsid w:val="00A839E1"/>
    <w:rsid w:val="00A92AE9"/>
    <w:rsid w:val="00AA4D65"/>
    <w:rsid w:val="00AC10D9"/>
    <w:rsid w:val="00AF65CF"/>
    <w:rsid w:val="00AF7A48"/>
    <w:rsid w:val="00B10ADC"/>
    <w:rsid w:val="00B25571"/>
    <w:rsid w:val="00B40B1F"/>
    <w:rsid w:val="00B70D48"/>
    <w:rsid w:val="00B7241C"/>
    <w:rsid w:val="00B93313"/>
    <w:rsid w:val="00BB78F3"/>
    <w:rsid w:val="00BC693F"/>
    <w:rsid w:val="00BC7B70"/>
    <w:rsid w:val="00BF0C5F"/>
    <w:rsid w:val="00C16FA1"/>
    <w:rsid w:val="00C21FA4"/>
    <w:rsid w:val="00C36948"/>
    <w:rsid w:val="00C569D5"/>
    <w:rsid w:val="00C6413D"/>
    <w:rsid w:val="00C81446"/>
    <w:rsid w:val="00C94A7D"/>
    <w:rsid w:val="00CC1F1F"/>
    <w:rsid w:val="00CD3FB8"/>
    <w:rsid w:val="00CE54BF"/>
    <w:rsid w:val="00D04533"/>
    <w:rsid w:val="00D06DA8"/>
    <w:rsid w:val="00DB7E18"/>
    <w:rsid w:val="00DC280A"/>
    <w:rsid w:val="00DD04C4"/>
    <w:rsid w:val="00DD6959"/>
    <w:rsid w:val="00DE60A2"/>
    <w:rsid w:val="00DE7059"/>
    <w:rsid w:val="00DF1936"/>
    <w:rsid w:val="00E3095C"/>
    <w:rsid w:val="00E376F9"/>
    <w:rsid w:val="00E50B40"/>
    <w:rsid w:val="00E52C9A"/>
    <w:rsid w:val="00E571CE"/>
    <w:rsid w:val="00EB766F"/>
    <w:rsid w:val="00F34BB8"/>
    <w:rsid w:val="00F40999"/>
    <w:rsid w:val="00F418C8"/>
    <w:rsid w:val="00F44376"/>
    <w:rsid w:val="00F92CC5"/>
    <w:rsid w:val="00F969C9"/>
    <w:rsid w:val="00FB292E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1813B1"/>
  <w15:chartTrackingRefBased/>
  <w15:docId w15:val="{8368AC80-E6F9-4449-B715-63A94A6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character" w:styleId="UnresolvedMention">
    <w:name w:val="Unresolved Mention"/>
    <w:basedOn w:val="DefaultParagraphFont"/>
    <w:uiPriority w:val="99"/>
    <w:semiHidden/>
    <w:unhideWhenUsed/>
    <w:rsid w:val="00C814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6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elementsofcinema.com/cinematography/framing-shot-siz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0B91C3-C655-4CE5-8218-D3E5C1B5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21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41</cp:revision>
  <dcterms:created xsi:type="dcterms:W3CDTF">2018-09-15T13:30:00Z</dcterms:created>
  <dcterms:modified xsi:type="dcterms:W3CDTF">2019-01-17T19:44:00Z</dcterms:modified>
</cp:coreProperties>
</file>