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Theoretical-claim verification log</w:t>
      </w:r>
    </w:p>
    <w:p>
      <w:r>
        <w:rPr>
          <w:i/>
          <w:color w:val="5C5C5C"/>
          <w:sz w:val="19"/>
        </w:rPr>
        <w:t>Companion to the QSC Atlas report. Each theoretical attribution was checked against what the cited source actually argues, on the same basis as the earlier publication fact-check. Verdicts: Supported (the source backs the claim as used), Tightened (supported, wording made precise), Misattributed (the source does not support the claim; corrected), Partially supported (reframed so the citation carries only what it can). All corrections are applied in the current report.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1928"/>
            <w:shd w:val="clear" w:fill="EFECE6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Source</w:t>
            </w:r>
          </w:p>
        </w:tc>
        <w:tc>
          <w:tcPr>
            <w:tcW w:type="dxa" w:w="3515"/>
            <w:shd w:val="clear" w:fill="EFECE6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Claim as used in the report</w:t>
            </w:r>
          </w:p>
        </w:tc>
        <w:tc>
          <w:tcPr>
            <w:tcW w:type="dxa" w:w="4309"/>
            <w:shd w:val="clear" w:fill="EFECE6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What the source actually supports</w:t>
            </w:r>
          </w:p>
        </w:tc>
        <w:tc>
          <w:tcPr>
            <w:tcW w:type="dxa" w:w="1531"/>
            <w:shd w:val="clear" w:fill="EFECE6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Verdict</w:t>
            </w:r>
          </w:p>
        </w:tc>
        <w:tc>
          <w:tcPr>
            <w:tcW w:type="dxa" w:w="3742"/>
            <w:shd w:val="clear" w:fill="EFECE6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Action taken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Buthe &amp; Mattli (2011)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First-mover advantage, institutional access and capacity determine whose preferences become global rules.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The New Global Rulers: early participation lets actors shape standards; influence rests on timely information and a single voice (institutional complementarity), not raw economic power.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Kept. Now also grounds the setter/contextualiser/taker vocabulary (see Blind row).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Yates &amp; Murphy (2019)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A century of rule-making in which de facto global norms emerge without formal imposition.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Engineering Rules: the first global history of voluntary consensus standard-setting since 1880; committee standards become de facto global norms.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Tightened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Reworded to 'voluntary consensus standard-setting'; removed the 'market incumbency' gloss the source does not stress.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Blind (2013)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Original draft: a 'typology of standardisation strategies' supplying the setter/contextualiser/taker vocabulary.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Blind gives a fourfold typology of standards FUNCTIONS (compatibility, quality, variety reduction, information), not a typology of setter/taker strategies.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Misattributed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Corrected. Blind now cited for the functional typology; the setter/contextualiser/taker vocabulary is reattributed to the power asymmetry in Buthe &amp; Mattli (2011). NB: the same misattribution appears in the thesis (Ch 6.1.3) and should be fixed there too.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Bradford (2020)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The Brussels Effect, with the direction reversing in cryptography.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The Brussels Effect (EU regulation diffusing globally through market access) is Bradford's. The reversal in cryptography is the report's own adaptation, not Bradford's claim.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Kept. The reversal stays attributed to the report, not to Bradford.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Rodrik (2018)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Original draft: trade and market-access consequences that follow from divergent technical regulation.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Trade agreements have moved beyond tariffs into regulatory rules with distributional, rent-seeking consequences. Rodrik does not address technical standards or market access directly.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Partially 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Reframed (the comment flag); after Swann was removed, the market-access point is stated analytically and Rodrik carries only the trade-agreements-into-regulation point.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Swann (2010)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Used to carry the standards-as-market-access link.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The OECD paper is on topic, but the researcher queried the citation as inaccurate for this use and asked for its removal.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Removed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Deleted from the report at the researcher's instruction. The market-access point is retained as an analytical statement without a citation.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Borup et al. (2006); Konrad (2006); Budde &amp; Konrad (2019)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Governance of expectations: expectations coordinate action under uncertainty and harden into commitment while remaining revisable.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Foundational sociology and governance of expectations; Budde &amp; Konrad on tentative governing in a dynamic network of expectations.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Kept.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Star (1999)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Cryptographic protocols are infrastructure, visible only on breakdown.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'The ethnography of infrastructure': infrastructure is invisible until breakdown and embedded in an installed base.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Kept.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Carlsson (2006)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Internationalisation of innovation systems frames the cross-border circulation.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A survey of the internationalisation of innovation systems.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Kept.</w:t>
            </w:r>
          </w:p>
        </w:tc>
      </w:tr>
      <w:tr>
        <w:tc>
          <w:tcPr>
            <w:tcW w:type="dxa" w:w="1928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Institutional sources (NIST 2024; NIS2; DORA; Rec (EU) 2024/1101; NIS CG 2025)</w:t>
            </w:r>
          </w:p>
        </w:tc>
        <w:tc>
          <w:tcPr>
            <w:tcW w:type="dxa" w:w="3515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FIPS 203/204/205 finalised in 2024; EU binding and soft instruments; the coordinated roadmap and its milestones.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Confirmed against the official documents during the Atlas build (NIST, the EU instruments, the NIS Cooperation Group roadmap).</w:t>
            </w:r>
          </w:p>
        </w:tc>
        <w:tc>
          <w:tcPr>
            <w:tcW w:type="dxa" w:w="1531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Supported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>
              <w:rPr>
                <w:rFonts w:ascii="Arial" w:hAnsi="Arial"/>
                <w:b w:val="0"/>
                <w:color w:val="1A1A1A"/>
                <w:sz w:val="17"/>
              </w:rPr>
              <w:t>Kept.</w:t>
            </w:r>
          </w:p>
        </w:tc>
      </w:tr>
    </w:tbl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