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Theoretical-claim verification log</w:t>
      </w:r>
    </w:p>
    <w:p>
      <w:r>
        <w:rPr>
          <w:i/>
          <w:color w:val="5C5C5C"/>
          <w:sz w:val="19"/>
        </w:rPr>
        <w:t>Companion to the QSC Atlas report. Each theoretical attribution was checked against what the cited source actually argues, on the same basis as the earlier publication fact-check. Verdicts: Supported (the source backs the claim as used), Tightened (supported, wording made precise), Misattributed (the source does not support the claim; corrected), Partially supported (reframed so the citation carries only what it can). All corrections are applied in the current report.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1928"/>
            <w:shd w:val="clear" w:fill="EFECE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Source</w:t>
            </w:r>
          </w:p>
        </w:tc>
        <w:tc>
          <w:tcPr>
            <w:tcW w:type="dxa" w:w="3515"/>
            <w:shd w:val="clear" w:fill="EFECE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Claim as used in the report</w:t>
            </w:r>
          </w:p>
        </w:tc>
        <w:tc>
          <w:tcPr>
            <w:tcW w:type="dxa" w:w="4309"/>
            <w:shd w:val="clear" w:fill="EFECE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What the source actually supports</w:t>
            </w:r>
          </w:p>
        </w:tc>
        <w:tc>
          <w:tcPr>
            <w:tcW w:type="dxa" w:w="1531"/>
            <w:shd w:val="clear" w:fill="EFECE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Verdict</w:t>
            </w:r>
          </w:p>
        </w:tc>
        <w:tc>
          <w:tcPr>
            <w:tcW w:type="dxa" w:w="3742"/>
            <w:shd w:val="clear" w:fill="EFECE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A1A1A"/>
                <w:sz w:val="18"/>
              </w:rPr>
              <w:t>Action taken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Buthe &amp; Mattli (2011)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First-mover advantage, institutional access and capacity determine whose preferences become global rules.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The New Global Rulers: early participation lets actors shape standards; influence rests on timely information and a single voice (institutional complementarity), not raw economic power.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Supported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Kept, and verified against the source text ('who wins and who loses when standard-setting takes place'; institutional complementarity through timely information and a single voice). Now also grounds the standard-maker / contextualiser / taker vocabulary (see Blind row).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Yates &amp; Murphy (2019)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A century of rule-making in which de facto global norms emerge without formal imposition.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Engineering Rules: the first global history of voluntary consensus standardisation since 1880; the actors it calls standardisers make standards that become de facto global norms.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Tightened, verified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Reworded to 'voluntary consensus standardisation'; 'market incumbency' removed. Verified against the source text.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Blind (2013)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Original draft: a 'typology of standardisation strategies' supplying the standard-maker / contextualiser / taker vocabulary.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Blind gives a fourfold typology of standards FUNCTIONS (compatibility, quality, variety reduction, information), not a typology of maker/taker strategies.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Misattributed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Corrected. Blind now cited for the functional typology; the standard-maker / contextualiser / taker vocabulary is reattributed to the power asymmetry in Buthe &amp; Mattli (2011). NB: the same misattribution appears in the thesis (Ch 6.1.3) and should be fixed there too.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Bradford (2020)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The Brussels Effect, with the direction reversing in cryptography.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The Brussels Effect (EU regulation diffusing globally through market access) is Bradford's. The reversal in cryptography is the report's own adaptation, not Bradford's claim.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Supported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Kept. The reversal stays attributed to the report, not to Bradford.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Rodrik (2018)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Original draft: trade and market-access consequences that follow from divergent technical regulation.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Trade agreements have moved beyond tariffs into regulatory rules with distributional, rent-seeking consequences. Rodrik does not address technical standards or market access directly.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Partially supported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Reframed (the comment flag); after Swann was removed, the market-access point is stated analytically and Rodrik carries only the trade-agreements-into-regulation point.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Swann (2010)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Used to carry the standards-as-market-access link.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The OECD paper is on topic, but the researcher queried the citation as inaccurate for this use and asked for its removal.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Removed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Deleted from the report at the researcher's instruction. The market-access point is retained as an analytical statement without a citation.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Borup et al. (2006); Konrad (2006); Budde &amp; Konrad (2019)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Governance of expectations: expectations coordinate action under uncertainty and harden into commitment while remaining revisable.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Foundational sociology and governance of expectations; Budde &amp; Konrad on tentative governing in a dynamic network of expectations.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Supported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Kept.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Star (1999)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Cryptographic protocols are infrastructure, visible only on breakdown.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'The ethnography of infrastructure': infrastructure is invisible until breakdown and embedded in an installed base.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Supported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Kept.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Carlsson (2006)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Internationalisation of innovation systems frames the cross-border circulation.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A survey of the internationalisation of innovation systems.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Supported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Kept.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Institutional sources (NIST 2024; NIS2; DORA; Rec (EU) 2024/1101; NIS CG 2025)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FIPS 203/204/205 finalised in 2024; EU binding and soft instruments; the coordinated roadmap and its milestones.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Confirmed against the official documents during the Atlas build (NIST, the EU instruments, the NIS Cooperation Group roadmap).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Supported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Kept.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Terminology: standard-setter to standard-maker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The role label 'standard-setter' is changed to 'standard-maker' at the researcher's request.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Neither source uses 'maker': Yates &amp; Murphy (2019) use 'standardisers' and 'standard setting', and Buthe &amp; Mattli (2011) use 'standard-setting'. The term is the Atlas's own, grounded in their concepts (standards made through consensus; first-mover advantage deciding whose making prevails).</w:t>
            </w:r>
          </w:p>
        </w:tc>
        <w:tc>
          <w:tcPr>
            <w:tcW w:type="dxa" w:w="1531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Applied</w:t>
            </w:r>
          </w:p>
        </w:tc>
        <w:tc>
          <w:tcPr>
            <w:tcW w:type="dxa" w:w="3742"/>
          </w:tcPr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color w:val="1A1A1A"/>
                <w:sz w:val="17"/>
              </w:rPr>
              <w:t>Labels and prose updated across the report, the model document, the figures and the live-site role badge; internal data keys left as 'setter' for stability.</w:t>
            </w:r>
          </w:p>
        </w:tc>
      </w:tr>
    </w:tbl>
    <w:sectPr w:rsidR="00FC693F" w:rsidRPr="0006063C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