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160" w:line="300" w:lineRule="auto"/>
        <w:jc w:val="center"/>
      </w:pPr>
      <w:r>
        <w:rPr>
          <w:rFonts w:ascii="Calibri" w:cs="Calibri" w:eastAsia="Calibri" w:hAnsi="Calibri"/>
          <w:b/>
          <w:bCs/>
          <w:i w:val="false"/>
          <w:iCs w:val="false"/>
          <w:color w:val="000000"/>
          <w:sz w:val="46"/>
          <w:szCs w:val="46"/>
        </w:rPr>
        <w:t xml:space="preserve">converging middle-power theory with the quantum-safe transition</w:t>
      </w:r>
    </w:p>
    <w:p>
      <w:pPr>
        <w:spacing w:after="240" w:line="288" w:lineRule="auto"/>
        <w:jc w:val="center"/>
      </w:pPr>
      <w:r>
        <w:rPr>
          <w:rFonts w:ascii="Calibri" w:cs="Calibri" w:eastAsia="Calibri" w:hAnsi="Calibri"/>
          <w:b w:val="false"/>
          <w:bCs w:val="false"/>
          <w:i w:val="false"/>
          <w:iCs w:val="false"/>
          <w:color w:val="444444"/>
          <w:sz w:val="26"/>
          <w:szCs w:val="26"/>
        </w:rPr>
        <w:t xml:space="preserve">a research review and a proposed extension to the QSC Atlas</w:t>
      </w:r>
    </w:p>
    <w:p>
      <w:pPr>
        <w:pBdr>
          <w:bottom w:val="single" w:color="888888" w:sz="6" w:space="6"/>
        </w:pBdr>
        <w:spacing w:after="160"/>
        <w:jc w:val="center"/>
      </w:pPr>
      <w:r>
        <w:rPr>
          <w:sz w:val="6"/>
          <w:szCs w:val="6"/>
        </w:rPr>
        <w:t xml:space="preserve"/>
      </w:r>
    </w:p>
    <w:p>
      <w:pPr>
        <w:jc w:val="center"/>
      </w:pPr>
      <w:r>
        <w:rPr>
          <w:rFonts w:ascii="Calibri" w:cs="Calibri" w:eastAsia="Calibri" w:hAnsi="Calibri"/>
          <w:smallCaps/>
          <w:color w:val="555555"/>
          <w:sz w:val="22"/>
          <w:szCs w:val="22"/>
        </w:rPr>
        <w:t xml:space="preserve">QSC Atlas × middle powers</w:t>
      </w:r>
    </w:p>
    <w:p>
      <w:r>
        <w:br w:type="page"/>
      </w:r>
    </w:p>
    <w:p>
      <w:pPr>
        <w:sectPr>
          <w:pgSz w:w="12240" w:h="15840" w:orient="portrait"/>
          <w:pgMar w:top="1440" w:right="1440" w:bottom="1440" w:left="1440" w:header="708" w:footer="708" w:gutter="0"/>
          <w:pgNumType/>
          <w:docGrid w:linePitch="360"/>
        </w:sectPr>
      </w:pPr>
    </w:p>
    <w:p>
      <w:pPr>
        <w:pStyle w:val="Heading1"/>
        <w:keepNext/>
        <w:spacing w:after="120" w:before="280" w:line="276" w:lineRule="auto"/>
      </w:pPr>
      <w:r>
        <w:rPr>
          <w:rFonts w:ascii="Calibri" w:cs="Calibri" w:eastAsia="Calibri" w:hAnsi="Calibri"/>
          <w:b/>
          <w:bCs/>
          <w:i w:val="false"/>
          <w:iCs w:val="false"/>
          <w:color w:val="000000"/>
          <w:sz w:val="28"/>
          <w:szCs w:val="28"/>
        </w:rPr>
        <w:t xml:space="preserve">the argument in brief</w:t>
      </w:r>
    </w:p>
    <w:p>
      <w:pPr>
        <w:spacing w:after="120" w:line="276" w:lineRule="auto"/>
        <w:jc w:val="both"/>
      </w:pPr>
      <w:r>
        <w:rPr>
          <w:rFonts w:ascii="Calibri" w:cs="Calibri" w:eastAsia="Calibri" w:hAnsi="Calibri"/>
          <w:b w:val="false"/>
          <w:bCs w:val="false"/>
          <w:i w:val="false"/>
          <w:iCs w:val="false"/>
          <w:color w:val="000000"/>
          <w:sz w:val="22"/>
          <w:szCs w:val="22"/>
        </w:rPr>
        <w:t xml:space="preserve">The QSC Atlas and the middle-power literature have never been read together, yet they describe the same structural position from two disciplines. The Atlas classifies every country in the quantum-safe transition on two axes: the coordination bloc it migrates with, and its relationship to the cryptographic standards themselves, whether it makes them, contextualises them, takes them, or builds its own (QSC Atlas, 2026). Middle-power theory classifies states by where they sit between the great powers that write the rules of an international order and the small states that receive them, and by what they do from that position (Holbraad, 1984; Cooper, Higgott, &amp; Nossal, 1993). This note argues that the Atlas’s middle category, the standard-contextualiser, is the middle power of the quantum-safe transition, operationalised in the most infrastructural technology there is. The claim is not a metaphor. The seven states the Atlas codes as contextualisers, France, Germany, Japan, South Korea, India, Australia, and Singapore, are, with no exception, the states the middle-power literature already names, and the behaviour the Atlas records for them, adopting the American baseline while overlaying national requirements on top, is the behavioural definition of a middle power applied to cryptography.</w:t>
      </w:r>
    </w:p>
    <w:p>
      <w:pPr>
        <w:spacing w:after="120" w:line="276" w:lineRule="auto"/>
        <w:jc w:val="both"/>
      </w:pPr>
      <w:r>
        <w:rPr>
          <w:rFonts w:ascii="Calibri" w:cs="Calibri" w:eastAsia="Calibri" w:hAnsi="Calibri"/>
          <w:b w:val="false"/>
          <w:bCs w:val="false"/>
          <w:i w:val="false"/>
          <w:iCs w:val="false"/>
          <w:color w:val="000000"/>
          <w:sz w:val="22"/>
          <w:szCs w:val="22"/>
        </w:rPr>
        <w:t xml:space="preserve">From that convergence three things follow, and they answer the four questions a research programme would ask. There is a way to merge the two frames, and it is conceptual before it is technical: the standards-role typology is a power hierarchy, and middle-power theory is the theory of agency within such a hierarchy. There is a categorisation of countries by how they are entering the transition, and the Atlas already contains it; this note derives from it a middle-power reading of all fifty-four recorded countries, separating the middle powers that exercise agency from those that hold capability but do not. And there is an argumentative payoff, because the contextualiser set is concrete, sourced evidence that middle powers shape even the standards they did not write, which is the empirical claim the middle-power literature has most often been accused of asserting without proof.</w:t>
      </w:r>
    </w:p>
    <w:p>
      <w:pPr>
        <w:spacing w:after="120" w:line="276" w:lineRule="auto"/>
        <w:jc w:val="both"/>
      </w:pPr>
      <w:r>
        <w:rPr>
          <w:rFonts w:ascii="Calibri" w:cs="Calibri" w:eastAsia="Calibri" w:hAnsi="Calibri"/>
          <w:b w:val="false"/>
          <w:bCs w:val="false"/>
          <w:i w:val="false"/>
          <w:iCs w:val="false"/>
          <w:color w:val="000000"/>
          <w:sz w:val="22"/>
          <w:szCs w:val="22"/>
        </w:rPr>
        <w:t xml:space="preserve">The note also proposes a small, buildable addition to the Atlas: a middle-power agency layer, parallel in form to the governance-quality layer already proposed in “extending the QSC Atlas” (QSC Atlas, 2026), that scores how strongly a country exercises middle-power agency in the transition, from the fields the Atlas already holds. The layer is offered in the same spirit as the evaluative one: one justified reading, provisional under the governance-of-expectations frame, not a league table.</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what the two literatures share</w:t>
      </w:r>
    </w:p>
    <w:p>
      <w:pPr>
        <w:pStyle w:val="Heading2"/>
        <w:keepNext/>
        <w:spacing w:after="60" w:before="200" w:line="276" w:lineRule="auto"/>
      </w:pPr>
      <w:r>
        <w:rPr>
          <w:rFonts w:ascii="Calibri" w:cs="Calibri" w:eastAsia="Calibri" w:hAnsi="Calibri"/>
          <w:b/>
          <w:bCs/>
          <w:i w:val="false"/>
          <w:iCs w:val="false"/>
          <w:color w:val="000000"/>
          <w:sz w:val="24"/>
          <w:szCs w:val="24"/>
        </w:rPr>
        <w:t xml:space="preserve">the standards-role typology is a power hierarchy</w:t>
      </w:r>
    </w:p>
    <w:p>
      <w:pPr>
        <w:spacing w:after="120" w:line="276" w:lineRule="auto"/>
        <w:jc w:val="both"/>
      </w:pPr>
      <w:r>
        <w:rPr>
          <w:rFonts w:ascii="Calibri" w:cs="Calibri" w:eastAsia="Calibri" w:hAnsi="Calibri"/>
          <w:b w:val="false"/>
          <w:bCs w:val="false"/>
          <w:i w:val="false"/>
          <w:iCs w:val="false"/>
          <w:color w:val="000000"/>
          <w:sz w:val="22"/>
          <w:szCs w:val="22"/>
        </w:rPr>
        <w:t xml:space="preserve">The Atlas does not present its standards-role axis as a hierarchy of power, but that is what it is. Its companion report grounds the axis in the standards-governance literature, and that literature is explicit that technical standards are instruments of power with distributional consequences rather than neutral specifications. Büthe and Mattli (2011) show that first-mover advantage, institutional access, and technical capacity determine whose preferences become embedded in global rules, and they frame the central question as who wins and who loses as standards are made. Yates and Murphy (2019) trace the same asymmetry across a century of voluntary consensus standard-setting, in which a few committees’ standards became de facto global norms. The Atlas reproduces the asymmetry as a fact about post-quantum cryptography: when the United States published its first three standards in 2024, a contested question became a settled technical fact that other jurisdictions either adopt or must interoperate with (NIST, 2024; QSC Atlas, 2026).</w:t>
      </w:r>
    </w:p>
    <w:p>
      <w:pPr>
        <w:spacing w:after="120" w:line="276" w:lineRule="auto"/>
        <w:jc w:val="both"/>
      </w:pPr>
      <w:r>
        <w:rPr>
          <w:rFonts w:ascii="Calibri" w:cs="Calibri" w:eastAsia="Calibri" w:hAnsi="Calibri"/>
          <w:b w:val="false"/>
          <w:bCs w:val="false"/>
          <w:i w:val="false"/>
          <w:iCs w:val="false"/>
          <w:color w:val="000000"/>
          <w:sz w:val="22"/>
          <w:szCs w:val="22"/>
        </w:rPr>
        <w:t xml:space="preserve">The vocabulary the Atlas uses to name positions in that asymmetry, maker, contextualiser, taker, and sovereign developer, is therefore a ranking by capacity to shape the rule. The maker writes the baseline. The taker receives it. The contextualiser sits between, accepting the baseline but adding national requirements on top. The sovereign developer leaves the baseline altogether. Read as power positions rather than as technical labels, these are the rungs of a hierarchy, and the hierarchy is the same one middle-power theory has always described: a structure with rule-makers at the top, rule-takers at the base, and a contested middle whose defining question is how much it can shape what it cannot write.</w:t>
      </w:r>
    </w:p>
    <w:p>
      <w:pPr>
        <w:pStyle w:val="Heading2"/>
        <w:keepNext/>
        <w:spacing w:after="60" w:before="200" w:line="276" w:lineRule="auto"/>
      </w:pPr>
      <w:r>
        <w:rPr>
          <w:rFonts w:ascii="Calibri" w:cs="Calibri" w:eastAsia="Calibri" w:hAnsi="Calibri"/>
          <w:b/>
          <w:bCs/>
          <w:i w:val="false"/>
          <w:iCs w:val="false"/>
          <w:color w:val="000000"/>
          <w:sz w:val="24"/>
          <w:szCs w:val="24"/>
        </w:rPr>
        <w:t xml:space="preserve">the contextualiser is the middle power</w:t>
      </w:r>
    </w:p>
    <w:p>
      <w:pPr>
        <w:spacing w:after="120" w:line="276" w:lineRule="auto"/>
        <w:jc w:val="both"/>
      </w:pPr>
      <w:r>
        <w:rPr>
          <w:rFonts w:ascii="Calibri" w:cs="Calibri" w:eastAsia="Calibri" w:hAnsi="Calibri"/>
          <w:b w:val="false"/>
          <w:bCs w:val="false"/>
          <w:i w:val="false"/>
          <w:iCs w:val="false"/>
          <w:color w:val="000000"/>
          <w:sz w:val="22"/>
          <w:szCs w:val="22"/>
        </w:rPr>
        <w:t xml:space="preserve">Holbraad (1984) defined the middle power by relative capability, a state weaker than the great powers but significantly stronger than the small states it interacts with, and warned against defining it by the role it is hoped to play, because that prejudges the enquiry (pp. 16, 74). Cooper, Higgott, and Nossal (1993) inverted the definition, locating the middle power not in a capability band but in a style of behaviour: the pursuit of technical and entrepreneurial leadership by a state that lacks the structural power of a great one, exercised through niche diplomacy, the concentration of effort on a few issues where returns are achievable (pp. 24, 40). Pannier (2023) carried the category into technology, defining a digital middle power as a state caught between the larger blocs that nonetheless carries weight in a sector.</w:t>
      </w:r>
    </w:p>
    <w:p>
      <w:pPr>
        <w:spacing w:after="120" w:line="276" w:lineRule="auto"/>
        <w:jc w:val="both"/>
      </w:pPr>
      <w:r>
        <w:rPr>
          <w:rFonts w:ascii="Calibri" w:cs="Calibri" w:eastAsia="Calibri" w:hAnsi="Calibri"/>
          <w:b w:val="false"/>
          <w:bCs w:val="false"/>
          <w:i w:val="false"/>
          <w:iCs w:val="false"/>
          <w:color w:val="000000"/>
          <w:sz w:val="22"/>
          <w:szCs w:val="22"/>
        </w:rPr>
        <w:t xml:space="preserve">The contextualiser posture answers to all three definitions at once. It is positional in Holbraad’s sense, because only a state with real cryptographic capacity can overlay credible national requirements on the baseline, and only a state short of the maker’s standard-setting power needs to. It is behavioural in Cooper, Higgott, and Nossal’s sense, because contextualisation is precisely technical leadership exercised from a position of structural weakness: France mandates hybrid deployment and certification through ANSSI, Germany issues the BSI technical guidelines, Japan runs the CRYPTREC evaluation, and South Korea ran a national competition that produced its own algorithms while keeping them interoperable with the NIST suite (QSC Atlas, 2026). Each is a niche, in the exact sense the behavioural literature gives the word: a concentration of national technical effort on the layer of the transition a middle power can actually shape, the terms of adoption, rather than the layer it cannot, the baseline itself. And it is digital-middle-power behaviour in Pannier’s sense, because the states doing it are the established digital powers her study profiles, renewing their relevance by setting terms on a technology they did not invent.</w:t>
      </w:r>
    </w:p>
    <w:p>
      <w:pPr>
        <w:spacing w:after="120" w:line="276" w:lineRule="auto"/>
        <w:jc w:val="both"/>
      </w:pPr>
      <w:r>
        <w:rPr>
          <w:rFonts w:ascii="Calibri" w:cs="Calibri" w:eastAsia="Calibri" w:hAnsi="Calibri"/>
          <w:b w:val="false"/>
          <w:bCs w:val="false"/>
          <w:i w:val="false"/>
          <w:iCs w:val="false"/>
          <w:color w:val="000000"/>
          <w:sz w:val="22"/>
          <w:szCs w:val="22"/>
        </w:rPr>
        <w:t xml:space="preserve">The phrase the Atlas uses for the posture, “adopt, but on our own terms” (QSC Atlas, 2026), is the middle-power move stated in four words. It is neither the great power’s “write the terms” nor the small state’s “accept the terms”. It is the third option, and the middle-power literature has spent forty years describing it.</w:t>
      </w:r>
    </w:p>
    <w:p>
      <w:pPr>
        <w:pStyle w:val="Heading2"/>
        <w:keepNext/>
        <w:spacing w:after="60" w:before="200" w:line="276" w:lineRule="auto"/>
      </w:pPr>
      <w:r>
        <w:rPr>
          <w:rFonts w:ascii="Calibri" w:cs="Calibri" w:eastAsia="Calibri" w:hAnsi="Calibri"/>
          <w:b/>
          <w:bCs/>
          <w:i w:val="false"/>
          <w:iCs w:val="false"/>
          <w:color w:val="000000"/>
          <w:sz w:val="24"/>
          <w:szCs w:val="24"/>
        </w:rPr>
        <w:t xml:space="preserve">the theoretical bridge</w:t>
      </w:r>
    </w:p>
    <w:p>
      <w:pPr>
        <w:spacing w:after="120" w:line="276" w:lineRule="auto"/>
        <w:jc w:val="both"/>
      </w:pPr>
      <w:r>
        <w:rPr>
          <w:rFonts w:ascii="Calibri" w:cs="Calibri" w:eastAsia="Calibri" w:hAnsi="Calibri"/>
          <w:b w:val="false"/>
          <w:bCs w:val="false"/>
          <w:i w:val="false"/>
          <w:iCs w:val="false"/>
          <w:color w:val="000000"/>
          <w:sz w:val="22"/>
          <w:szCs w:val="22"/>
        </w:rPr>
        <w:t xml:space="preserve">The convergence is not a coincidence of lists. The two literatures rest on a shared mechanism, and naming it is what turns an observation into a research programme. Büthe and Mattli’s (2011) account of who shapes standards is, structurally, a theory of middle-power agency: a state that lacks first-mover advantage, and so cannot be the maker, but holds the technical capacity and institutional access to influence how a standard is adopted, and so need not be a mere taker, is a middle power in the standards domain. The contextualiser is the empirical realisation of that intermediate actor. Where the middle-power literature derives the intermediate position from a hierarchy of national capability, the standards-governance literature derives it from a hierarchy of standard-setting capacity, and in the post-quantum case the two hierarchies coincide, because the capacity to contextualise a cryptographic standard is a national technical capability.</w:t>
      </w:r>
    </w:p>
    <w:p>
      <w:pPr>
        <w:spacing w:after="120" w:line="276" w:lineRule="auto"/>
        <w:jc w:val="both"/>
      </w:pPr>
      <w:r>
        <w:rPr>
          <w:rFonts w:ascii="Calibri" w:cs="Calibri" w:eastAsia="Calibri" w:hAnsi="Calibri"/>
          <w:b w:val="false"/>
          <w:bCs w:val="false"/>
          <w:i w:val="false"/>
          <w:iCs w:val="false"/>
          <w:color w:val="000000"/>
          <w:sz w:val="22"/>
          <w:szCs w:val="22"/>
        </w:rPr>
        <w:t xml:space="preserve">Two further elements of the Atlas’s theoretical base sharpen the bridge. The governance-of-expectations frame treats the transition as provisional, because the timing of the quantum threat is genuinely unknowable, so governance proceeds tentatively against an anticipated rather than an actual event (Budde &amp; Konrad, 2019; QSC Atlas, 2026). Under that condition, the contextualiser’s hedge, adopt the baseline now, add national requirements, keep interoperability, is the rational middle-power strategy: it commits to the only available standard while preserving the autonomy to diverge if the threat or the standard moves. The middle power, in other words, is the actor best fitted to govern a provisional standard, because hedging is its native posture. And Carlsson’s (2006) work on the internationalisation of innovation systems, which the companion report cites, supplies the frame in which a national contextualising apparatus, an ANSSI, a BSI, a CRYPTREC, is read as a national innovation system projecting itself into an international standard rather than as a mere compliance office. The middle power’s agency, on this reading, is the outward projection of a national technical capacity, which is exactly what the contextualiser profiles record.</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the categorisation: middle powers in the quantum-safe transition</w:t>
      </w:r>
    </w:p>
    <w:p>
      <w:pPr>
        <w:spacing w:after="120" w:line="276" w:lineRule="auto"/>
        <w:jc w:val="both"/>
      </w:pPr>
      <w:r>
        <w:rPr>
          <w:rFonts w:ascii="Calibri" w:cs="Calibri" w:eastAsia="Calibri" w:hAnsi="Calibri"/>
          <w:b w:val="false"/>
          <w:bCs w:val="false"/>
          <w:i w:val="false"/>
          <w:iCs w:val="false"/>
          <w:color w:val="000000"/>
          <w:sz w:val="22"/>
          <w:szCs w:val="22"/>
        </w:rPr>
        <w:t xml:space="preserve">The Atlas already categorises fifty-four countries on coordination posture and standards role. A middle-power reading does not replace that categorisation; it cross-tabulates it with the one variable the Atlas does not carry, a country’s standing in the middle-power literature, and reads the resulting cells. The cross-tabulation is set out in full in the accompanying crosswalk dataset; what follows is its analytical structure. Throughout, the Atlas fields are sourced from institutional documents, while the middle-power status is an analytical judgement drawn from the middle-power literature and should be read as such.</w:t>
      </w:r>
    </w:p>
    <w:p>
      <w:pPr>
        <w:pStyle w:val="Heading2"/>
        <w:keepNext/>
        <w:spacing w:after="60" w:before="200" w:line="276" w:lineRule="auto"/>
      </w:pPr>
      <w:r>
        <w:rPr>
          <w:rFonts w:ascii="Calibri" w:cs="Calibri" w:eastAsia="Calibri" w:hAnsi="Calibri"/>
          <w:b/>
          <w:bCs/>
          <w:i w:val="false"/>
          <w:iCs w:val="false"/>
          <w:color w:val="000000"/>
          <w:sz w:val="24"/>
          <w:szCs w:val="24"/>
        </w:rPr>
        <w:t xml:space="preserve">the convergent set: middle powers that contextualise</w:t>
      </w:r>
    </w:p>
    <w:p>
      <w:pPr>
        <w:spacing w:after="120" w:line="276" w:lineRule="auto"/>
        <w:jc w:val="both"/>
      </w:pPr>
      <w:r>
        <w:rPr>
          <w:rFonts w:ascii="Calibri" w:cs="Calibri" w:eastAsia="Calibri" w:hAnsi="Calibri"/>
          <w:b w:val="false"/>
          <w:bCs w:val="false"/>
          <w:i w:val="false"/>
          <w:iCs w:val="false"/>
          <w:color w:val="000000"/>
          <w:sz w:val="22"/>
          <w:szCs w:val="22"/>
        </w:rPr>
        <w:t xml:space="preserve">Seven countries occupy the contextualiser role: France, Germany, Japan, South Korea, India, Australia, and Singapore. Every one of them is a middle power in the international-relations literature, four of them, France, Germany, Japan, and South Korea, are the canonical cases, and the remaining three are the rising or digital middle powers that recent work has added. There is not a single contextualiser that the middle-power literature would refuse to recognise, and not a single great power among them; the United States makes the standard, and China and Russia leave it. This is the convergent cell, the set in which the theory predicts middle-power agency and the Atlas records it, and it is the empirical core of the whole argument. The seven divide on coordination posture, which is the second half of the finding: France and Germany contextualise inside the EU roadmap, while Japan, South Korea, India, Singapore, and Australia contextualise inside the American ecosystem. Contextualisation, then, is not a property of one bloc. It is a behaviour that middle powers carry into whichever bloc they join, which is what one would expect if it is a disposition of the state rather than a feature of the coordination club.</w:t>
      </w:r>
    </w:p>
    <w:p>
      <w:pPr>
        <w:pStyle w:val="Heading2"/>
        <w:keepNext/>
        <w:spacing w:after="60" w:before="200" w:line="276" w:lineRule="auto"/>
      </w:pPr>
      <w:r>
        <w:rPr>
          <w:rFonts w:ascii="Calibri" w:cs="Calibri" w:eastAsia="Calibri" w:hAnsi="Calibri"/>
          <w:b/>
          <w:bCs/>
          <w:i w:val="false"/>
          <w:iCs w:val="false"/>
          <w:color w:val="000000"/>
          <w:sz w:val="24"/>
          <w:szCs w:val="24"/>
        </w:rPr>
        <w:t xml:space="preserve">the latent middle powers: capability without contextualisation</w:t>
      </w:r>
    </w:p>
    <w:p>
      <w:pPr>
        <w:spacing w:after="120" w:line="276" w:lineRule="auto"/>
        <w:jc w:val="both"/>
      </w:pPr>
      <w:r>
        <w:rPr>
          <w:rFonts w:ascii="Calibri" w:cs="Calibri" w:eastAsia="Calibri" w:hAnsi="Calibri"/>
          <w:b w:val="false"/>
          <w:bCs w:val="false"/>
          <w:i w:val="false"/>
          <w:iCs w:val="false"/>
          <w:color w:val="000000"/>
          <w:sz w:val="22"/>
          <w:szCs w:val="22"/>
        </w:rPr>
        <w:t xml:space="preserve">Twelve states are middle powers in the international-relations sense yet sit in the Atlas as standard-takers, adopting the baseline without a national overlay. They are Brazil, Canada, Israel, Italy, the Netherlands, Norway, Poland, Saudi Arabia, Spain, Sweden, the United Arab Emirates, and the United Kingdom. This cell is the most interesting one for research, because the theory does not straightforwardly predict it: these are capable states, several of them textbook middle powers, that are not exercising the contextualiser’s agency. The cell divides usefully. The European members of it, Italy, the Netherlands, Poland, Spain, and Sweden, are takers individually but coordinate through the EU roadmap, so their agency is exercised collectively rather than abandoned, a point developed below. The harder cases are the takers inside the American ecosystem, and two of them are striking: Canada and the United Kingdom, both canonical middle powers of the entire post-war literature, are pure standard-takers in the quantum-safe transition.</w:t>
      </w:r>
    </w:p>
    <w:p>
      <w:pPr>
        <w:spacing w:after="120" w:line="276" w:lineRule="auto"/>
        <w:jc w:val="both"/>
      </w:pPr>
      <w:r>
        <w:rPr>
          <w:rFonts w:ascii="Calibri" w:cs="Calibri" w:eastAsia="Calibri" w:hAnsi="Calibri"/>
          <w:b w:val="false"/>
          <w:bCs w:val="false"/>
          <w:i w:val="false"/>
          <w:iCs w:val="false"/>
          <w:color w:val="000000"/>
          <w:sz w:val="22"/>
          <w:szCs w:val="22"/>
        </w:rPr>
        <w:t xml:space="preserve">The puzzle is worth stating sharply, because it is the engine of the most original research the convergence makes possible. Why do some middle powers contextualise while others of equal or greater capability do not? The Atlas data does not answer the question, but it frames the hypotheses. Alliance depth is the most obvious: Canada and the United Kingdom are core members of an intelligence-sharing community built around the United States, and a state that already trusts the maker’s cryptography for its most sensitive traffic has less reason to overlay national requirements than a state, like France, whose security tradition prizes cryptographic sovereignty. A national certification tradition is a second candidate: the contextualisers are, with few exceptions, states with a strong national evaluation body and a habit of certifying technology on national terms, while the takers more often defer to the maker’s validation. The point for a research programme is not to settle the explanation here but to notice that the Atlas has produced a clean natural experiment: a set of middle powers that behave as the theory predicts and a set that does not, distinguished by variables the Atlas already partly records.</w:t>
      </w:r>
    </w:p>
    <w:p>
      <w:pPr>
        <w:pStyle w:val="Heading2"/>
        <w:keepNext/>
        <w:spacing w:after="60" w:before="200" w:line="276" w:lineRule="auto"/>
      </w:pPr>
      <w:r>
        <w:rPr>
          <w:rFonts w:ascii="Calibri" w:cs="Calibri" w:eastAsia="Calibri" w:hAnsi="Calibri"/>
          <w:b/>
          <w:bCs/>
          <w:i w:val="false"/>
          <w:iCs w:val="false"/>
          <w:color w:val="000000"/>
          <w:sz w:val="24"/>
          <w:szCs w:val="24"/>
        </w:rPr>
        <w:t xml:space="preserve">the absent middle powers: ambition without commitment</w:t>
      </w:r>
    </w:p>
    <w:p>
      <w:pPr>
        <w:spacing w:after="120" w:line="276" w:lineRule="auto"/>
        <w:jc w:val="both"/>
      </w:pPr>
      <w:r>
        <w:rPr>
          <w:rFonts w:ascii="Calibri" w:cs="Calibri" w:eastAsia="Calibri" w:hAnsi="Calibri"/>
          <w:b w:val="false"/>
          <w:bCs w:val="false"/>
          <w:i w:val="false"/>
          <w:iCs w:val="false"/>
          <w:color w:val="000000"/>
          <w:sz w:val="22"/>
          <w:szCs w:val="22"/>
        </w:rPr>
        <w:t xml:space="preserve">Two middle powers, Indonesia and Türkiye, sit in the engaged-but-unaligned posture, active on the transition but committed to no bloc, standard, or timeline. They are the absent cell, and they matter disproportionately for the Global South dimension of the middle-power argument. Indonesia in particular is a self-conscious middle power in its own scholarship, theorising its international role through multilateralism and institutional mediation, yet it has made no cryptographic commitment on the record. The gap between a state’s geopolitical middle-power ambition and its cryptographic-transition action is a finding in itself, and it corroborates a pattern the background paper noted independently: the Global South middle-power literature and the technology literature have not yet met, and the states that theorise their own middle-power status most explicitly are often the least engaged with the technologies through which middle-power agency is now exercised.</w:t>
      </w:r>
    </w:p>
    <w:p>
      <w:pPr>
        <w:pStyle w:val="Heading2"/>
        <w:keepNext/>
        <w:spacing w:after="60" w:before="200" w:line="276" w:lineRule="auto"/>
      </w:pPr>
      <w:r>
        <w:rPr>
          <w:rFonts w:ascii="Calibri" w:cs="Calibri" w:eastAsia="Calibri" w:hAnsi="Calibri"/>
          <w:b/>
          <w:bCs/>
          <w:i w:val="false"/>
          <w:iCs w:val="false"/>
          <w:color w:val="000000"/>
          <w:sz w:val="24"/>
          <w:szCs w:val="24"/>
        </w:rPr>
        <w:t xml:space="preserve">the EU roadmap as a middle-power coalition</w:t>
      </w:r>
    </w:p>
    <w:p>
      <w:pPr>
        <w:spacing w:after="120" w:line="276" w:lineRule="auto"/>
        <w:jc w:val="both"/>
      </w:pPr>
      <w:r>
        <w:rPr>
          <w:rFonts w:ascii="Calibri" w:cs="Calibri" w:eastAsia="Calibri" w:hAnsi="Calibri"/>
          <w:b w:val="false"/>
          <w:bCs w:val="false"/>
          <w:i w:val="false"/>
          <w:iCs w:val="false"/>
          <w:color w:val="000000"/>
          <w:sz w:val="22"/>
          <w:szCs w:val="22"/>
        </w:rPr>
        <w:t xml:space="preserve">Twenty-five of the twenty-seven European Union members are standard-takers, adopting the NIST baseline with little national overlay. Read country by country, that looks like an abdication of agency by a continent of middle and small powers. Read as a bloc, it is the opposite. The European Union coordinates these states through a single roadmap, with shared milestones and shared regulation, and the bloc as a whole does what its individual members mostly do not: it contextualises, setting European terms, timelines, and a regulatory frame on top of the American baseline. The roadmap is, in the vocabulary of the behavioural literature, a coalition, and a particular kind of one. Cooper, Higgott, and Nossal (1993) identified coalition-building as the central technique by which middle powers compensate for the structural power they individually lack, and their model case, the Cairns Group, was a heterogeneous, single-issue coalition that turned a collection of individually weak agricultural exporters into an agenda-setting force (pp. 39, 74). The EU quantum-safe roadmap is the cryptographic instance of the same move: a mechanism that lets states which are individually takers act collectively as a contextualiser. This is the single most important refinement the middle-power reading adds to the Atlas, because it explains why the European bloc is neither a maker nor a simple aggregation of takers, and it identifies the coalition, not the member state, as the unit at which European middle-power agency in cryptography actually operates.</w:t>
      </w:r>
    </w:p>
    <w:p>
      <w:pPr>
        <w:pStyle w:val="Heading2"/>
        <w:keepNext/>
        <w:spacing w:after="60" w:before="200" w:line="276" w:lineRule="auto"/>
      </w:pPr>
      <w:r>
        <w:rPr>
          <w:rFonts w:ascii="Calibri" w:cs="Calibri" w:eastAsia="Calibri" w:hAnsi="Calibri"/>
          <w:b/>
          <w:bCs/>
          <w:i w:val="false"/>
          <w:iCs w:val="false"/>
          <w:color w:val="000000"/>
          <w:sz w:val="24"/>
          <w:szCs w:val="24"/>
        </w:rPr>
        <w:t xml:space="preserve">the sovereign developers: autonomy past the middle-power scale</w:t>
      </w:r>
    </w:p>
    <w:p>
      <w:pPr>
        <w:spacing w:after="120" w:line="276" w:lineRule="auto"/>
        <w:jc w:val="both"/>
      </w:pPr>
      <w:r>
        <w:rPr>
          <w:rFonts w:ascii="Calibri" w:cs="Calibri" w:eastAsia="Calibri" w:hAnsi="Calibri"/>
          <w:b w:val="false"/>
          <w:bCs w:val="false"/>
          <w:i w:val="false"/>
          <w:iCs w:val="false"/>
          <w:color w:val="000000"/>
          <w:sz w:val="22"/>
          <w:szCs w:val="22"/>
        </w:rPr>
        <w:t xml:space="preserve">China, Russia, and Vietnam build and mandate their own algorithms and run their transitions independently of the NIST baseline. In middle-power terms they mark the far edge of the autonomy dimension, the point at which the pursuit of independence stops being a middle-power hedge and becomes a great-power, or aspirant great-power, bid for a parallel order. The background paper’s autonomy-versus-dependence dilemma reads this directly: the contextualiser holds autonomy and interoperability together, while the sovereign developer trades interoperability away for full independence, which is autonomy taken to autarky. The sovereign developers are therefore not middle powers in the quantum-safe transition; they are the boundary that defines the middle-power position from above, the same way the maker defines it from the other side. South Korea is the instructive near-boundary case the Atlas itself flags: it runs its own national competition, the behaviour of a sovereign developer, yet keeps its algorithms interoperable with the NIST suite, the discipline of a contextualiser (QSC Atlas, 2026). It is the clearest single illustration that the line between middle-power autonomy and great-power autarky is drawn at interoperability, not at the existence of a national algorithm.</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a middle-power agency layer for the Atlas</w:t>
      </w:r>
    </w:p>
    <w:p>
      <w:pPr>
        <w:spacing w:after="120" w:line="276" w:lineRule="auto"/>
        <w:jc w:val="both"/>
      </w:pPr>
      <w:r>
        <w:rPr>
          <w:rFonts w:ascii="Calibri" w:cs="Calibri" w:eastAsia="Calibri" w:hAnsi="Calibri"/>
          <w:b w:val="false"/>
          <w:bCs w:val="false"/>
          <w:i w:val="false"/>
          <w:iCs w:val="false"/>
          <w:color w:val="000000"/>
          <w:sz w:val="22"/>
          <w:szCs w:val="22"/>
        </w:rPr>
        <w:t xml:space="preserve">The “extending the QSC Atlas” note proposes adding an evaluative layer that scores the credibility of each country’s governance on six criteria drawn from the assessment literature, reading mostly from fields the Atlas already holds, and reporting the result as a provisional, secondary profile section rather than a new map colour (QSC Atlas, 2026). The middle-power reading suggests a second layer of the same form: a scoring of how strongly a country exercises middle-power agency in the transition. The two layers are complementary. The governance-quality layer asks whether a country’s approach is any good; the middle-power layer asks whether, and how, a country is shaping a standard it did not set. A state can score well on one and poorly on the other, which is why they are separate readings rather than one composite.</w:t>
      </w:r>
    </w:p>
    <w:p>
      <w:pPr>
        <w:pStyle w:val="Heading2"/>
        <w:keepNext/>
        <w:spacing w:after="60" w:before="200" w:line="276" w:lineRule="auto"/>
      </w:pPr>
      <w:r>
        <w:rPr>
          <w:rFonts w:ascii="Calibri" w:cs="Calibri" w:eastAsia="Calibri" w:hAnsi="Calibri"/>
          <w:b/>
          <w:bCs/>
          <w:i w:val="false"/>
          <w:iCs w:val="false"/>
          <w:color w:val="000000"/>
          <w:sz w:val="24"/>
          <w:szCs w:val="24"/>
        </w:rPr>
        <w:t xml:space="preserve">four criteria, scored by design</w:t>
      </w:r>
    </w:p>
    <w:p>
      <w:pPr>
        <w:spacing w:after="120" w:line="276" w:lineRule="auto"/>
        <w:jc w:val="both"/>
      </w:pPr>
      <w:r>
        <w:rPr>
          <w:rFonts w:ascii="Calibri" w:cs="Calibri" w:eastAsia="Calibri" w:hAnsi="Calibri"/>
          <w:b w:val="false"/>
          <w:bCs w:val="false"/>
          <w:i w:val="false"/>
          <w:iCs w:val="false"/>
          <w:color w:val="000000"/>
          <w:sz w:val="22"/>
          <w:szCs w:val="22"/>
        </w:rPr>
        <w:t xml:space="preserve">The layer reads each country on four criteria, each grounded in the middle-power literature and each derived from fields the Atlas already records. Contextualisation depth asks whether the country overlays national requirements on the baseline, mandatory hybridisation, larger key sizes, national certification, or a national evaluation process, and reads from the standards role and the regulatory layer; it is the operational measure of niche and technical leadership (Cooper, Higgott, &amp; Nossal, 1993). Autonomy without autarky asks whether the country asserts national requirements while preserving interoperability, the discipline that separates a contextualiser from a sovereign developer, and reads from the standards role; it is the operational measure of the autonomy-versus-dependence dilemma. Coordination role asks whether the country shapes a collective transition, by leading or anchoring a bloc roadmap, running a competition others observe, or holding a seat in the standards bodies, and reads from the coordination posture and the recorded government actors; it is the operational measure of coalition-building. Technical-institutional capacity asks whether the country has a lead authority, a certification body, and an evaluation process equal to the task, and reads from the government-actors field and the regulatory layer; it is the operational measure of absorptive capacity, the variable the background paper identified as the binding constraint on middle-power technology agency.</w:t>
      </w:r>
    </w:p>
    <w:p>
      <w:pPr>
        <w:spacing w:after="120" w:line="276" w:lineRule="auto"/>
        <w:jc w:val="both"/>
      </w:pPr>
      <w:r>
        <w:rPr>
          <w:rFonts w:ascii="Calibri" w:cs="Calibri" w:eastAsia="Calibri" w:hAnsi="Calibri"/>
          <w:b w:val="false"/>
          <w:bCs w:val="false"/>
          <w:i w:val="false"/>
          <w:iCs w:val="false"/>
          <w:color w:val="000000"/>
          <w:sz w:val="22"/>
          <w:szCs w:val="22"/>
        </w:rPr>
        <w:t xml:space="preserve">Each criterion is scored low, medium, or high, and the scoring is by design rather than by outcome, in the same way the evaluative layer judges effectiveness and impact by design: an emerging field cannot yet show outcomes, so the layer scores whether the apparatus and the behaviour are in place, not whether they have succeeded (Vance, 2025; QSC Atlas, 2026). The sovereign developers score off the scale on autonomy, because they have left the interoperable world the middle-power position is defined within, and the engaged-but-unaligned countries score low or none across the criteria, because they have not yet committed. The maker is not scored, because it is not a middle power. The accompanying crosswalk applies the four criteria, in their rule-based form, to all fifty-four recorded countries.</w:t>
      </w:r>
    </w:p>
    <w:p>
      <w:pPr>
        <w:pStyle w:val="Heading2"/>
        <w:keepNext/>
        <w:spacing w:after="60" w:before="200" w:line="276" w:lineRule="auto"/>
      </w:pPr>
      <w:r>
        <w:rPr>
          <w:rFonts w:ascii="Calibri" w:cs="Calibri" w:eastAsia="Calibri" w:hAnsi="Calibri"/>
          <w:b/>
          <w:bCs/>
          <w:i w:val="false"/>
          <w:iCs w:val="false"/>
          <w:color w:val="000000"/>
          <w:sz w:val="24"/>
          <w:szCs w:val="24"/>
        </w:rPr>
        <w:t xml:space="preserve">what keeps it honest</w:t>
      </w:r>
    </w:p>
    <w:p>
      <w:pPr>
        <w:spacing w:after="120" w:line="276" w:lineRule="auto"/>
        <w:jc w:val="both"/>
      </w:pPr>
      <w:r>
        <w:rPr>
          <w:rFonts w:ascii="Calibri" w:cs="Calibri" w:eastAsia="Calibri" w:hAnsi="Calibri"/>
          <w:b w:val="false"/>
          <w:bCs w:val="false"/>
          <w:i w:val="false"/>
          <w:iCs w:val="false"/>
          <w:color w:val="000000"/>
          <w:sz w:val="22"/>
          <w:szCs w:val="22"/>
        </w:rPr>
        <w:t xml:space="preserve">The layer carries the same disciplines as the evaluative one, and for the same reasons. It is provisional under the governance-of-expectations frame: it scores a country’s agency at a moment in a transition that is unfinished, and it expects the score to move, so a high score is a reading of present behaviour, not a verdict on a settled record (Budde &amp; Konrad, 2019). It inherits the Atlas confidence grade, so a country scored on thin evidence reads as tentative rather than judged, which matters most for the medium-confidence cases that make up much of the contextualiser set. It is reported as transparent sub-scores with their sources, not as a single composite agency number, because a league table of middle-power agency would assert a precision the evidence cannot support and would invite exactly the ranking the Atlas has been careful to avoid. And it reads the soft-law-to-hard-law trajectory rather than a fixed snapshot, after Marchant et al. (2024): a country whose contextualising requirements are hardening from guidance into binding certification is exercising more agency over time, and the layer is built to show that movement rather than to freeze it.</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a research agenda</w:t>
      </w:r>
    </w:p>
    <w:p>
      <w:pPr>
        <w:spacing w:after="120" w:line="276" w:lineRule="auto"/>
        <w:jc w:val="both"/>
      </w:pPr>
      <w:r>
        <w:rPr>
          <w:rFonts w:ascii="Calibri" w:cs="Calibri" w:eastAsia="Calibri" w:hAnsi="Calibri"/>
          <w:b w:val="false"/>
          <w:bCs w:val="false"/>
          <w:i w:val="false"/>
          <w:iCs w:val="false"/>
          <w:color w:val="000000"/>
          <w:sz w:val="22"/>
          <w:szCs w:val="22"/>
        </w:rPr>
        <w:t xml:space="preserve">The convergence opens several distinct lines of work, and they differ in how much new data each requires.</w:t>
      </w:r>
    </w:p>
    <w:p>
      <w:pPr>
        <w:spacing w:after="120" w:line="276" w:lineRule="auto"/>
        <w:jc w:val="both"/>
      </w:pPr>
      <w:r>
        <w:rPr>
          <w:rFonts w:ascii="Calibri" w:cs="Calibri" w:eastAsia="Calibri" w:hAnsi="Calibri"/>
          <w:b w:val="false"/>
          <w:bCs w:val="false"/>
          <w:i w:val="false"/>
          <w:iCs w:val="false"/>
          <w:color w:val="000000"/>
          <w:sz w:val="22"/>
          <w:szCs w:val="22"/>
        </w:rPr>
        <w:t xml:space="preserve">The first is the reinterpretation itself, the argument that the contextualiser is the middle power of the quantum-safe transition, developed as a paper that bridges the middle-power literature and the standards-governance literature through the shared mechanism Büthe and Mattli (2011) describe. This is the foundational contribution, and it needs no new data; it reinterprets the Atlas. Its claim to originality is precise: it is the first treatment to read a national cryptographic-transition dataset through middle-power theory, and the first to identify standard contextualisation as the operational form of middle-power technical leadership.</w:t>
      </w:r>
    </w:p>
    <w:p>
      <w:pPr>
        <w:spacing w:after="120" w:line="276" w:lineRule="auto"/>
        <w:jc w:val="both"/>
      </w:pPr>
      <w:r>
        <w:rPr>
          <w:rFonts w:ascii="Calibri" w:cs="Calibri" w:eastAsia="Calibri" w:hAnsi="Calibri"/>
          <w:b w:val="false"/>
          <w:bCs w:val="false"/>
          <w:i w:val="false"/>
          <w:iCs w:val="false"/>
          <w:color w:val="000000"/>
          <w:sz w:val="22"/>
          <w:szCs w:val="22"/>
        </w:rPr>
        <w:t xml:space="preserve">The second is the latent-middle-power puzzle, the comparative study of why some capable middle powers contextualise while others of equal capability take the baseline as published. This is the most original empirical line the convergence makes available, because the Atlas has produced a clean contrast, the convergent set against the latent set, and the candidate explanations, alliance depth, cryptographic-sovereignty tradition, the strength of a national certification body, are testable against evidence the Atlas already partly holds. Canada and the United Kingdom, as canonical middle powers that are pure takers, are the natural anchor cases.</w:t>
      </w:r>
    </w:p>
    <w:p>
      <w:pPr>
        <w:spacing w:after="120" w:line="276" w:lineRule="auto"/>
        <w:jc w:val="both"/>
      </w:pPr>
      <w:r>
        <w:rPr>
          <w:rFonts w:ascii="Calibri" w:cs="Calibri" w:eastAsia="Calibri" w:hAnsi="Calibri"/>
          <w:b w:val="false"/>
          <w:bCs w:val="false"/>
          <w:i w:val="false"/>
          <w:iCs w:val="false"/>
          <w:color w:val="000000"/>
          <w:sz w:val="22"/>
          <w:szCs w:val="22"/>
        </w:rPr>
        <w:t xml:space="preserve">The third is the European coalition study, which reads the EU quantum-safe roadmap as a Cairns-Group-style coalition that lets individually weak takers act as a collective contextualiser, and tests the behavioural literature’s theory of coalition-building in a domain it was never designed for. This line connects the Atlas’s coordination-posture axis directly to the most developed body of middle-power theory.</w:t>
      </w:r>
    </w:p>
    <w:p>
      <w:pPr>
        <w:spacing w:after="120" w:line="276" w:lineRule="auto"/>
        <w:jc w:val="both"/>
      </w:pPr>
      <w:r>
        <w:rPr>
          <w:rFonts w:ascii="Calibri" w:cs="Calibri" w:eastAsia="Calibri" w:hAnsi="Calibri"/>
          <w:b w:val="false"/>
          <w:bCs w:val="false"/>
          <w:i w:val="false"/>
          <w:iCs w:val="false"/>
          <w:color w:val="000000"/>
          <w:sz w:val="22"/>
          <w:szCs w:val="22"/>
        </w:rPr>
        <w:t xml:space="preserve">The fourth is a set of contextualiser case studies, deep readings of ANSSI, the BSI, CRYPTREC, and the Korean post-quantum competition as instances of niche and technical leadership, which would give the abstract behavioural categories the empirical texture they usually lack and would feed the agency layer with the qualitative detail the rule-based scoring cannot capture.</w:t>
      </w:r>
    </w:p>
    <w:p>
      <w:pPr>
        <w:spacing w:after="120" w:line="276" w:lineRule="auto"/>
        <w:jc w:val="both"/>
      </w:pPr>
      <w:r>
        <w:rPr>
          <w:rFonts w:ascii="Calibri" w:cs="Calibri" w:eastAsia="Calibri" w:hAnsi="Calibri"/>
          <w:b w:val="false"/>
          <w:bCs w:val="false"/>
          <w:i w:val="false"/>
          <w:iCs w:val="false"/>
          <w:color w:val="000000"/>
          <w:sz w:val="22"/>
          <w:szCs w:val="22"/>
        </w:rPr>
        <w:t xml:space="preserve">The fifth is the Global South line, which takes Indonesia and Türkiye as middle powers that theorise their own status but have not entered the transition, and asks what the gap between middle-power ambition and cryptographic-transition action reveals about how the category travels outside its original Western cases. This line connects the convergence to the background paper’s finding that the Global South middle-power literature and the technology literature have not yet met.</w:t>
      </w:r>
    </w:p>
    <w:p>
      <w:pPr>
        <w:spacing w:after="120" w:line="276" w:lineRule="auto"/>
        <w:jc w:val="both"/>
      </w:pPr>
      <w:r>
        <w:rPr>
          <w:rFonts w:ascii="Calibri" w:cs="Calibri" w:eastAsia="Calibri" w:hAnsi="Calibri"/>
          <w:b w:val="false"/>
          <w:bCs w:val="false"/>
          <w:i w:val="false"/>
          <w:iCs w:val="false"/>
          <w:color w:val="000000"/>
          <w:sz w:val="22"/>
          <w:szCs w:val="22"/>
        </w:rPr>
        <w:t xml:space="preserve">The sixth is the agency layer as a standing data product, the addition of the middle-power scoring to the Atlas and its maintenance over time, which would turn the convergence from a one-off reinterpretation into a longitudinal instrument capable of tracking whether middle-power agency in cryptography is rising or receding as the transition hardens.</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argumentation: how to use the convergence</w:t>
      </w:r>
    </w:p>
    <w:p>
      <w:pPr>
        <w:spacing w:after="120" w:line="276" w:lineRule="auto"/>
        <w:jc w:val="both"/>
      </w:pPr>
      <w:r>
        <w:rPr>
          <w:rFonts w:ascii="Calibri" w:cs="Calibri" w:eastAsia="Calibri" w:hAnsi="Calibri"/>
          <w:b w:val="false"/>
          <w:bCs w:val="false"/>
          <w:i w:val="false"/>
          <w:iCs w:val="false"/>
          <w:color w:val="000000"/>
          <w:sz w:val="22"/>
          <w:szCs w:val="22"/>
        </w:rPr>
        <w:t xml:space="preserve">The convergence supplies a small number of argumentative moves that are stronger together than the middle-power literature or the Atlas is alone.</w:t>
      </w:r>
    </w:p>
    <w:p>
      <w:pPr>
        <w:spacing w:after="120" w:line="276" w:lineRule="auto"/>
        <w:jc w:val="both"/>
      </w:pPr>
      <w:r>
        <w:rPr>
          <w:rFonts w:ascii="Calibri" w:cs="Calibri" w:eastAsia="Calibri" w:hAnsi="Calibri"/>
          <w:b w:val="false"/>
          <w:bCs w:val="false"/>
          <w:i w:val="false"/>
          <w:iCs w:val="false"/>
          <w:color w:val="000000"/>
          <w:sz w:val="22"/>
          <w:szCs w:val="22"/>
        </w:rPr>
        <w:t xml:space="preserve">The first is the third-path argument. Between the maker that writes the standard and the sovereign developer that rejects it lies the contextualiser that adopts and adapts it, and the existence of a populated third path is direct evidence that middle powers exercise real agency in the most infrastructural of digital technologies. The frequent charge against the middle-power category, that it names a posture without demonstrating influence, is answered by a sourced list of seven states doing something concrete that is neither making nor taking.</w:t>
      </w:r>
    </w:p>
    <w:p>
      <w:pPr>
        <w:spacing w:after="120" w:line="276" w:lineRule="auto"/>
        <w:jc w:val="both"/>
      </w:pPr>
      <w:r>
        <w:rPr>
          <w:rFonts w:ascii="Calibri" w:cs="Calibri" w:eastAsia="Calibri" w:hAnsi="Calibri"/>
          <w:b w:val="false"/>
          <w:bCs w:val="false"/>
          <w:i w:val="false"/>
          <w:iCs w:val="false"/>
          <w:color w:val="000000"/>
          <w:sz w:val="22"/>
          <w:szCs w:val="22"/>
        </w:rPr>
        <w:t xml:space="preserve">The second is the agency-is-measurable argument. The contextualiser’s overlay is not a disposition inferred from speeches; it is a set of documented instruments, mandatory hybridisation, larger key sizes, national certification, a national evaluation process, each traceable to an institutional source in the Atlas. The convergence therefore lets the middle-power claim be made in the register its critics demand, the register of evidence rather than of attribution.</w:t>
      </w:r>
    </w:p>
    <w:p>
      <w:pPr>
        <w:spacing w:after="120" w:line="276" w:lineRule="auto"/>
        <w:jc w:val="both"/>
      </w:pPr>
      <w:r>
        <w:rPr>
          <w:rFonts w:ascii="Calibri" w:cs="Calibri" w:eastAsia="Calibri" w:hAnsi="Calibri"/>
          <w:b w:val="false"/>
          <w:bCs w:val="false"/>
          <w:i w:val="false"/>
          <w:iCs w:val="false"/>
          <w:color w:val="000000"/>
          <w:sz w:val="22"/>
          <w:szCs w:val="22"/>
        </w:rPr>
        <w:t xml:space="preserve">The third is the mutual-validation argument. Two literatures built in ignorance of each other, the international-relations theory of middle powers and the political-economy theory of standards, identify the same intermediate actor by independent routes. When two frameworks converge on the same set of states from different premises, each lends the other credibility, and the convergence is itself a finding.</w:t>
      </w:r>
    </w:p>
    <w:p>
      <w:pPr>
        <w:spacing w:after="120" w:line="276" w:lineRule="auto"/>
        <w:jc w:val="both"/>
      </w:pPr>
      <w:r>
        <w:rPr>
          <w:rFonts w:ascii="Calibri" w:cs="Calibri" w:eastAsia="Calibri" w:hAnsi="Calibri"/>
          <w:b w:val="false"/>
          <w:bCs w:val="false"/>
          <w:i w:val="false"/>
          <w:iCs w:val="false"/>
          <w:color w:val="000000"/>
          <w:sz w:val="22"/>
          <w:szCs w:val="22"/>
        </w:rPr>
        <w:t xml:space="preserve">The fourth is the abdication argument, which the latent cell makes available. That capable middle powers like Canada and the United Kingdom are pure takers shows that middle-power status does not guarantee middle-power behaviour, which is precisely the claim the behavioural literature has always made: Cooper, Higgott, and Nossal (1993) insisted that to be counted a middle power a state has to act as one (p. 41), and the latent cell is the empirical demonstration that some do not. The convergence thus supports the behavioural definition against the positional one, on cryptographic evidence.</w:t>
      </w:r>
    </w:p>
    <w:p>
      <w:pPr>
        <w:spacing w:after="120" w:line="276" w:lineRule="auto"/>
        <w:jc w:val="both"/>
      </w:pPr>
      <w:r>
        <w:rPr>
          <w:rFonts w:ascii="Calibri" w:cs="Calibri" w:eastAsia="Calibri" w:hAnsi="Calibri"/>
          <w:b w:val="false"/>
          <w:bCs w:val="false"/>
          <w:i w:val="false"/>
          <w:iCs w:val="false"/>
          <w:color w:val="000000"/>
          <w:sz w:val="22"/>
          <w:szCs w:val="22"/>
        </w:rPr>
        <w:t xml:space="preserve">The fifth is the governance argument, for a policy audience. Under irreducible uncertainty about the quantum threat’s timing, the contextualiser’s hedge is the rational strategy, and the middle power is the actor best fitted to govern a provisional standard, because hedging under uncertainty is its native posture. A task force or a policy body that wants to organise middle powers around the transition should therefore organise them around contextualisation, the agency move that is actually available to them, rather than around frontier capability, which only the maker has, or around sovereignty, which shades into the autarky of the developers. The European roadmap is the model coalition for that organisation, because it is the existing proof that takers can be assembled into a collective contextualiser.</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limitations and what would falsify the thesis</w:t>
      </w:r>
    </w:p>
    <w:p>
      <w:pPr>
        <w:spacing w:after="120" w:line="276" w:lineRule="auto"/>
        <w:jc w:val="both"/>
      </w:pPr>
      <w:r>
        <w:rPr>
          <w:rFonts w:ascii="Calibri" w:cs="Calibri" w:eastAsia="Calibri" w:hAnsi="Calibri"/>
          <w:b w:val="false"/>
          <w:bCs w:val="false"/>
          <w:i w:val="false"/>
          <w:iCs w:val="false"/>
          <w:color w:val="000000"/>
          <w:sz w:val="22"/>
          <w:szCs w:val="22"/>
        </w:rPr>
        <w:t xml:space="preserve">The convergence is strong but it is not beyond challenge, and naming the challenges is part of making the claim honestly. The middle-power status used in the cross-tabulation is an analytical judgement, not an Atlas verdict, and it is contestable at the margin: the United Kingdom’s status is debated in the literature, and a different list of middle powers would move a few countries between cells, though not enough to disturb the central finding that every contextualiser is a middle power. The contextualiser coding itself carries the Atlas’s own confidence grades, several of them medium, so the convergent set is a provisional reading of an unfinished transition, not a fixed fact. And the causal story behind the latent cell is, at this stage, a set of hypotheses rather than a tested explanation; the convergence identifies the puzzle cleanly but does not yet solve it.</w:t>
      </w:r>
    </w:p>
    <w:p>
      <w:pPr>
        <w:spacing w:after="120" w:line="276" w:lineRule="auto"/>
        <w:jc w:val="both"/>
      </w:pPr>
      <w:r>
        <w:rPr>
          <w:rFonts w:ascii="Calibri" w:cs="Calibri" w:eastAsia="Calibri" w:hAnsi="Calibri"/>
          <w:b w:val="false"/>
          <w:bCs w:val="false"/>
          <w:i w:val="false"/>
          <w:iCs w:val="false"/>
          <w:color w:val="000000"/>
          <w:sz w:val="22"/>
          <w:szCs w:val="22"/>
        </w:rPr>
        <w:t xml:space="preserve">The thesis is falsifiable, which is its strength. It would be weakened if the contextualiser set diverged from the middle-power set as the Atlas adds countries, if states that no account would call middle powers began to contextualise in numbers, or if the canonical middle powers clustered as takers rather than as contextualisers. It would be undercut if the contextualisers’ national overlays turned out to be cosmetic, formal requirements with no independent technical content, in which case contextualisation would not be technical leadership after all. And it would be complicated if the latent middle powers contextualised once their transitions matured, which would suggest the convergent and latent cells differ only in timing rather than in behaviour. Each of these is checkable against the Atlas as it grows, which is the point of building the agency layer into the instrument rather than asserting the convergence once and leaving it. The Atlas is the standing base the claim can be tested on, and the claim is offered in that spirit: as a reading to be maintained and contested, not a conclusion to be filed.</w:t>
      </w:r>
    </w:p>
    <w:p>
      <w:pPr>
        <w:pStyle w:val="Heading1"/>
        <w:keepNext/>
        <w:spacing w:after="120" w:before="280" w:line="276" w:lineRule="auto"/>
      </w:pPr>
      <w:r>
        <w:rPr>
          <w:rFonts w:ascii="Calibri" w:cs="Calibri" w:eastAsia="Calibri" w:hAnsi="Calibri"/>
          <w:b/>
          <w:bCs/>
          <w:i w:val="false"/>
          <w:iCs w:val="false"/>
          <w:color w:val="000000"/>
          <w:sz w:val="28"/>
          <w:szCs w:val="28"/>
        </w:rPr>
        <w:t xml:space="preserve">references</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Büthe, T., &amp; Mattli, W. (2011). </w:t>
      </w:r>
      <w:r>
        <w:rPr>
          <w:rFonts w:ascii="Calibri" w:cs="Calibri" w:eastAsia="Calibri" w:hAnsi="Calibri"/>
          <w:b w:val="false"/>
          <w:bCs w:val="false"/>
          <w:i/>
          <w:iCs/>
          <w:color w:val="000000"/>
          <w:sz w:val="22"/>
          <w:szCs w:val="22"/>
        </w:rPr>
        <w:t xml:space="preserve">The new global rulers: The privatization of regulation in the world economy</w:t>
      </w:r>
      <w:r>
        <w:rPr>
          <w:rFonts w:ascii="Calibri" w:cs="Calibri" w:eastAsia="Calibri" w:hAnsi="Calibri"/>
          <w:b w:val="false"/>
          <w:bCs w:val="false"/>
          <w:i w:val="false"/>
          <w:iCs w:val="false"/>
          <w:color w:val="000000"/>
          <w:sz w:val="22"/>
          <w:szCs w:val="22"/>
        </w:rPr>
        <w:t xml:space="preserve">. Princeton University Press.</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Budde, B., &amp; Konrad, K. (2019). Tentative governing of fuel cell innovation in a dynamic network of expectations. </w:t>
      </w:r>
      <w:r>
        <w:rPr>
          <w:rFonts w:ascii="Calibri" w:cs="Calibri" w:eastAsia="Calibri" w:hAnsi="Calibri"/>
          <w:b w:val="false"/>
          <w:bCs w:val="false"/>
          <w:i/>
          <w:iCs/>
          <w:color w:val="000000"/>
          <w:sz w:val="22"/>
          <w:szCs w:val="22"/>
        </w:rPr>
        <w:t xml:space="preserve">Research Policy, 48</w:t>
      </w:r>
      <w:r>
        <w:rPr>
          <w:rFonts w:ascii="Calibri" w:cs="Calibri" w:eastAsia="Calibri" w:hAnsi="Calibri"/>
          <w:b w:val="false"/>
          <w:bCs w:val="false"/>
          <w:i w:val="false"/>
          <w:iCs w:val="false"/>
          <w:color w:val="000000"/>
          <w:sz w:val="22"/>
          <w:szCs w:val="22"/>
        </w:rPr>
        <w:t xml:space="preserve">(5), 1098-1112.</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Carlsson, B. (2006). Internationalization of innovation systems: A survey of the literature. </w:t>
      </w:r>
      <w:r>
        <w:rPr>
          <w:rFonts w:ascii="Calibri" w:cs="Calibri" w:eastAsia="Calibri" w:hAnsi="Calibri"/>
          <w:b w:val="false"/>
          <w:bCs w:val="false"/>
          <w:i/>
          <w:iCs/>
          <w:color w:val="000000"/>
          <w:sz w:val="22"/>
          <w:szCs w:val="22"/>
        </w:rPr>
        <w:t xml:space="preserve">Research Policy, 35</w:t>
      </w:r>
      <w:r>
        <w:rPr>
          <w:rFonts w:ascii="Calibri" w:cs="Calibri" w:eastAsia="Calibri" w:hAnsi="Calibri"/>
          <w:b w:val="false"/>
          <w:bCs w:val="false"/>
          <w:i w:val="false"/>
          <w:iCs w:val="false"/>
          <w:color w:val="000000"/>
          <w:sz w:val="22"/>
          <w:szCs w:val="22"/>
        </w:rPr>
        <w:t xml:space="preserve">(1), 56-67.</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Cooper, A. F., Higgott, R. A., &amp; Nossal, K. R. (1993). </w:t>
      </w:r>
      <w:r>
        <w:rPr>
          <w:rFonts w:ascii="Calibri" w:cs="Calibri" w:eastAsia="Calibri" w:hAnsi="Calibri"/>
          <w:b w:val="false"/>
          <w:bCs w:val="false"/>
          <w:i/>
          <w:iCs/>
          <w:color w:val="000000"/>
          <w:sz w:val="22"/>
          <w:szCs w:val="22"/>
        </w:rPr>
        <w:t xml:space="preserve">Relocating middle powers: Australia and Canada in a changing world order</w:t>
      </w:r>
      <w:r>
        <w:rPr>
          <w:rFonts w:ascii="Calibri" w:cs="Calibri" w:eastAsia="Calibri" w:hAnsi="Calibri"/>
          <w:b w:val="false"/>
          <w:bCs w:val="false"/>
          <w:i w:val="false"/>
          <w:iCs w:val="false"/>
          <w:color w:val="000000"/>
          <w:sz w:val="22"/>
          <w:szCs w:val="22"/>
        </w:rPr>
        <w:t xml:space="preserve">. UBC Press.</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Holbraad, C. (1984). </w:t>
      </w:r>
      <w:r>
        <w:rPr>
          <w:rFonts w:ascii="Calibri" w:cs="Calibri" w:eastAsia="Calibri" w:hAnsi="Calibri"/>
          <w:b w:val="false"/>
          <w:bCs w:val="false"/>
          <w:i/>
          <w:iCs/>
          <w:color w:val="000000"/>
          <w:sz w:val="22"/>
          <w:szCs w:val="22"/>
        </w:rPr>
        <w:t xml:space="preserve">Middle powers in international politics</w:t>
      </w:r>
      <w:r>
        <w:rPr>
          <w:rFonts w:ascii="Calibri" w:cs="Calibri" w:eastAsia="Calibri" w:hAnsi="Calibri"/>
          <w:b w:val="false"/>
          <w:bCs w:val="false"/>
          <w:i w:val="false"/>
          <w:iCs w:val="false"/>
          <w:color w:val="000000"/>
          <w:sz w:val="22"/>
          <w:szCs w:val="22"/>
        </w:rPr>
        <w:t xml:space="preserve">. Macmillan.</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Kim, S. (2018). </w:t>
      </w:r>
      <w:r>
        <w:rPr>
          <w:rFonts w:ascii="Calibri" w:cs="Calibri" w:eastAsia="Calibri" w:hAnsi="Calibri"/>
          <w:b w:val="false"/>
          <w:bCs w:val="false"/>
          <w:i/>
          <w:iCs/>
          <w:color w:val="000000"/>
          <w:sz w:val="22"/>
          <w:szCs w:val="22"/>
        </w:rPr>
        <w:t xml:space="preserve">Emerging powers and a middle power: U.S.-China competition and South Korea in cyberspace</w:t>
      </w:r>
      <w:r>
        <w:rPr>
          <w:rFonts w:ascii="Calibri" w:cs="Calibri" w:eastAsia="Calibri" w:hAnsi="Calibri"/>
          <w:b w:val="false"/>
          <w:bCs w:val="false"/>
          <w:i w:val="false"/>
          <w:iCs w:val="false"/>
          <w:color w:val="000000"/>
          <w:sz w:val="22"/>
          <w:szCs w:val="22"/>
        </w:rPr>
        <w:t xml:space="preserve"> (Working Paper No. 93). Institute of International Studies, Seoul National University.</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Marchant, G., Bazzi, R., Bowman, D., Connor, J., Davis, R. A. III, Kang, E., Konkoly-Thege, K., Liu, D., Lloyd-Jones, S., Manwaring, K., Bennett Moses, L., Wagner, M., &amp; Wastek, S. (2024). </w:t>
      </w:r>
      <w:r>
        <w:rPr>
          <w:rFonts w:ascii="Calibri" w:cs="Calibri" w:eastAsia="Calibri" w:hAnsi="Calibri"/>
          <w:b w:val="false"/>
          <w:bCs w:val="false"/>
          <w:i/>
          <w:iCs/>
          <w:color w:val="000000"/>
          <w:sz w:val="22"/>
          <w:szCs w:val="22"/>
        </w:rPr>
        <w:t xml:space="preserve">Learning from emerging technology governance for guiding quantum technology</w:t>
      </w:r>
      <w:r>
        <w:rPr>
          <w:rFonts w:ascii="Calibri" w:cs="Calibri" w:eastAsia="Calibri" w:hAnsi="Calibri"/>
          <w:b w:val="false"/>
          <w:bCs w:val="false"/>
          <w:i w:val="false"/>
          <w:iCs w:val="false"/>
          <w:color w:val="000000"/>
          <w:sz w:val="22"/>
          <w:szCs w:val="22"/>
        </w:rPr>
        <w:t xml:space="preserve">. UNSW Law &amp; Justice Research Series.</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National Institute of Standards and Technology. (2024). </w:t>
      </w:r>
      <w:r>
        <w:rPr>
          <w:rFonts w:ascii="Calibri" w:cs="Calibri" w:eastAsia="Calibri" w:hAnsi="Calibri"/>
          <w:b w:val="false"/>
          <w:bCs w:val="false"/>
          <w:i/>
          <w:iCs/>
          <w:color w:val="000000"/>
          <w:sz w:val="22"/>
          <w:szCs w:val="22"/>
        </w:rPr>
        <w:t xml:space="preserve">Post-quantum cryptography standards</w:t>
      </w:r>
      <w:r>
        <w:rPr>
          <w:rFonts w:ascii="Calibri" w:cs="Calibri" w:eastAsia="Calibri" w:hAnsi="Calibri"/>
          <w:b w:val="false"/>
          <w:bCs w:val="false"/>
          <w:i w:val="false"/>
          <w:iCs w:val="false"/>
          <w:color w:val="000000"/>
          <w:sz w:val="22"/>
          <w:szCs w:val="22"/>
        </w:rPr>
        <w:t xml:space="preserve"> (FIPS 203, 204, 205). NIST.</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Paglieri, L., Bonomi Savignon, A., Scalabrini, F., &amp; Costumato, L. (2025). Navigating the quantum frontier: Examining government strategy to the next technological revolution. </w:t>
      </w:r>
      <w:r>
        <w:rPr>
          <w:rFonts w:ascii="Calibri" w:cs="Calibri" w:eastAsia="Calibri" w:hAnsi="Calibri"/>
          <w:b w:val="false"/>
          <w:bCs w:val="false"/>
          <w:i/>
          <w:iCs/>
          <w:color w:val="000000"/>
          <w:sz w:val="22"/>
          <w:szCs w:val="22"/>
        </w:rPr>
        <w:t xml:space="preserve">Transforming Government: People, Process and Policy, 19</w:t>
      </w:r>
      <w:r>
        <w:rPr>
          <w:rFonts w:ascii="Calibri" w:cs="Calibri" w:eastAsia="Calibri" w:hAnsi="Calibri"/>
          <w:b w:val="false"/>
          <w:bCs w:val="false"/>
          <w:i w:val="false"/>
          <w:iCs w:val="false"/>
          <w:color w:val="000000"/>
          <w:sz w:val="22"/>
          <w:szCs w:val="22"/>
        </w:rPr>
        <w:t xml:space="preserve">(4).</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Pannier, A. (Ed.). (2023). </w:t>
      </w:r>
      <w:r>
        <w:rPr>
          <w:rFonts w:ascii="Calibri" w:cs="Calibri" w:eastAsia="Calibri" w:hAnsi="Calibri"/>
          <w:b w:val="false"/>
          <w:bCs w:val="false"/>
          <w:i/>
          <w:iCs/>
          <w:color w:val="000000"/>
          <w:sz w:val="22"/>
          <w:szCs w:val="22"/>
        </w:rPr>
        <w:t xml:space="preserve">The technology policies of digital middle powers</w:t>
      </w:r>
      <w:r>
        <w:rPr>
          <w:rFonts w:ascii="Calibri" w:cs="Calibri" w:eastAsia="Calibri" w:hAnsi="Calibri"/>
          <w:b w:val="false"/>
          <w:bCs w:val="false"/>
          <w:i w:val="false"/>
          <w:iCs w:val="false"/>
          <w:color w:val="000000"/>
          <w:sz w:val="22"/>
          <w:szCs w:val="22"/>
        </w:rPr>
        <w:t xml:space="preserve">. Institut français des relations internationales.</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Purohit, A., Kaur, M., &amp; Venegas-Gomez, A. (2023). Building a quantum-ready ecosystem. </w:t>
      </w:r>
      <w:r>
        <w:rPr>
          <w:rFonts w:ascii="Calibri" w:cs="Calibri" w:eastAsia="Calibri" w:hAnsi="Calibri"/>
          <w:b w:val="false"/>
          <w:bCs w:val="false"/>
          <w:i/>
          <w:iCs/>
          <w:color w:val="000000"/>
          <w:sz w:val="22"/>
          <w:szCs w:val="22"/>
        </w:rPr>
        <w:t xml:space="preserve">IET Quantum Communication</w:t>
      </w:r>
      <w:r>
        <w:rPr>
          <w:rFonts w:ascii="Calibri" w:cs="Calibri" w:eastAsia="Calibri" w:hAnsi="Calibri"/>
          <w:b w:val="false"/>
          <w:bCs w:val="false"/>
          <w:i w:val="false"/>
          <w:iCs w:val="false"/>
          <w:color w:val="000000"/>
          <w:sz w:val="22"/>
          <w:szCs w:val="22"/>
        </w:rPr>
        <w:t xml:space="preserve">.</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Pupillo, L., Ferreira, A., Lipiainen, V., &amp; Polito, C. (2023). </w:t>
      </w:r>
      <w:r>
        <w:rPr>
          <w:rFonts w:ascii="Calibri" w:cs="Calibri" w:eastAsia="Calibri" w:hAnsi="Calibri"/>
          <w:b w:val="false"/>
          <w:bCs w:val="false"/>
          <w:i/>
          <w:iCs/>
          <w:color w:val="000000"/>
          <w:sz w:val="22"/>
          <w:szCs w:val="22"/>
        </w:rPr>
        <w:t xml:space="preserve">Quantum technologies and cybersecurity: Technology, governance and policy challenges</w:t>
      </w:r>
      <w:r>
        <w:rPr>
          <w:rFonts w:ascii="Calibri" w:cs="Calibri" w:eastAsia="Calibri" w:hAnsi="Calibri"/>
          <w:b w:val="false"/>
          <w:bCs w:val="false"/>
          <w:i w:val="false"/>
          <w:iCs w:val="false"/>
          <w:color w:val="000000"/>
          <w:sz w:val="22"/>
          <w:szCs w:val="22"/>
        </w:rPr>
        <w:t xml:space="preserve">. Centre for European Policy Studies.</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Pupillo, L., et al. (2025). </w:t>
      </w:r>
      <w:r>
        <w:rPr>
          <w:rFonts w:ascii="Calibri" w:cs="Calibri" w:eastAsia="Calibri" w:hAnsi="Calibri"/>
          <w:b w:val="false"/>
          <w:bCs w:val="false"/>
          <w:i/>
          <w:iCs/>
          <w:color w:val="000000"/>
          <w:sz w:val="22"/>
          <w:szCs w:val="22"/>
        </w:rPr>
        <w:t xml:space="preserve">Strengthening the EU transition to a quantum-safe world: Technology, market and governance</w:t>
      </w:r>
      <w:r>
        <w:rPr>
          <w:rFonts w:ascii="Calibri" w:cs="Calibri" w:eastAsia="Calibri" w:hAnsi="Calibri"/>
          <w:b w:val="false"/>
          <w:bCs w:val="false"/>
          <w:i w:val="false"/>
          <w:iCs w:val="false"/>
          <w:color w:val="000000"/>
          <w:sz w:val="22"/>
          <w:szCs w:val="22"/>
        </w:rPr>
        <w:t xml:space="preserve"> (Task Force Report). Centre for European Policy Studies.</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QSC Atlas. (2026). </w:t>
      </w:r>
      <w:r>
        <w:rPr>
          <w:rFonts w:ascii="Calibri" w:cs="Calibri" w:eastAsia="Calibri" w:hAnsi="Calibri"/>
          <w:b w:val="false"/>
          <w:bCs w:val="false"/>
          <w:i/>
          <w:iCs/>
          <w:color w:val="000000"/>
          <w:sz w:val="22"/>
          <w:szCs w:val="22"/>
        </w:rPr>
        <w:t xml:space="preserve">The QSC Atlas, companion report, classification model, and extending the analysis</w:t>
      </w:r>
      <w:r>
        <w:rPr>
          <w:rFonts w:ascii="Calibri" w:cs="Calibri" w:eastAsia="Calibri" w:hAnsi="Calibri"/>
          <w:b w:val="false"/>
          <w:bCs w:val="false"/>
          <w:i w:val="false"/>
          <w:iCs w:val="false"/>
          <w:color w:val="000000"/>
          <w:sz w:val="22"/>
          <w:szCs w:val="22"/>
        </w:rPr>
        <w:t xml:space="preserve"> [Research instrument and documentation]. qsc-atlas.vercel.app.</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Star, S. L. (1999). The ethnography of infrastructure. </w:t>
      </w:r>
      <w:r>
        <w:rPr>
          <w:rFonts w:ascii="Calibri" w:cs="Calibri" w:eastAsia="Calibri" w:hAnsi="Calibri"/>
          <w:b w:val="false"/>
          <w:bCs w:val="false"/>
          <w:i/>
          <w:iCs/>
          <w:color w:val="000000"/>
          <w:sz w:val="22"/>
          <w:szCs w:val="22"/>
        </w:rPr>
        <w:t xml:space="preserve">American Behavioral Scientist, 43</w:t>
      </w:r>
      <w:r>
        <w:rPr>
          <w:rFonts w:ascii="Calibri" w:cs="Calibri" w:eastAsia="Calibri" w:hAnsi="Calibri"/>
          <w:b w:val="false"/>
          <w:bCs w:val="false"/>
          <w:i w:val="false"/>
          <w:iCs w:val="false"/>
          <w:color w:val="000000"/>
          <w:sz w:val="22"/>
          <w:szCs w:val="22"/>
        </w:rPr>
        <w:t xml:space="preserve">(3), 377-391.</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Vance, A. S. (2025). </w:t>
      </w:r>
      <w:r>
        <w:rPr>
          <w:rFonts w:ascii="Calibri" w:cs="Calibri" w:eastAsia="Calibri" w:hAnsi="Calibri"/>
          <w:b w:val="false"/>
          <w:bCs w:val="false"/>
          <w:i/>
          <w:iCs/>
          <w:color w:val="000000"/>
          <w:sz w:val="22"/>
          <w:szCs w:val="22"/>
        </w:rPr>
        <w:t xml:space="preserve">Cybersecurity and quantum computing: A quantitative analysis proposing a framework for assessing quantum cybersecurity maturity</w:t>
      </w:r>
      <w:r>
        <w:rPr>
          <w:rFonts w:ascii="Calibri" w:cs="Calibri" w:eastAsia="Calibri" w:hAnsi="Calibri"/>
          <w:b w:val="false"/>
          <w:bCs w:val="false"/>
          <w:i w:val="false"/>
          <w:iCs w:val="false"/>
          <w:color w:val="000000"/>
          <w:sz w:val="22"/>
          <w:szCs w:val="22"/>
        </w:rPr>
        <w:t xml:space="preserve"> [Doctoral dissertation].</w:t>
      </w:r>
    </w:p>
    <w:p>
      <w:pPr>
        <w:spacing w:after="120" w:line="264" w:lineRule="auto"/>
        <w:ind w:left="720" w:hanging="720"/>
        <w:jc w:val="left"/>
      </w:pPr>
      <w:r>
        <w:rPr>
          <w:rFonts w:ascii="Calibri" w:cs="Calibri" w:eastAsia="Calibri" w:hAnsi="Calibri"/>
          <w:b w:val="false"/>
          <w:bCs w:val="false"/>
          <w:i w:val="false"/>
          <w:iCs w:val="false"/>
          <w:color w:val="000000"/>
          <w:sz w:val="22"/>
          <w:szCs w:val="22"/>
        </w:rPr>
        <w:t xml:space="preserve">Yates, J., &amp; Murphy, C. N. (2019). </w:t>
      </w:r>
      <w:r>
        <w:rPr>
          <w:rFonts w:ascii="Calibri" w:cs="Calibri" w:eastAsia="Calibri" w:hAnsi="Calibri"/>
          <w:b w:val="false"/>
          <w:bCs w:val="false"/>
          <w:i/>
          <w:iCs/>
          <w:color w:val="000000"/>
          <w:sz w:val="22"/>
          <w:szCs w:val="22"/>
        </w:rPr>
        <w:t xml:space="preserve">Engineering rules: Global standard setting since 1880</w:t>
      </w:r>
      <w:r>
        <w:rPr>
          <w:rFonts w:ascii="Calibri" w:cs="Calibri" w:eastAsia="Calibri" w:hAnsi="Calibri"/>
          <w:b w:val="false"/>
          <w:bCs w:val="false"/>
          <w:i w:val="false"/>
          <w:iCs w:val="false"/>
          <w:color w:val="000000"/>
          <w:sz w:val="22"/>
          <w:szCs w:val="22"/>
        </w:rPr>
        <w:t xml:space="preserve">. Johns Hopkins University Press.</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Calibri" w:cs="Calibri" w:eastAsia="Calibri" w:hAnsi="Calibri"/>
        <w:smallCaps/>
        <w:color w:val="888888"/>
        <w:sz w:val="16"/>
        <w:szCs w:val="16"/>
      </w:rPr>
      <w:t xml:space="preserve">converging middle-power theory with the quantum-safe transition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000000"/>
      <w:sz w:val="28"/>
      <w:szCs w:val="28"/>
    </w:rPr>
  </w:style>
  <w:style w:type="paragraph" w:styleId="Heading2">
    <w:name w:val="Heading 2"/>
    <w:basedOn w:val="Normal"/>
    <w:next w:val="Normal"/>
    <w:qFormat/>
    <w:pPr>
      <w:keepNext/>
      <w:spacing w:after="60" w:before="20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2026-06-30T18:18:07.301Z</dcterms:created>
  <dcterms:modified xsi:type="dcterms:W3CDTF">2026-06-30T18:18:07.301Z</dcterms:modified>
</cp:coreProperties>
</file>

<file path=docProps/custom.xml><?xml version="1.0" encoding="utf-8"?>
<Properties xmlns="http://schemas.openxmlformats.org/officeDocument/2006/custom-properties" xmlns:vt="http://schemas.openxmlformats.org/officeDocument/2006/docPropsVTypes"/>
</file>