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2"/>
          <w:szCs w:val="22"/>
        </w:rPr>
        <w:t xml:space="preserve"/>
      </w:r>
    </w:p>
    <w:p>
      <w:r>
        <w:rPr>
          <w:sz w:val="22"/>
          <w:szCs w:val="22"/>
        </w:rPr>
        <w:t xml:space="preserve"/>
      </w:r>
    </w:p>
    <w:p>
      <w:r>
        <w:rPr>
          <w:sz w:val="22"/>
          <w:szCs w:val="22"/>
        </w:rPr>
        <w:t xml:space="preserve"/>
      </w:r>
    </w:p>
    <w:p>
      <w:r>
        <w:rPr>
          <w:sz w:val="22"/>
          <w:szCs w:val="22"/>
        </w:rPr>
        <w:t xml:space="preserve"/>
      </w:r>
    </w:p>
    <w:p>
      <w:r>
        <w:rPr>
          <w:sz w:val="22"/>
          <w:szCs w:val="22"/>
        </w:rPr>
        <w:t xml:space="preserve"/>
      </w:r>
    </w:p>
    <w:p>
      <w:r>
        <w:rPr>
          <w:sz w:val="22"/>
          <w:szCs w:val="22"/>
        </w:rPr>
        <w:t xml:space="preserve"/>
      </w:r>
    </w:p>
    <w:p>
      <w:pPr>
        <w:spacing w:after="160" w:line="300" w:lineRule="auto"/>
        <w:jc w:val="center"/>
      </w:pPr>
      <w:r>
        <w:rPr>
          <w:rFonts w:ascii="Calibri" w:cs="Calibri" w:eastAsia="Calibri" w:hAnsi="Calibri"/>
          <w:b/>
          <w:bCs/>
          <w:i w:val="false"/>
          <w:iCs w:val="false"/>
          <w:color w:val="000000"/>
          <w:sz w:val="46"/>
          <w:szCs w:val="46"/>
        </w:rPr>
        <w:t xml:space="preserve">the middle power of the quantum-safe transition</w:t>
      </w:r>
    </w:p>
    <w:p>
      <w:pPr>
        <w:spacing w:after="240" w:line="288" w:lineRule="auto"/>
        <w:jc w:val="center"/>
      </w:pPr>
      <w:r>
        <w:rPr>
          <w:rFonts w:ascii="Calibri" w:cs="Calibri" w:eastAsia="Calibri" w:hAnsi="Calibri"/>
          <w:b w:val="false"/>
          <w:bCs w:val="false"/>
          <w:i w:val="false"/>
          <w:iCs w:val="false"/>
          <w:color w:val="444444"/>
          <w:sz w:val="26"/>
          <w:szCs w:val="26"/>
        </w:rPr>
        <w:t xml:space="preserve">strategic memo</w:t>
      </w:r>
    </w:p>
    <w:p>
      <w:pPr>
        <w:pBdr>
          <w:bottom w:val="single" w:color="888888" w:sz="6" w:space="6"/>
        </w:pBdr>
        <w:spacing w:after="160"/>
        <w:jc w:val="center"/>
      </w:pPr>
      <w:r>
        <w:rPr>
          <w:sz w:val="6"/>
          <w:szCs w:val="6"/>
        </w:rPr>
        <w:t xml:space="preserve"/>
      </w:r>
    </w:p>
    <w:p>
      <w:pPr>
        <w:jc w:val="center"/>
      </w:pPr>
      <w:r>
        <w:rPr>
          <w:rFonts w:ascii="Calibri" w:cs="Calibri" w:eastAsia="Calibri" w:hAnsi="Calibri"/>
          <w:smallCaps/>
          <w:color w:val="555555"/>
          <w:sz w:val="22"/>
          <w:szCs w:val="22"/>
        </w:rPr>
        <w:t xml:space="preserve">strategic memo</w:t>
      </w:r>
    </w:p>
    <w:p>
      <w:r>
        <w:br w:type="page"/>
      </w:r>
    </w:p>
    <w:p>
      <w:pPr>
        <w:sectPr>
          <w:pgSz w:w="12240" w:h="15840" w:orient="portrait"/>
          <w:pgMar w:top="1440" w:right="1440" w:bottom="1440" w:left="1440" w:header="708" w:footer="708" w:gutter="0"/>
          <w:pgNumType/>
          <w:docGrid w:linePitch="360"/>
        </w:sectPr>
      </w:pPr>
    </w:p>
    <w:p>
      <w:pPr>
        <w:pStyle w:val="Heading1"/>
        <w:keepNext/>
        <w:spacing w:after="120" w:before="280" w:line="276" w:lineRule="auto"/>
      </w:pPr>
      <w:r>
        <w:rPr>
          <w:rFonts w:ascii="Calibri" w:cs="Calibri" w:eastAsia="Calibri" w:hAnsi="Calibri"/>
          <w:b/>
          <w:bCs/>
          <w:i w:val="false"/>
          <w:iCs w:val="false"/>
          <w:color w:val="000000"/>
          <w:sz w:val="28"/>
          <w:szCs w:val="28"/>
        </w:rPr>
        <w:t xml:space="preserve">the thesis in one line</w:t>
      </w:r>
    </w:p>
    <w:p>
      <w:pPr>
        <w:spacing w:after="120" w:line="276" w:lineRule="auto"/>
        <w:jc w:val="both"/>
      </w:pPr>
      <w:r>
        <w:rPr>
          <w:rFonts w:ascii="Calibri" w:cs="Calibri" w:eastAsia="Calibri" w:hAnsi="Calibri"/>
          <w:b w:val="false"/>
          <w:bCs w:val="false"/>
          <w:i w:val="false"/>
          <w:iCs w:val="false"/>
          <w:color w:val="000000"/>
          <w:sz w:val="22"/>
          <w:szCs w:val="22"/>
        </w:rPr>
        <w:t xml:space="preserve">The QSC Atlas’s middle category, the standard-contextualiser, is the middle power of the quantum-safe transition: every one of the seven states the Atlas codes as a contextualiser is a middle power, and the behaviour the Atlas records for them, adopting the American cryptographic baseline while overlaying national requirements on top, is the behavioural definition of a middle power applied to cryptography.</w:t>
      </w:r>
    </w:p>
    <w:p>
      <w:pPr>
        <w:pStyle w:val="Heading1"/>
        <w:keepNext/>
        <w:spacing w:after="120" w:before="280" w:line="276" w:lineRule="auto"/>
      </w:pPr>
      <w:r>
        <w:rPr>
          <w:rFonts w:ascii="Calibri" w:cs="Calibri" w:eastAsia="Calibri" w:hAnsi="Calibri"/>
          <w:b/>
          <w:bCs/>
          <w:i w:val="false"/>
          <w:iCs w:val="false"/>
          <w:color w:val="000000"/>
          <w:sz w:val="28"/>
          <w:szCs w:val="28"/>
        </w:rPr>
        <w:t xml:space="preserve">why it matters for the task force</w:t>
      </w:r>
    </w:p>
    <w:p>
      <w:pPr>
        <w:spacing w:after="120" w:line="276" w:lineRule="auto"/>
        <w:jc w:val="both"/>
      </w:pPr>
      <w:r>
        <w:rPr>
          <w:rFonts w:ascii="Calibri" w:cs="Calibri" w:eastAsia="Calibri" w:hAnsi="Calibri"/>
          <w:b w:val="false"/>
          <w:bCs w:val="false"/>
          <w:i w:val="false"/>
          <w:iCs w:val="false"/>
          <w:color w:val="000000"/>
          <w:sz w:val="22"/>
          <w:szCs w:val="22"/>
        </w:rPr>
        <w:t xml:space="preserve">The convergence gives the middle-power argument something it usually lacks: a sourced, institutional dataset in which middle-power agency is concrete and measurable rather than asserted. It also gives the QSC Atlas a theoretical frame it does not yet have, because “middle power” appears nowhere in the Atlas at present. Each instrument strengthens the other, and the task force can use the pair as the worked case that turns the abstract middle-power framework into evidence.</w:t>
      </w:r>
    </w:p>
    <w:p>
      <w:pPr>
        <w:pStyle w:val="Heading1"/>
        <w:keepNext/>
        <w:spacing w:after="120" w:before="280" w:line="276" w:lineRule="auto"/>
      </w:pPr>
      <w:r>
        <w:rPr>
          <w:rFonts w:ascii="Calibri" w:cs="Calibri" w:eastAsia="Calibri" w:hAnsi="Calibri"/>
          <w:b/>
          <w:bCs/>
          <w:i w:val="false"/>
          <w:iCs w:val="false"/>
          <w:color w:val="000000"/>
          <w:sz w:val="28"/>
          <w:szCs w:val="28"/>
        </w:rPr>
        <w:t xml:space="preserve">the categorisation, at a glance</w:t>
      </w:r>
    </w:p>
    <w:p>
      <w:pPr>
        <w:spacing w:after="120" w:line="276" w:lineRule="auto"/>
        <w:jc w:val="both"/>
      </w:pPr>
      <w:r>
        <w:rPr>
          <w:rFonts w:ascii="Calibri" w:cs="Calibri" w:eastAsia="Calibri" w:hAnsi="Calibri"/>
          <w:b w:val="false"/>
          <w:bCs w:val="false"/>
          <w:i w:val="false"/>
          <w:iCs w:val="false"/>
          <w:color w:val="000000"/>
          <w:sz w:val="22"/>
          <w:szCs w:val="22"/>
        </w:rPr>
        <w:t xml:space="preserve">The Atlas classifies fifty-four countries on two axes. Read through middle-power theory, they fall into five cells. The full mapping is in the crosswalk spreadsheet; the structure is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808080" w:sz="4"/>
              <w:left w:val="single" w:color="808080" w:sz="4"/>
              <w:bottom w:val="single" w:color="808080" w:sz="4"/>
              <w:right w:val="single" w:color="808080" w:sz="4"/>
            </w:tcBorders>
            <w:shd w:fill="D9D9D9" w:color="auto" w:val="clear"/>
            <w:tcMar>
              <w:top w:type="dxa" w:w="60"/>
              <w:left w:type="dxa" w:w="110"/>
              <w:bottom w:type="dxa" w:w="60"/>
              <w:right w:type="dxa" w:w="110"/>
            </w:tcMar>
          </w:tcPr>
          <w:p>
            <w:pPr>
              <w:spacing w:after="0" w:line="252" w:lineRule="auto"/>
            </w:pPr>
            <w:r>
              <w:rPr>
                <w:rFonts w:ascii="Calibri" w:cs="Calibri" w:eastAsia="Calibri" w:hAnsi="Calibri"/>
                <w:b/>
                <w:bCs/>
                <w:i w:val="false"/>
                <w:iCs w:val="false"/>
                <w:color w:val="000000"/>
                <w:sz w:val="19"/>
                <w:szCs w:val="19"/>
              </w:rPr>
              <w:t xml:space="preserve">cell</w:t>
            </w:r>
          </w:p>
        </w:tc>
        <w:tc>
          <w:tcPr>
            <w:tcW w:type="dxa" w:w="3120"/>
            <w:tcBorders>
              <w:top w:val="single" w:color="808080" w:sz="4"/>
              <w:left w:val="single" w:color="808080" w:sz="4"/>
              <w:bottom w:val="single" w:color="808080" w:sz="4"/>
              <w:right w:val="single" w:color="808080" w:sz="4"/>
            </w:tcBorders>
            <w:shd w:fill="D9D9D9" w:color="auto" w:val="clear"/>
            <w:tcMar>
              <w:top w:type="dxa" w:w="60"/>
              <w:left w:type="dxa" w:w="110"/>
              <w:bottom w:type="dxa" w:w="60"/>
              <w:right w:type="dxa" w:w="110"/>
            </w:tcMar>
          </w:tcPr>
          <w:p>
            <w:pPr>
              <w:spacing w:after="0" w:line="252" w:lineRule="auto"/>
            </w:pPr>
            <w:r>
              <w:rPr>
                <w:rFonts w:ascii="Calibri" w:cs="Calibri" w:eastAsia="Calibri" w:hAnsi="Calibri"/>
                <w:b/>
                <w:bCs/>
                <w:i w:val="false"/>
                <w:iCs w:val="false"/>
                <w:color w:val="000000"/>
                <w:sz w:val="19"/>
                <w:szCs w:val="19"/>
              </w:rPr>
              <w:t xml:space="preserve">what it is</w:t>
            </w:r>
          </w:p>
        </w:tc>
        <w:tc>
          <w:tcPr>
            <w:tcW w:type="dxa" w:w="3120"/>
            <w:tcBorders>
              <w:top w:val="single" w:color="808080" w:sz="4"/>
              <w:left w:val="single" w:color="808080" w:sz="4"/>
              <w:bottom w:val="single" w:color="808080" w:sz="4"/>
              <w:right w:val="single" w:color="808080" w:sz="4"/>
            </w:tcBorders>
            <w:shd w:fill="D9D9D9" w:color="auto" w:val="clear"/>
            <w:tcMar>
              <w:top w:type="dxa" w:w="60"/>
              <w:left w:type="dxa" w:w="110"/>
              <w:bottom w:type="dxa" w:w="60"/>
              <w:right w:type="dxa" w:w="110"/>
            </w:tcMar>
          </w:tcPr>
          <w:p>
            <w:pPr>
              <w:spacing w:after="0" w:line="252" w:lineRule="auto"/>
            </w:pPr>
            <w:r>
              <w:rPr>
                <w:rFonts w:ascii="Calibri" w:cs="Calibri" w:eastAsia="Calibri" w:hAnsi="Calibri"/>
                <w:b/>
                <w:bCs/>
                <w:i w:val="false"/>
                <w:iCs w:val="false"/>
                <w:color w:val="000000"/>
                <w:sz w:val="19"/>
                <w:szCs w:val="19"/>
              </w:rPr>
              <w:t xml:space="preserve">who is in it</w:t>
            </w:r>
          </w:p>
        </w:tc>
      </w:tr>
      <w:tr>
        <w:tc>
          <w:tcPr>
            <w:tcW w:type="dxa" w:w="312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lineRule="auto"/>
            </w:pPr>
            <w:r>
              <w:rPr>
                <w:rFonts w:ascii="Calibri" w:cs="Calibri" w:eastAsia="Calibri" w:hAnsi="Calibri"/>
                <w:b w:val="false"/>
                <w:bCs w:val="false"/>
                <w:i w:val="false"/>
                <w:iCs w:val="false"/>
                <w:color w:val="000000"/>
                <w:sz w:val="19"/>
                <w:szCs w:val="19"/>
              </w:rPr>
              <w:t xml:space="preserve">Convergent: middle powers that contextualise</w:t>
            </w:r>
          </w:p>
        </w:tc>
        <w:tc>
          <w:tcPr>
            <w:tcW w:type="dxa" w:w="312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lineRule="auto"/>
            </w:pPr>
            <w:r>
              <w:rPr>
                <w:rFonts w:ascii="Calibri" w:cs="Calibri" w:eastAsia="Calibri" w:hAnsi="Calibri"/>
                <w:b w:val="false"/>
                <w:bCs w:val="false"/>
                <w:i w:val="false"/>
                <w:iCs w:val="false"/>
                <w:color w:val="000000"/>
                <w:sz w:val="19"/>
                <w:szCs w:val="19"/>
              </w:rPr>
              <w:t xml:space="preserve">adopt the baseline, add national requirements, keep interoperability</w:t>
            </w:r>
          </w:p>
        </w:tc>
        <w:tc>
          <w:tcPr>
            <w:tcW w:type="dxa" w:w="312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lineRule="auto"/>
            </w:pPr>
            <w:r>
              <w:rPr>
                <w:rFonts w:ascii="Calibri" w:cs="Calibri" w:eastAsia="Calibri" w:hAnsi="Calibri"/>
                <w:b w:val="false"/>
                <w:bCs w:val="false"/>
                <w:i w:val="false"/>
                <w:iCs w:val="false"/>
                <w:color w:val="000000"/>
                <w:sz w:val="19"/>
                <w:szCs w:val="19"/>
              </w:rPr>
              <w:t xml:space="preserve">France, Germany, Japan, South Korea, India, Australia, Singapore</w:t>
            </w:r>
          </w:p>
        </w:tc>
      </w:tr>
      <w:tr>
        <w:tc>
          <w:tcPr>
            <w:tcW w:type="dxa" w:w="312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lineRule="auto"/>
            </w:pPr>
            <w:r>
              <w:rPr>
                <w:rFonts w:ascii="Calibri" w:cs="Calibri" w:eastAsia="Calibri" w:hAnsi="Calibri"/>
                <w:b w:val="false"/>
                <w:bCs w:val="false"/>
                <w:i w:val="false"/>
                <w:iCs w:val="false"/>
                <w:color w:val="000000"/>
                <w:sz w:val="19"/>
                <w:szCs w:val="19"/>
              </w:rPr>
              <w:t xml:space="preserve">Coalition-coordinating: the EU as a collective contextualiser</w:t>
            </w:r>
          </w:p>
        </w:tc>
        <w:tc>
          <w:tcPr>
            <w:tcW w:type="dxa" w:w="312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lineRule="auto"/>
            </w:pPr>
            <w:r>
              <w:rPr>
                <w:rFonts w:ascii="Calibri" w:cs="Calibri" w:eastAsia="Calibri" w:hAnsi="Calibri"/>
                <w:b w:val="false"/>
                <w:bCs w:val="false"/>
                <w:i w:val="false"/>
                <w:iCs w:val="false"/>
                <w:color w:val="000000"/>
                <w:sz w:val="19"/>
                <w:szCs w:val="19"/>
              </w:rPr>
              <w:t xml:space="preserve">individually takers, collectively a contextualiser via the shared roadmap</w:t>
            </w:r>
          </w:p>
        </w:tc>
        <w:tc>
          <w:tcPr>
            <w:tcW w:type="dxa" w:w="312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lineRule="auto"/>
            </w:pPr>
            <w:r>
              <w:rPr>
                <w:rFonts w:ascii="Calibri" w:cs="Calibri" w:eastAsia="Calibri" w:hAnsi="Calibri"/>
                <w:b w:val="false"/>
                <w:bCs w:val="false"/>
                <w:i w:val="false"/>
                <w:iCs w:val="false"/>
                <w:color w:val="000000"/>
                <w:sz w:val="19"/>
                <w:szCs w:val="19"/>
              </w:rPr>
              <w:t xml:space="preserve">25 EU member states</w:t>
            </w:r>
          </w:p>
        </w:tc>
      </w:tr>
      <w:tr>
        <w:tc>
          <w:tcPr>
            <w:tcW w:type="dxa" w:w="312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lineRule="auto"/>
            </w:pPr>
            <w:r>
              <w:rPr>
                <w:rFonts w:ascii="Calibri" w:cs="Calibri" w:eastAsia="Calibri" w:hAnsi="Calibri"/>
                <w:b w:val="false"/>
                <w:bCs w:val="false"/>
                <w:i w:val="false"/>
                <w:iCs w:val="false"/>
                <w:color w:val="000000"/>
                <w:sz w:val="19"/>
                <w:szCs w:val="19"/>
              </w:rPr>
              <w:t xml:space="preserve">Latent: middle powers that take without contextualising</w:t>
            </w:r>
          </w:p>
        </w:tc>
        <w:tc>
          <w:tcPr>
            <w:tcW w:type="dxa" w:w="312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lineRule="auto"/>
            </w:pPr>
            <w:r>
              <w:rPr>
                <w:rFonts w:ascii="Calibri" w:cs="Calibri" w:eastAsia="Calibri" w:hAnsi="Calibri"/>
                <w:b w:val="false"/>
                <w:bCs w:val="false"/>
                <w:i w:val="false"/>
                <w:iCs w:val="false"/>
                <w:color w:val="000000"/>
                <w:sz w:val="19"/>
                <w:szCs w:val="19"/>
              </w:rPr>
              <w:t xml:space="preserve">capable, but adopt the baseline as published</w:t>
            </w:r>
          </w:p>
        </w:tc>
        <w:tc>
          <w:tcPr>
            <w:tcW w:type="dxa" w:w="312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lineRule="auto"/>
            </w:pPr>
            <w:r>
              <w:rPr>
                <w:rFonts w:ascii="Calibri" w:cs="Calibri" w:eastAsia="Calibri" w:hAnsi="Calibri"/>
                <w:b w:val="false"/>
                <w:bCs w:val="false"/>
                <w:i w:val="false"/>
                <w:iCs w:val="false"/>
                <w:color w:val="000000"/>
                <w:sz w:val="19"/>
                <w:szCs w:val="19"/>
              </w:rPr>
              <w:t xml:space="preserve">Canada, United Kingdom, Israel, Brazil, Norway, Saudi Arabia, UAE (and EU takers Italy, Netherlands, Poland, Spain, Sweden)</w:t>
            </w:r>
          </w:p>
        </w:tc>
      </w:tr>
      <w:tr>
        <w:tc>
          <w:tcPr>
            <w:tcW w:type="dxa" w:w="312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lineRule="auto"/>
            </w:pPr>
            <w:r>
              <w:rPr>
                <w:rFonts w:ascii="Calibri" w:cs="Calibri" w:eastAsia="Calibri" w:hAnsi="Calibri"/>
                <w:b w:val="false"/>
                <w:bCs w:val="false"/>
                <w:i w:val="false"/>
                <w:iCs w:val="false"/>
                <w:color w:val="000000"/>
                <w:sz w:val="19"/>
                <w:szCs w:val="19"/>
              </w:rPr>
              <w:t xml:space="preserve">Absent: middle powers not yet committed</w:t>
            </w:r>
          </w:p>
        </w:tc>
        <w:tc>
          <w:tcPr>
            <w:tcW w:type="dxa" w:w="312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lineRule="auto"/>
            </w:pPr>
            <w:r>
              <w:rPr>
                <w:rFonts w:ascii="Calibri" w:cs="Calibri" w:eastAsia="Calibri" w:hAnsi="Calibri"/>
                <w:b w:val="false"/>
                <w:bCs w:val="false"/>
                <w:i w:val="false"/>
                <w:iCs w:val="false"/>
                <w:color w:val="000000"/>
                <w:sz w:val="19"/>
                <w:szCs w:val="19"/>
              </w:rPr>
              <w:t xml:space="preserve">active but unaligned on bloc, standard, and timeline</w:t>
            </w:r>
          </w:p>
        </w:tc>
        <w:tc>
          <w:tcPr>
            <w:tcW w:type="dxa" w:w="312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lineRule="auto"/>
            </w:pPr>
            <w:r>
              <w:rPr>
                <w:rFonts w:ascii="Calibri" w:cs="Calibri" w:eastAsia="Calibri" w:hAnsi="Calibri"/>
                <w:b w:val="false"/>
                <w:bCs w:val="false"/>
                <w:i w:val="false"/>
                <w:iCs w:val="false"/>
                <w:color w:val="000000"/>
                <w:sz w:val="19"/>
                <w:szCs w:val="19"/>
              </w:rPr>
              <w:t xml:space="preserve">Indonesia, Türkiye</w:t>
            </w:r>
          </w:p>
        </w:tc>
      </w:tr>
      <w:tr>
        <w:tc>
          <w:tcPr>
            <w:tcW w:type="dxa" w:w="312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lineRule="auto"/>
            </w:pPr>
            <w:r>
              <w:rPr>
                <w:rFonts w:ascii="Calibri" w:cs="Calibri" w:eastAsia="Calibri" w:hAnsi="Calibri"/>
                <w:b w:val="false"/>
                <w:bCs w:val="false"/>
                <w:i w:val="false"/>
                <w:iCs w:val="false"/>
                <w:color w:val="000000"/>
                <w:sz w:val="19"/>
                <w:szCs w:val="19"/>
              </w:rPr>
              <w:t xml:space="preserve">Beyond the scale: the autarky pole</w:t>
            </w:r>
          </w:p>
        </w:tc>
        <w:tc>
          <w:tcPr>
            <w:tcW w:type="dxa" w:w="312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lineRule="auto"/>
            </w:pPr>
            <w:r>
              <w:rPr>
                <w:rFonts w:ascii="Calibri" w:cs="Calibri" w:eastAsia="Calibri" w:hAnsi="Calibri"/>
                <w:b w:val="false"/>
                <w:bCs w:val="false"/>
                <w:i w:val="false"/>
                <w:iCs w:val="false"/>
                <w:color w:val="000000"/>
                <w:sz w:val="19"/>
                <w:szCs w:val="19"/>
              </w:rPr>
              <w:t xml:space="preserve">own algorithms, own track, interoperability traded away</w:t>
            </w:r>
          </w:p>
        </w:tc>
        <w:tc>
          <w:tcPr>
            <w:tcW w:type="dxa" w:w="312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lineRule="auto"/>
            </w:pPr>
            <w:r>
              <w:rPr>
                <w:rFonts w:ascii="Calibri" w:cs="Calibri" w:eastAsia="Calibri" w:hAnsi="Calibri"/>
                <w:b w:val="false"/>
                <w:bCs w:val="false"/>
                <w:i w:val="false"/>
                <w:iCs w:val="false"/>
                <w:color w:val="000000"/>
                <w:sz w:val="19"/>
                <w:szCs w:val="19"/>
              </w:rPr>
              <w:t xml:space="preserve">China, Russia, Vietnam</w:t>
            </w:r>
          </w:p>
        </w:tc>
      </w:tr>
    </w:tbl>
    <w:p>
      <w:pPr>
        <w:spacing w:after="80"/>
      </w:pPr>
      <w:r>
        <w:rPr>
          <w:sz w:val="12"/>
          <w:szCs w:val="12"/>
        </w:rPr>
        <w:t xml:space="preserve"/>
      </w:r>
    </w:p>
    <w:p>
      <w:pPr>
        <w:spacing w:after="120" w:line="276" w:lineRule="auto"/>
        <w:jc w:val="both"/>
      </w:pPr>
      <w:r>
        <w:rPr>
          <w:rFonts w:ascii="Calibri" w:cs="Calibri" w:eastAsia="Calibri" w:hAnsi="Calibri"/>
          <w:b w:val="false"/>
          <w:bCs w:val="false"/>
          <w:i w:val="false"/>
          <w:iCs w:val="false"/>
          <w:color w:val="000000"/>
          <w:sz w:val="22"/>
          <w:szCs w:val="22"/>
        </w:rPr>
        <w:t xml:space="preserve">The maker, the United States, sits above the scale: it writes the baseline the others adopt.</w:t>
      </w:r>
    </w:p>
    <w:p>
      <w:pPr>
        <w:pStyle w:val="Heading1"/>
        <w:keepNext/>
        <w:spacing w:after="120" w:before="280" w:line="276" w:lineRule="auto"/>
      </w:pPr>
      <w:r>
        <w:rPr>
          <w:rFonts w:ascii="Calibri" w:cs="Calibri" w:eastAsia="Calibri" w:hAnsi="Calibri"/>
          <w:b/>
          <w:bCs/>
          <w:i w:val="false"/>
          <w:iCs w:val="false"/>
          <w:color w:val="000000"/>
          <w:sz w:val="28"/>
          <w:szCs w:val="28"/>
        </w:rPr>
        <w:t xml:space="preserve">the five argumentation moves</w:t>
      </w:r>
    </w:p>
    <w:p>
      <w:pPr>
        <w:spacing w:after="120" w:line="276" w:lineRule="auto"/>
        <w:jc w:val="both"/>
      </w:pPr>
      <w:r>
        <w:rPr>
          <w:rFonts w:ascii="Calibri" w:cs="Calibri" w:eastAsia="Calibri" w:hAnsi="Calibri"/>
          <w:b w:val="false"/>
          <w:bCs w:val="false"/>
          <w:i w:val="false"/>
          <w:iCs w:val="false"/>
          <w:color w:val="000000"/>
          <w:sz w:val="22"/>
          <w:szCs w:val="22"/>
        </w:rPr>
        <w:t xml:space="preserve">1. The third-path argument. Between the maker that writes the standard and the sovereign developer that rejects it, the contextualiser adopts and adapts it. A populated third path is direct evidence that middle powers shape even the standards they did not write.</w:t>
      </w:r>
    </w:p>
    <w:p>
      <w:pPr>
        <w:spacing w:after="120" w:line="276" w:lineRule="auto"/>
        <w:jc w:val="both"/>
      </w:pPr>
      <w:r>
        <w:rPr>
          <w:rFonts w:ascii="Calibri" w:cs="Calibri" w:eastAsia="Calibri" w:hAnsi="Calibri"/>
          <w:b w:val="false"/>
          <w:bCs w:val="false"/>
          <w:i w:val="false"/>
          <w:iCs w:val="false"/>
          <w:color w:val="000000"/>
          <w:sz w:val="22"/>
          <w:szCs w:val="22"/>
        </w:rPr>
        <w:t xml:space="preserve">2. The agency-is-measurable argument. The contextualiser overlay is documented instruments, mandatory hybridisation, larger key sizes, national certification, national evaluation, each traceable to an institutional source. The middle-power claim can be made in the register of evidence, not attribution.</w:t>
      </w:r>
    </w:p>
    <w:p>
      <w:pPr>
        <w:spacing w:after="120" w:line="276" w:lineRule="auto"/>
        <w:jc w:val="both"/>
      </w:pPr>
      <w:r>
        <w:rPr>
          <w:rFonts w:ascii="Calibri" w:cs="Calibri" w:eastAsia="Calibri" w:hAnsi="Calibri"/>
          <w:b w:val="false"/>
          <w:bCs w:val="false"/>
          <w:i w:val="false"/>
          <w:iCs w:val="false"/>
          <w:color w:val="000000"/>
          <w:sz w:val="22"/>
          <w:szCs w:val="22"/>
        </w:rPr>
        <w:t xml:space="preserve">3. The mutual-validation argument. The international-relations theory of middle powers and the political-economy theory of standards (Büthe &amp; Mattli, 2011) identify the same intermediate actor by independent routes. Convergence from different premises is itself a finding.</w:t>
      </w:r>
    </w:p>
    <w:p>
      <w:pPr>
        <w:spacing w:after="120" w:line="276" w:lineRule="auto"/>
        <w:jc w:val="both"/>
      </w:pPr>
      <w:r>
        <w:rPr>
          <w:rFonts w:ascii="Calibri" w:cs="Calibri" w:eastAsia="Calibri" w:hAnsi="Calibri"/>
          <w:b w:val="false"/>
          <w:bCs w:val="false"/>
          <w:i w:val="false"/>
          <w:iCs w:val="false"/>
          <w:color w:val="000000"/>
          <w:sz w:val="22"/>
          <w:szCs w:val="22"/>
        </w:rPr>
        <w:t xml:space="preserve">4. The abdication argument. Canada and the United Kingdom are canonical middle powers and pure takers. Middle-power status does not guarantee middle-power behaviour, which is exactly the behavioural literature’s claim that a state must act as a middle power to count as one (Cooper, Higgott, &amp; Nossal, 1993).</w:t>
      </w:r>
    </w:p>
    <w:p>
      <w:pPr>
        <w:spacing w:after="120" w:line="276" w:lineRule="auto"/>
        <w:jc w:val="both"/>
      </w:pPr>
      <w:r>
        <w:rPr>
          <w:rFonts w:ascii="Calibri" w:cs="Calibri" w:eastAsia="Calibri" w:hAnsi="Calibri"/>
          <w:b w:val="false"/>
          <w:bCs w:val="false"/>
          <w:i w:val="false"/>
          <w:iCs w:val="false"/>
          <w:color w:val="000000"/>
          <w:sz w:val="22"/>
          <w:szCs w:val="22"/>
        </w:rPr>
        <w:t xml:space="preserve">5. The governance argument. Under irreducible uncertainty about the threat’s timing, the contextualiser’s hedge is the rational strategy, and the middle power is the actor best fitted to govern a provisional standard. Organise middle powers around contextualisation, the agency move actually available to them, not around frontier capability, which only the maker has.</w:t>
      </w:r>
    </w:p>
    <w:p>
      <w:pPr>
        <w:pStyle w:val="Heading1"/>
        <w:keepNext/>
        <w:spacing w:after="120" w:before="280" w:line="276" w:lineRule="auto"/>
      </w:pPr>
      <w:r>
        <w:rPr>
          <w:rFonts w:ascii="Calibri" w:cs="Calibri" w:eastAsia="Calibri" w:hAnsi="Calibri"/>
          <w:b/>
          <w:bCs/>
          <w:i w:val="false"/>
          <w:iCs w:val="false"/>
          <w:color w:val="000000"/>
          <w:sz w:val="28"/>
          <w:szCs w:val="28"/>
        </w:rPr>
        <w:t xml:space="preserve">the sharpest single finding</w:t>
      </w:r>
    </w:p>
    <w:p>
      <w:pPr>
        <w:spacing w:after="120" w:line="276" w:lineRule="auto"/>
        <w:jc w:val="both"/>
      </w:pPr>
      <w:r>
        <w:rPr>
          <w:rFonts w:ascii="Calibri" w:cs="Calibri" w:eastAsia="Calibri" w:hAnsi="Calibri"/>
          <w:b w:val="false"/>
          <w:bCs w:val="false"/>
          <w:i w:val="false"/>
          <w:iCs w:val="false"/>
          <w:color w:val="000000"/>
          <w:sz w:val="22"/>
          <w:szCs w:val="22"/>
        </w:rPr>
        <w:t xml:space="preserve">Canada and the United Kingdom, two of the most cited middle powers in the entire literature, are pure standard-takers in the quantum-safe transition, while France, Germany, Japan, and South Korea contextualise. The Atlas has produced a clean natural experiment: capable middle powers that behave as the theory predicts, and capable middle powers that do not. Explaining the difference, the likeliest drivers are alliance depth and a national cryptographic-sovereignty tradition, is the most original research the convergence makes available.</w:t>
      </w:r>
    </w:p>
    <w:p>
      <w:pPr>
        <w:pStyle w:val="Heading1"/>
        <w:keepNext/>
        <w:spacing w:after="120" w:before="280" w:line="276" w:lineRule="auto"/>
      </w:pPr>
      <w:r>
        <w:rPr>
          <w:rFonts w:ascii="Calibri" w:cs="Calibri" w:eastAsia="Calibri" w:hAnsi="Calibri"/>
          <w:b/>
          <w:bCs/>
          <w:i w:val="false"/>
          <w:iCs w:val="false"/>
          <w:color w:val="000000"/>
          <w:sz w:val="28"/>
          <w:szCs w:val="28"/>
        </w:rPr>
        <w:t xml:space="preserve">four things the task force could commission</w:t>
      </w:r>
    </w:p>
    <w:p>
      <w:pPr>
        <w:spacing w:after="120" w:line="276" w:lineRule="auto"/>
        <w:jc w:val="both"/>
      </w:pPr>
      <w:r>
        <w:rPr>
          <w:rFonts w:ascii="Calibri" w:cs="Calibri" w:eastAsia="Calibri" w:hAnsi="Calibri"/>
          <w:b w:val="false"/>
          <w:bCs w:val="false"/>
          <w:i w:val="false"/>
          <w:iCs w:val="false"/>
          <w:color w:val="000000"/>
          <w:sz w:val="22"/>
          <w:szCs w:val="22"/>
        </w:rPr>
        <w:t xml:space="preserve">1. The reinterpretation paper: the contextualiser as the middle power of the quantum-safe transition. No new data; reinterprets the Atlas. 2. The latent-middle-power study: why capable middle powers diverge into contextualisers and takers, anchored on Canada and the United Kingdom. 3. The European coalition study: the EU roadmap as a Cairns-Group-style coalition that lets takers act as a collective contextualiser. 4. The agency layer: add a middle-power agency score to the Atlas, parallel to the proposed governance-quality layer, and track it over time.</w:t>
      </w:r>
    </w:p>
    <w:p>
      <w:pPr>
        <w:pStyle w:val="Heading1"/>
        <w:keepNext/>
        <w:spacing w:after="120" w:before="280" w:line="276" w:lineRule="auto"/>
      </w:pPr>
      <w:r>
        <w:rPr>
          <w:rFonts w:ascii="Calibri" w:cs="Calibri" w:eastAsia="Calibri" w:hAnsi="Calibri"/>
          <w:b/>
          <w:bCs/>
          <w:i w:val="false"/>
          <w:iCs w:val="false"/>
          <w:color w:val="000000"/>
          <w:sz w:val="28"/>
          <w:szCs w:val="28"/>
        </w:rPr>
        <w:t xml:space="preserve">what to watch</w:t>
      </w:r>
    </w:p>
    <w:p>
      <w:pPr>
        <w:spacing w:after="120" w:line="276" w:lineRule="auto"/>
        <w:jc w:val="both"/>
      </w:pPr>
      <w:r>
        <w:rPr>
          <w:rFonts w:ascii="Calibri" w:cs="Calibri" w:eastAsia="Calibri" w:hAnsi="Calibri"/>
          <w:b w:val="false"/>
          <w:bCs w:val="false"/>
          <w:i w:val="false"/>
          <w:iCs w:val="false"/>
          <w:color w:val="000000"/>
          <w:sz w:val="22"/>
          <w:szCs w:val="22"/>
        </w:rPr>
        <w:t xml:space="preserve">The convergence is provisional and falsifiable, which is its strength. It holds if the contextualiser set stays a subset of the middle-power set as the Atlas grows. It weakens if states no account would call middle powers begin to contextualise in numbers, if the canonical middle powers cluster as takers, or if the national overlays prove cosmetic rather than technical. Each is checkable against the Atlas, which is the standing base on which the claim can be maintained or revised.</w:t>
      </w:r>
    </w:p>
    <w:sectPr>
      <w:headerReference w:type="default" r:id="rId7"/>
      <w:footerReference w:type="default" r:id="rId8"/>
      <w:pgSz w:w="12240" w:h="15840"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space="4"/>
      </w:pBdr>
      <w:jc w:val="right"/>
    </w:pPr>
    <w:r>
      <w:rPr>
        <w:rFonts w:ascii="Calibri" w:cs="Calibri" w:eastAsia="Calibri" w:hAnsi="Calibri"/>
        <w:smallCaps/>
        <w:color w:val="888888"/>
        <w:sz w:val="16"/>
        <w:szCs w:val="16"/>
      </w:rPr>
      <w:t xml:space="preserve">the middle power of the quantum-safe transition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80"/>
      <w:outlineLvl w:val="0"/>
    </w:pPr>
    <w:rPr>
      <w:rFonts w:ascii="Calibri" w:cs="Calibri" w:eastAsia="Calibri" w:hAnsi="Calibri"/>
      <w:b/>
      <w:bCs/>
      <w:color w:val="000000"/>
      <w:sz w:val="28"/>
      <w:szCs w:val="28"/>
    </w:rPr>
  </w:style>
  <w:style w:type="paragraph" w:styleId="Heading2">
    <w:name w:val="Heading 2"/>
    <w:basedOn w:val="Normal"/>
    <w:next w:val="Normal"/>
    <w:qFormat/>
    <w:pPr>
      <w:keepNext/>
      <w:spacing w:after="60" w:before="200"/>
      <w:outlineLvl w:val="1"/>
    </w:pPr>
    <w:rPr>
      <w:rFonts w:ascii="Calibri" w:cs="Calibri" w:eastAsia="Calibri" w:hAnsi="Calibri"/>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2026-06-30T18:18:07.439Z</dcterms:created>
  <dcterms:modified xsi:type="dcterms:W3CDTF">2026-06-30T18:18:07.439Z</dcterms:modified>
</cp:coreProperties>
</file>

<file path=docProps/custom.xml><?xml version="1.0" encoding="utf-8"?>
<Properties xmlns="http://schemas.openxmlformats.org/officeDocument/2006/custom-properties" xmlns:vt="http://schemas.openxmlformats.org/officeDocument/2006/docPropsVTypes"/>
</file>