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sz w:val="36"/>
        </w:rPr>
        <w:t>Quantum-safe cryptography: the quiet migration reshaping digital sovereignty</w:t>
      </w:r>
    </w:p>
    <w:p>
      <w:pPr>
        <w:spacing w:after="40"/>
      </w:pPr>
      <w:r>
        <w:rPr>
          <w:rFonts w:ascii="Arial" w:hAnsi="Arial"/>
          <w:color w:val="5C5C5C"/>
          <w:sz w:val="23"/>
        </w:rPr>
        <w:t>A companion report to the QSC Atlas, with the governance-credibility evaluations</w:t>
      </w:r>
    </w:p>
    <w:p>
      <w:pPr>
        <w:spacing w:after="280"/>
      </w:pPr>
      <w:r>
        <w:rPr>
          <w:rFonts w:ascii="Arial" w:hAnsi="Arial"/>
          <w:color w:val="5C5C5C"/>
          <w:sz w:val="18"/>
        </w:rPr>
        <w:t>Companion to the QSC Atlas (qsc-atlas.vercel.app). Research note, updated June 2026. [Author and affiliation]</w:t>
      </w:r>
    </w:p>
    <w:p>
      <w:r>
        <w:rPr>
          <w:b/>
          <w:sz w:val="20"/>
        </w:rPr>
        <w:t xml:space="preserve">Abstract. </w:t>
      </w:r>
      <w:r>
        <w:rPr>
          <w:sz w:val="20"/>
        </w:rPr>
        <w:t>The QSC Atlas maps, country by country, how governments are rebuilding public-key cryptography against the prospect of a quantum computer able to break it. This updated report is concise by design. It sets out the two-axis classification behind the Atlas, a coordination posture and a standards role; the regulatory layer that records what each instrument requires; and, new to this edition, an evaluative layer that scores how credible each national plan is on six criteria. It explains how the evaluations are measured and verified, and reports what they show across the 53 recorded countries: credibility is high where a country has committed to a bloc and thin where it has not, and the weakest link everywhere is execution, the inventories and measurement that turn a plan into practice. The full scores are in the appendix.</w:t>
      </w:r>
    </w:p>
    <w:p>
      <w:pPr>
        <w:pStyle w:val="Heading1"/>
      </w:pPr>
      <w:r>
        <w:t>1. The instrument and its question</w:t>
      </w:r>
    </w:p>
    <w:p>
      <w:pPr>
        <w:spacing w:after="160"/>
      </w:pPr>
      <w:r>
        <w:t>Public-key cryptography secures most of what the digital economy runs on. A sufficiently powerful quantum computer would break the asymmetric algorithms that work depends on; no such machine exists, and the date of its arrival cannot be known. Governments, regulators, standards bodies and technology firms are nonetheless already rebuilding those foundations against the anticipated threat, and the QSC Atlas records that rebuilding as it happens. Two features make it hard to read from any single vantage point: cryptographic protocols are infrastructure in Star's (1999) sense, visible only on breakdown and migrated rather than switched; and no single authority governs the transition, which is coordinated instead across national agencies, regional roadmaps and transnational standards bodies. The Atlas shows that scattered structure rather than assuming a centre that does not exist, and now also asks a further question: not only where a country stands, but how credible its plan is.</w:t>
      </w:r>
    </w:p>
    <w:p>
      <w:pPr>
        <w:pStyle w:val="Heading1"/>
      </w:pPr>
      <w:r>
        <w:t>2. Theoretical principles</w:t>
      </w:r>
    </w:p>
    <w:p>
      <w:pPr>
        <w:spacing w:after="160"/>
      </w:pPr>
      <w:r>
        <w:t>The Atlas rests on the standards-governance literature, which treats technical standards as instruments of power with distributional consequences rather than neutral specifications. Buthe and Mattli (2011) show how first-mover advantage, institutional access and technical capacity determine whose preferences become embedded in global rules; Yates and Murphy (2019) trace the same asymmetry across a century of voluntary consensus standard-setting. The post-quantum case reproduces it: when the United States published its first three standards in 2024 (NIST, 2024), a contested question became a settled technical fact that other jurisdictions adopt or must interoperate with. Bradford's (2020) Brussels Effect is the instructive contrast, because in cryptography the direction reverses: the standards originate in Washington and travel through the global deployment of United States technology firms, while European institutions contextualise rather than make.</w:t>
      </w:r>
    </w:p>
    <w:p>
      <w:pPr>
        <w:spacing w:after="160"/>
      </w:pPr>
      <w:r>
        <w:t>Beneath the standards reading sits the governance-of-expectations literature (Borup et al., 2006; Konrad, 2006). Because the threat's timing is genuinely unknowable, coordination proceeds through shared expectations that can harden into commitment while remaining revisable (Budde and Konrad, 2019); the governance stays provisional. The evaluative layer added in this edition takes its criteria from the same register: it adapts the six-criteria comparative method Paglieri et al. (2025) built for national quantum strategies, sharpened by Vance's (2025) split of evaluation into process, impact and cost-benefit, and draws two of its checks from the CEPS governance recommendations (Pupillo et al., 2025). A credibility score is therefore a reading at a date, not a verdict.</w:t>
      </w:r>
    </w:p>
    <w:p>
      <w:pPr>
        <w:pStyle w:val="Heading1"/>
      </w:pPr>
      <w:r>
        <w:t>3. The two-axis classification</w:t>
      </w:r>
    </w:p>
    <w:p>
      <w:pPr>
        <w:spacing w:after="160"/>
      </w:pPr>
      <w:r>
        <w:t>Every recorded country is described on two dimensions, kept apart because one label cannot carry both. The coordination posture answers which collective transition a country belongs to, and takes one of four values: the EU coordinated roadmap, the NIST-led bloc, a sovereign bloc, or engaged but unaligned. The standards role answers its relationship to the algorithms: standard-maker, contextualiser, standard-taker, or sovereign developer. A maker writes the baseline; a contextualiser adopts it but adds national requirements such as mandatory hybridisation or certification; a taker adopts it broadly as published; a sovereign developer designs its own. The posture is the map colour, the role a profile badge. Figure 1 shows why the split matters: the sovereign and engaged groups each sit on a single role, but the committed blocs divide across roles, with the United States the lone maker, seven contextualisers, and the majority takers. A one-colour scheme would hide that.</w:t>
      </w:r>
    </w:p>
    <w:p>
      <w:pPr>
        <w:jc w:val="center"/>
      </w:pPr>
      <w:r>
        <w:drawing>
          <wp:inline xmlns:a="http://schemas.openxmlformats.org/drawingml/2006/main" xmlns:pic="http://schemas.openxmlformats.org/drawingml/2006/picture">
            <wp:extent cx="5760000" cy="2267027"/>
            <wp:docPr id="1" name="Picture 1"/>
            <wp:cNvGraphicFramePr>
              <a:graphicFrameLocks noChangeAspect="1"/>
            </wp:cNvGraphicFramePr>
            <a:graphic>
              <a:graphicData uri="http://schemas.openxmlformats.org/drawingml/2006/picture">
                <pic:pic>
                  <pic:nvPicPr>
                    <pic:cNvPr id="0" name="rep_matrix.png"/>
                    <pic:cNvPicPr/>
                  </pic:nvPicPr>
                  <pic:blipFill>
                    <a:blip r:embed="rId9"/>
                    <a:stretch>
                      <a:fillRect/>
                    </a:stretch>
                  </pic:blipFill>
                  <pic:spPr>
                    <a:xfrm>
                      <a:off x="0" y="0"/>
                      <a:ext cx="5760000" cy="2267027"/>
                    </a:xfrm>
                    <a:prstGeom prst="rect"/>
                  </pic:spPr>
                </pic:pic>
              </a:graphicData>
            </a:graphic>
          </wp:inline>
        </w:drawing>
      </w:r>
    </w:p>
    <w:p>
      <w:pPr>
        <w:spacing w:after="240"/>
        <w:jc w:val="center"/>
      </w:pPr>
      <w:r>
        <w:rPr>
          <w:i/>
          <w:color w:val="5C5C5C"/>
          <w:sz w:val="18"/>
        </w:rPr>
        <w:t>Figure 1. The two-axis classification: coordination bloc by standards role. 53 recorded countries.</w:t>
      </w:r>
    </w:p>
    <w:p>
      <w:pPr>
        <w:pStyle w:val="Heading1"/>
      </w:pPr>
      <w:r>
        <w:t>4. The regulatory layer</w:t>
      </w:r>
    </w:p>
    <w:p>
      <w:pPr>
        <w:spacing w:after="160"/>
      </w:pPr>
      <w:r>
        <w:t>Between the classification and the evaluation sits a regulatory layer that turns a label into an obligation. For each country it records the main governing instrument, its legal status, binding, soft-law or none, and the plain duty it places on regulated entities. The distinction is load-bearing: a recommendation and a statute would otherwise read alike. Of the 53 recorded countries, 39 carry at least one binding instrument, 6 rest on soft law alone, and 8 have no governing instrument on record. Binding EU duties under NIS2 and DORA read differently from a soft national roadmap, which reads differently again from nothing at all, and the evaluative layer draws directly on these fields.</w:t>
      </w:r>
    </w:p>
    <w:p>
      <w:pPr>
        <w:pStyle w:val="Heading1"/>
      </w:pPr>
      <w:r>
        <w:t>5. Measuring credibility: the evaluative layer</w:t>
      </w:r>
    </w:p>
    <w:p>
      <w:pPr>
        <w:spacing w:after="160"/>
      </w:pPr>
      <w:r>
        <w:t>The evaluative layer asks not whether a plan exists but how credible it is. Six criteria, relevance, coherence, effectiveness, efficiency, governance quality, and impact, become eleven sub-criteria, each scored 0 (absent), 1 (partial) or 2 (present) against a stated description, and reported as a six-axis profile rather than a single number (Figure 2). Relevance reads the transition plan and the threat articulation; coherence, the integration with wider policy and the breadth of consultation; effectiveness, the milestones, the inventory duty and any measurement framework; efficiency, whether the instrument's strength matches the objective; governance quality, the mandate and the skills base; and impact, the exposure-reducing adoption of the baseline. Each sub-score is derived from a field the Atlas already records, so it is traceable: milestones and target years drive relevance and effectiveness, the legal status drives efficiency, the recorded instruments and obligations drive coherence and the inventory check, and the standards role with the hybrid stance drives impact.</w:t>
      </w:r>
    </w:p>
    <w:p>
      <w:pPr>
        <w:spacing w:after="160"/>
      </w:pPr>
      <w:r>
        <w:t>Three rules keep the scores defensible. No sub-score is entered unless it traces to a sourced instrument; an axis with no supporting field reads as not assessed, never a default, and is the mean of the sub-criteria that could be assessed. A second reviewer scores each country independently and the two reconcile before a profile is shown. The Atlas confidence grade is carried onto each axis, so a country assessed on thin evidence reads as tentative. The scores in this report are a first pass, derived mechanically from the recorded fields by these rules, with reviewer reconciliation still under way.</w:t>
      </w:r>
    </w:p>
    <w:p>
      <w:pPr>
        <w:jc w:val="center"/>
      </w:pPr>
      <w:r>
        <w:drawing>
          <wp:inline xmlns:a="http://schemas.openxmlformats.org/drawingml/2006/main" xmlns:pic="http://schemas.openxmlformats.org/drawingml/2006/picture">
            <wp:extent cx="3780000" cy="3750236"/>
            <wp:docPr id="2" name="Picture 2"/>
            <wp:cNvGraphicFramePr>
              <a:graphicFrameLocks noChangeAspect="1"/>
            </wp:cNvGraphicFramePr>
            <a:graphic>
              <a:graphicData uri="http://schemas.openxmlformats.org/drawingml/2006/picture">
                <pic:pic>
                  <pic:nvPicPr>
                    <pic:cNvPr id="0" name="rep_radar.png"/>
                    <pic:cNvPicPr/>
                  </pic:nvPicPr>
                  <pic:blipFill>
                    <a:blip r:embed="rId10"/>
                    <a:stretch>
                      <a:fillRect/>
                    </a:stretch>
                  </pic:blipFill>
                  <pic:spPr>
                    <a:xfrm>
                      <a:off x="0" y="0"/>
                      <a:ext cx="3780000" cy="3750236"/>
                    </a:xfrm>
                    <a:prstGeom prst="rect"/>
                  </pic:spPr>
                </pic:pic>
              </a:graphicData>
            </a:graphic>
          </wp:inline>
        </w:drawing>
      </w:r>
    </w:p>
    <w:p>
      <w:pPr>
        <w:spacing w:after="240"/>
        <w:jc w:val="center"/>
      </w:pPr>
      <w:r>
        <w:rPr>
          <w:i/>
          <w:color w:val="5C5C5C"/>
          <w:sz w:val="18"/>
        </w:rPr>
        <w:t>Figure 2. How a country reads: the six-axis credibility profile for France, an EU contextualiser. High on relevance, coherence, efficiency, governance and impact; a step lower on effectiveness, where the milestones are not-earlier-than windows and no dedicated measurement duty is recorded.</w:t>
      </w:r>
    </w:p>
    <w:p>
      <w:pPr>
        <w:pStyle w:val="Heading1"/>
      </w:pPr>
      <w:r>
        <w:t>6. What the evaluations show</w:t>
      </w:r>
    </w:p>
    <w:p>
      <w:pPr>
        <w:spacing w:after="160"/>
      </w:pPr>
      <w:r>
        <w:t>Read across the six axes, the scores have a consistent shape (Figure 3). Relevance and impact are highest, at 1.70 and 1.87, because plans exist and the NIST baseline is adopted almost everywhere. Effectiveness is the lowest axis, at 1.31, because the fields it reads, mandated inventories and measurement frameworks, are the thinnest in the record. The finding is that plans outrun the machinery to execute them: the transition is widely declared and widely under-instrumented.</w:t>
      </w:r>
    </w:p>
    <w:p>
      <w:pPr>
        <w:jc w:val="center"/>
      </w:pPr>
      <w:r>
        <w:drawing>
          <wp:inline xmlns:a="http://schemas.openxmlformats.org/drawingml/2006/main" xmlns:pic="http://schemas.openxmlformats.org/drawingml/2006/picture">
            <wp:extent cx="5400000" cy="1913924"/>
            <wp:docPr id="3" name="Picture 3"/>
            <wp:cNvGraphicFramePr>
              <a:graphicFrameLocks noChangeAspect="1"/>
            </wp:cNvGraphicFramePr>
            <a:graphic>
              <a:graphicData uri="http://schemas.openxmlformats.org/drawingml/2006/picture">
                <pic:pic>
                  <pic:nvPicPr>
                    <pic:cNvPr id="0" name="rep_byaxis.png"/>
                    <pic:cNvPicPr/>
                  </pic:nvPicPr>
                  <pic:blipFill>
                    <a:blip r:embed="rId11"/>
                    <a:stretch>
                      <a:fillRect/>
                    </a:stretch>
                  </pic:blipFill>
                  <pic:spPr>
                    <a:xfrm>
                      <a:off x="0" y="0"/>
                      <a:ext cx="5400000" cy="1913924"/>
                    </a:xfrm>
                    <a:prstGeom prst="rect"/>
                  </pic:spPr>
                </pic:pic>
              </a:graphicData>
            </a:graphic>
          </wp:inline>
        </w:drawing>
      </w:r>
    </w:p>
    <w:p>
      <w:pPr>
        <w:spacing w:after="240"/>
        <w:jc w:val="center"/>
      </w:pPr>
      <w:r>
        <w:rPr>
          <w:i/>
          <w:color w:val="5C5C5C"/>
          <w:sz w:val="18"/>
        </w:rPr>
        <w:t>Figure 3. Mean credibility by axis across the recorded countries. Effectiveness, the execution machinery of inventories and measurement, is the weakest link everywhere.</w:t>
      </w:r>
    </w:p>
    <w:p>
      <w:pPr>
        <w:spacing w:after="160"/>
      </w:pPr>
      <w:r>
        <w:t>Read by coordination bloc, credibility concentrates in the committed (Figure 4). The NIST-led and EU blocs score almost identically, 1.81 and 1.79, confirming that on credibility, as on algorithms, the two committed blocs behave alike. The sovereign bloc sits lower at 1.33, its independent track less legible in the fields the layer reads. The engaged-but-unaligned group scores far below the rest, at 0.58: the credibility gap is concentrated among the states that have named no bloc, standard or timeline. This is the classification and the evaluation agreeing, commitment and credibility travel together, and it is the clearest single result of the layer.</w:t>
      </w:r>
    </w:p>
    <w:p>
      <w:pPr>
        <w:jc w:val="center"/>
      </w:pPr>
      <w:r>
        <w:drawing>
          <wp:inline xmlns:a="http://schemas.openxmlformats.org/drawingml/2006/main" xmlns:pic="http://schemas.openxmlformats.org/drawingml/2006/picture">
            <wp:extent cx="5400000" cy="1915136"/>
            <wp:docPr id="4" name="Picture 4"/>
            <wp:cNvGraphicFramePr>
              <a:graphicFrameLocks noChangeAspect="1"/>
            </wp:cNvGraphicFramePr>
            <a:graphic>
              <a:graphicData uri="http://schemas.openxmlformats.org/drawingml/2006/picture">
                <pic:pic>
                  <pic:nvPicPr>
                    <pic:cNvPr id="0" name="rep_bybloc.png"/>
                    <pic:cNvPicPr/>
                  </pic:nvPicPr>
                  <pic:blipFill>
                    <a:blip r:embed="rId12"/>
                    <a:stretch>
                      <a:fillRect/>
                    </a:stretch>
                  </pic:blipFill>
                  <pic:spPr>
                    <a:xfrm>
                      <a:off x="0" y="0"/>
                      <a:ext cx="5400000" cy="1915136"/>
                    </a:xfrm>
                    <a:prstGeom prst="rect"/>
                  </pic:spPr>
                </pic:pic>
              </a:graphicData>
            </a:graphic>
          </wp:inline>
        </w:drawing>
      </w:r>
    </w:p>
    <w:p>
      <w:pPr>
        <w:spacing w:after="240"/>
        <w:jc w:val="center"/>
      </w:pPr>
      <w:r>
        <w:rPr>
          <w:i/>
          <w:color w:val="5C5C5C"/>
          <w:sz w:val="18"/>
        </w:rPr>
        <w:t>Figure 4. Mean credibility by coordination bloc. Commitment and credibility travel together; the gap is concentrated among the unaligned.</w:t>
      </w:r>
    </w:p>
    <w:p>
      <w:pPr>
        <w:pStyle w:val="Heading1"/>
      </w:pPr>
      <w:r>
        <w:t>7. Why it matters</w:t>
      </w:r>
    </w:p>
    <w:p>
      <w:pPr>
        <w:spacing w:after="160"/>
      </w:pPr>
      <w:r>
        <w:t>Theoretically, the case extends standards-governance and governance-of-expectations accounts into a transnational, multi-level setting: expectations generated within one national system acquire binding force elsewhere through market mechanisms and institutional referencing rather than formal agreement (Buthe and Mattli, 2011; Carlsson, 2006). Methodologically, separating coordination from role avoids a bloc illusion in which the EU reads as a rival standards camp when on the algorithm axis it runs the same baseline under a regulatory wrapper; and scoring credibility on sourced fields, with confidence carried and reconciliation required, keeps the reading defensible rather than asserted. Geopolitically, whoever makes the baseline holds structural power over the terms on which everyone else secures their systems, which is why the single-maker finding is the central fact of the field; the credibility gap among the unaligned marks where the contest for the undecided middle will be decided.</w:t>
      </w:r>
    </w:p>
    <w:p>
      <w:pPr>
        <w:pStyle w:val="Heading1"/>
      </w:pPr>
      <w:r>
        <w:t>8. Conclusion</w:t>
      </w:r>
    </w:p>
    <w:p>
      <w:pPr>
        <w:spacing w:after="160"/>
      </w:pPr>
      <w:r>
        <w:t>The QSC Atlas is a living instrument for a transition that has not finished and may not finish on any predictable schedule. Its contribution is to make a leaderless migration legible: which collective each country coordinates with, whose algorithms it runs, what binds it, and now how credible its plan is. The evaluations are provisional by construction and move as the evidence does. Two things are already clear: credibility follows commitment, and execution is the common weak point. The appendix records the current classification and the credibility scores for all 53 recorded countries.</w:t>
      </w:r>
    </w:p>
    <w:p>
      <w:r>
        <w:br w:type="page"/>
      </w:r>
    </w:p>
    <w:p>
      <w:pPr>
        <w:pStyle w:val="Heading1"/>
      </w:pPr>
      <w:r>
        <w:t>Appendix A. Classification of the recorded countries</w:t>
      </w:r>
    </w:p>
    <w:p>
      <w:r>
        <w:rPr>
          <w:i/>
          <w:color w:val="5C5C5C"/>
          <w:sz w:val="17"/>
        </w:rPr>
        <w:t>Coordination bloc, standards role and legal status of the governing instrument, from the QSC Atlas. Source: institutional documents on each country profile.</w:t>
      </w:r>
    </w:p>
    <w:tbl>
      <w:tblPr>
        <w:tblW w:type="auto" w:w="0"/>
        <w:jc w:val="center"/>
        <w:tblLayout w:type="fixed"/>
        <w:tblLook w:firstColumn="1" w:firstRow="1" w:lastColumn="0" w:lastRow="0" w:noHBand="0" w:noVBand="1" w:val="04A0"/>
        <w:tblLayout w:type="fixed"/>
      </w:tblPr>
      <w:tblGrid>
        <w:gridCol w:w="2296"/>
        <w:gridCol w:w="2296"/>
        <w:gridCol w:w="2296"/>
        <w:gridCol w:w="2296"/>
      </w:tblGrid>
      <w:tr>
        <w:tc>
          <w:tcPr>
            <w:tcW w:type="dxa" w:w="2268"/>
            <w:shd w:val="clear" w:fill="EFECE6"/>
          </w:tcPr>
          <w:p>
            <w:pPr>
              <w:spacing w:after="20" w:line="240" w:lineRule="auto"/>
            </w:pPr>
            <w:r>
              <w:rPr>
                <w:rFonts w:ascii="Arial" w:hAnsi="Arial"/>
                <w:b/>
                <w:color w:val="1A1A1A"/>
                <w:sz w:val="17"/>
              </w:rPr>
              <w:t>Country</w:t>
            </w:r>
          </w:p>
        </w:tc>
        <w:tc>
          <w:tcPr>
            <w:tcW w:type="dxa" w:w="1928"/>
            <w:shd w:val="clear" w:fill="EFECE6"/>
          </w:tcPr>
          <w:p>
            <w:pPr>
              <w:spacing w:after="20" w:line="240" w:lineRule="auto"/>
            </w:pPr>
            <w:r>
              <w:rPr>
                <w:rFonts w:ascii="Arial" w:hAnsi="Arial"/>
                <w:b/>
                <w:color w:val="1A1A1A"/>
                <w:sz w:val="17"/>
              </w:rPr>
              <w:t>Bloc</w:t>
            </w:r>
          </w:p>
        </w:tc>
        <w:tc>
          <w:tcPr>
            <w:tcW w:type="dxa" w:w="2041"/>
            <w:shd w:val="clear" w:fill="EFECE6"/>
          </w:tcPr>
          <w:p>
            <w:pPr>
              <w:spacing w:after="20" w:line="240" w:lineRule="auto"/>
            </w:pPr>
            <w:r>
              <w:rPr>
                <w:rFonts w:ascii="Arial" w:hAnsi="Arial"/>
                <w:b/>
                <w:color w:val="1A1A1A"/>
                <w:sz w:val="17"/>
              </w:rPr>
              <w:t>Role</w:t>
            </w:r>
          </w:p>
        </w:tc>
        <w:tc>
          <w:tcPr>
            <w:tcW w:type="dxa" w:w="1361"/>
            <w:shd w:val="clear" w:fill="EFECE6"/>
          </w:tcPr>
          <w:p>
            <w:pPr>
              <w:spacing w:after="20" w:line="240" w:lineRule="auto"/>
            </w:pPr>
            <w:r>
              <w:rPr>
                <w:rFonts w:ascii="Arial" w:hAnsi="Arial"/>
                <w:b/>
                <w:color w:val="1A1A1A"/>
                <w:sz w:val="17"/>
              </w:rPr>
              <w:t>Legal</w:t>
            </w:r>
          </w:p>
        </w:tc>
      </w:tr>
      <w:tr>
        <w:tc>
          <w:tcPr>
            <w:tcW w:type="dxa" w:w="2268"/>
          </w:tcPr>
          <w:p>
            <w:pPr>
              <w:spacing w:after="20" w:line="240" w:lineRule="auto"/>
            </w:pPr>
            <w:r>
              <w:rPr>
                <w:rFonts w:ascii="Arial" w:hAnsi="Arial"/>
                <w:b w:val="0"/>
                <w:color w:val="1A1A1A"/>
                <w:sz w:val="17"/>
              </w:rPr>
              <w:t>Australia</w:t>
            </w:r>
          </w:p>
        </w:tc>
        <w:tc>
          <w:tcPr>
            <w:tcW w:type="dxa" w:w="1928"/>
          </w:tcPr>
          <w:p>
            <w:pPr>
              <w:spacing w:after="20" w:line="240" w:lineRule="auto"/>
            </w:pPr>
            <w:r>
              <w:rPr>
                <w:rFonts w:ascii="Arial" w:hAnsi="Arial"/>
                <w:b w:val="0"/>
                <w:color w:val="1A1A1A"/>
                <w:sz w:val="17"/>
              </w:rPr>
              <w:t>NIST-bloc</w:t>
            </w:r>
          </w:p>
        </w:tc>
        <w:tc>
          <w:tcPr>
            <w:tcW w:type="dxa" w:w="2041"/>
          </w:tcPr>
          <w:p>
            <w:pPr>
              <w:spacing w:after="20" w:line="240" w:lineRule="auto"/>
            </w:pPr>
            <w:r>
              <w:rPr>
                <w:rFonts w:ascii="Arial" w:hAnsi="Arial"/>
                <w:b w:val="0"/>
                <w:color w:val="1A1A1A"/>
                <w:sz w:val="17"/>
              </w:rPr>
              <w:t>Contextualiser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Austria</w:t>
            </w:r>
          </w:p>
        </w:tc>
        <w:tc>
          <w:tcPr>
            <w:tcW w:type="dxa" w:w="1928"/>
          </w:tcPr>
          <w:p>
            <w:pPr>
              <w:spacing w:after="20" w:line="240" w:lineRule="auto"/>
            </w:pPr>
            <w:r>
              <w:rPr>
                <w:rFonts w:ascii="Arial" w:hAnsi="Arial"/>
                <w:b w:val="0"/>
                <w:color w:val="1A1A1A"/>
                <w:sz w:val="17"/>
              </w:rPr>
              <w:t>EU roadmap</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Bahrain</w:t>
            </w:r>
          </w:p>
        </w:tc>
        <w:tc>
          <w:tcPr>
            <w:tcW w:type="dxa" w:w="1928"/>
          </w:tcPr>
          <w:p>
            <w:pPr>
              <w:spacing w:after="20" w:line="240" w:lineRule="auto"/>
            </w:pPr>
            <w:r>
              <w:rPr>
                <w:rFonts w:ascii="Arial" w:hAnsi="Arial"/>
                <w:b w:val="0"/>
                <w:color w:val="1A1A1A"/>
                <w:sz w:val="17"/>
              </w:rPr>
              <w:t>Engaged, unaligned</w:t>
            </w:r>
          </w:p>
        </w:tc>
        <w:tc>
          <w:tcPr>
            <w:tcW w:type="dxa" w:w="2041"/>
          </w:tcPr>
          <w:p>
            <w:pPr>
              <w:spacing w:after="20" w:line="240" w:lineRule="auto"/>
            </w:pPr>
            <w:r>
              <w:rPr>
                <w:rFonts w:ascii="Arial" w:hAnsi="Arial"/>
                <w:b w:val="0"/>
                <w:color w:val="1A1A1A"/>
                <w:sz w:val="17"/>
              </w:rPr>
              <w:t>Not yet declared</w:t>
            </w:r>
          </w:p>
        </w:tc>
        <w:tc>
          <w:tcPr>
            <w:tcW w:type="dxa" w:w="1361"/>
          </w:tcPr>
          <w:p>
            <w:pPr>
              <w:spacing w:after="20" w:line="240" w:lineRule="auto"/>
            </w:pPr>
            <w:r>
              <w:rPr>
                <w:rFonts w:ascii="Arial" w:hAnsi="Arial"/>
                <w:b w:val="0"/>
                <w:color w:val="1A1A1A"/>
                <w:sz w:val="17"/>
              </w:rPr>
              <w:t>None</w:t>
            </w:r>
          </w:p>
        </w:tc>
      </w:tr>
      <w:tr>
        <w:tc>
          <w:tcPr>
            <w:tcW w:type="dxa" w:w="2268"/>
          </w:tcPr>
          <w:p>
            <w:pPr>
              <w:spacing w:after="20" w:line="240" w:lineRule="auto"/>
            </w:pPr>
            <w:r>
              <w:rPr>
                <w:rFonts w:ascii="Arial" w:hAnsi="Arial"/>
                <w:b w:val="0"/>
                <w:color w:val="1A1A1A"/>
                <w:sz w:val="17"/>
              </w:rPr>
              <w:t>Belgium</w:t>
            </w:r>
          </w:p>
        </w:tc>
        <w:tc>
          <w:tcPr>
            <w:tcW w:type="dxa" w:w="1928"/>
          </w:tcPr>
          <w:p>
            <w:pPr>
              <w:spacing w:after="20" w:line="240" w:lineRule="auto"/>
            </w:pPr>
            <w:r>
              <w:rPr>
                <w:rFonts w:ascii="Arial" w:hAnsi="Arial"/>
                <w:b w:val="0"/>
                <w:color w:val="1A1A1A"/>
                <w:sz w:val="17"/>
              </w:rPr>
              <w:t>EU roadmap</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Brazil</w:t>
            </w:r>
          </w:p>
        </w:tc>
        <w:tc>
          <w:tcPr>
            <w:tcW w:type="dxa" w:w="1928"/>
          </w:tcPr>
          <w:p>
            <w:pPr>
              <w:spacing w:after="20" w:line="240" w:lineRule="auto"/>
            </w:pPr>
            <w:r>
              <w:rPr>
                <w:rFonts w:ascii="Arial" w:hAnsi="Arial"/>
                <w:b w:val="0"/>
                <w:color w:val="1A1A1A"/>
                <w:sz w:val="17"/>
              </w:rPr>
              <w:t>NIST-bloc</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Brunei</w:t>
            </w:r>
          </w:p>
        </w:tc>
        <w:tc>
          <w:tcPr>
            <w:tcW w:type="dxa" w:w="1928"/>
          </w:tcPr>
          <w:p>
            <w:pPr>
              <w:spacing w:after="20" w:line="240" w:lineRule="auto"/>
            </w:pPr>
            <w:r>
              <w:rPr>
                <w:rFonts w:ascii="Arial" w:hAnsi="Arial"/>
                <w:b w:val="0"/>
                <w:color w:val="1A1A1A"/>
                <w:sz w:val="17"/>
              </w:rPr>
              <w:t>Engaged, unaligned</w:t>
            </w:r>
          </w:p>
        </w:tc>
        <w:tc>
          <w:tcPr>
            <w:tcW w:type="dxa" w:w="2041"/>
          </w:tcPr>
          <w:p>
            <w:pPr>
              <w:spacing w:after="20" w:line="240" w:lineRule="auto"/>
            </w:pPr>
            <w:r>
              <w:rPr>
                <w:rFonts w:ascii="Arial" w:hAnsi="Arial"/>
                <w:b w:val="0"/>
                <w:color w:val="1A1A1A"/>
                <w:sz w:val="17"/>
              </w:rPr>
              <w:t>Not yet declared</w:t>
            </w:r>
          </w:p>
        </w:tc>
        <w:tc>
          <w:tcPr>
            <w:tcW w:type="dxa" w:w="1361"/>
          </w:tcPr>
          <w:p>
            <w:pPr>
              <w:spacing w:after="20" w:line="240" w:lineRule="auto"/>
            </w:pPr>
            <w:r>
              <w:rPr>
                <w:rFonts w:ascii="Arial" w:hAnsi="Arial"/>
                <w:b w:val="0"/>
                <w:color w:val="1A1A1A"/>
                <w:sz w:val="17"/>
              </w:rPr>
              <w:t>None</w:t>
            </w:r>
          </w:p>
        </w:tc>
      </w:tr>
      <w:tr>
        <w:tc>
          <w:tcPr>
            <w:tcW w:type="dxa" w:w="2268"/>
          </w:tcPr>
          <w:p>
            <w:pPr>
              <w:spacing w:after="20" w:line="240" w:lineRule="auto"/>
            </w:pPr>
            <w:r>
              <w:rPr>
                <w:rFonts w:ascii="Arial" w:hAnsi="Arial"/>
                <w:b w:val="0"/>
                <w:color w:val="1A1A1A"/>
                <w:sz w:val="17"/>
              </w:rPr>
              <w:t>Bulgaria</w:t>
            </w:r>
          </w:p>
        </w:tc>
        <w:tc>
          <w:tcPr>
            <w:tcW w:type="dxa" w:w="1928"/>
          </w:tcPr>
          <w:p>
            <w:pPr>
              <w:spacing w:after="20" w:line="240" w:lineRule="auto"/>
            </w:pPr>
            <w:r>
              <w:rPr>
                <w:rFonts w:ascii="Arial" w:hAnsi="Arial"/>
                <w:b w:val="0"/>
                <w:color w:val="1A1A1A"/>
                <w:sz w:val="17"/>
              </w:rPr>
              <w:t>EU roadmap</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Canada</w:t>
            </w:r>
          </w:p>
        </w:tc>
        <w:tc>
          <w:tcPr>
            <w:tcW w:type="dxa" w:w="1928"/>
          </w:tcPr>
          <w:p>
            <w:pPr>
              <w:spacing w:after="20" w:line="240" w:lineRule="auto"/>
            </w:pPr>
            <w:r>
              <w:rPr>
                <w:rFonts w:ascii="Arial" w:hAnsi="Arial"/>
                <w:b w:val="0"/>
                <w:color w:val="1A1A1A"/>
                <w:sz w:val="17"/>
              </w:rPr>
              <w:t>NIST-bloc</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Chile</w:t>
            </w:r>
          </w:p>
        </w:tc>
        <w:tc>
          <w:tcPr>
            <w:tcW w:type="dxa" w:w="1928"/>
          </w:tcPr>
          <w:p>
            <w:pPr>
              <w:spacing w:after="20" w:line="240" w:lineRule="auto"/>
            </w:pPr>
            <w:r>
              <w:rPr>
                <w:rFonts w:ascii="Arial" w:hAnsi="Arial"/>
                <w:b w:val="0"/>
                <w:color w:val="1A1A1A"/>
                <w:sz w:val="17"/>
              </w:rPr>
              <w:t>Engaged, unaligned</w:t>
            </w:r>
          </w:p>
        </w:tc>
        <w:tc>
          <w:tcPr>
            <w:tcW w:type="dxa" w:w="2041"/>
          </w:tcPr>
          <w:p>
            <w:pPr>
              <w:spacing w:after="20" w:line="240" w:lineRule="auto"/>
            </w:pPr>
            <w:r>
              <w:rPr>
                <w:rFonts w:ascii="Arial" w:hAnsi="Arial"/>
                <w:b w:val="0"/>
                <w:color w:val="1A1A1A"/>
                <w:sz w:val="17"/>
              </w:rPr>
              <w:t>Not yet declared</w:t>
            </w:r>
          </w:p>
        </w:tc>
        <w:tc>
          <w:tcPr>
            <w:tcW w:type="dxa" w:w="1361"/>
          </w:tcPr>
          <w:p>
            <w:pPr>
              <w:spacing w:after="20" w:line="240" w:lineRule="auto"/>
            </w:pPr>
            <w:r>
              <w:rPr>
                <w:rFonts w:ascii="Arial" w:hAnsi="Arial"/>
                <w:b w:val="0"/>
                <w:color w:val="1A1A1A"/>
                <w:sz w:val="17"/>
              </w:rPr>
              <w:t>None</w:t>
            </w:r>
          </w:p>
        </w:tc>
      </w:tr>
      <w:tr>
        <w:tc>
          <w:tcPr>
            <w:tcW w:type="dxa" w:w="2268"/>
          </w:tcPr>
          <w:p>
            <w:pPr>
              <w:spacing w:after="20" w:line="240" w:lineRule="auto"/>
            </w:pPr>
            <w:r>
              <w:rPr>
                <w:rFonts w:ascii="Arial" w:hAnsi="Arial"/>
                <w:b w:val="0"/>
                <w:color w:val="1A1A1A"/>
                <w:sz w:val="17"/>
              </w:rPr>
              <w:t>China</w:t>
            </w:r>
          </w:p>
        </w:tc>
        <w:tc>
          <w:tcPr>
            <w:tcW w:type="dxa" w:w="1928"/>
          </w:tcPr>
          <w:p>
            <w:pPr>
              <w:spacing w:after="20" w:line="240" w:lineRule="auto"/>
            </w:pPr>
            <w:r>
              <w:rPr>
                <w:rFonts w:ascii="Arial" w:hAnsi="Arial"/>
                <w:b w:val="0"/>
                <w:color w:val="1A1A1A"/>
                <w:sz w:val="17"/>
              </w:rPr>
              <w:t>Sovereign</w:t>
            </w:r>
          </w:p>
        </w:tc>
        <w:tc>
          <w:tcPr>
            <w:tcW w:type="dxa" w:w="2041"/>
          </w:tcPr>
          <w:p>
            <w:pPr>
              <w:spacing w:after="20" w:line="240" w:lineRule="auto"/>
            </w:pPr>
            <w:r>
              <w:rPr>
                <w:rFonts w:ascii="Arial" w:hAnsi="Arial"/>
                <w:b w:val="0"/>
                <w:color w:val="1A1A1A"/>
                <w:sz w:val="17"/>
              </w:rPr>
              <w:t>Sovereign-developer</w:t>
            </w:r>
          </w:p>
        </w:tc>
        <w:tc>
          <w:tcPr>
            <w:tcW w:type="dxa" w:w="1361"/>
          </w:tcPr>
          <w:p>
            <w:pPr>
              <w:spacing w:after="20" w:line="240" w:lineRule="auto"/>
            </w:pPr>
            <w:r>
              <w:rPr>
                <w:rFonts w:ascii="Arial" w:hAnsi="Arial"/>
                <w:b w:val="0"/>
                <w:color w:val="1A1A1A"/>
                <w:sz w:val="17"/>
              </w:rPr>
              <w:t>Soft law</w:t>
            </w:r>
          </w:p>
        </w:tc>
      </w:tr>
      <w:tr>
        <w:tc>
          <w:tcPr>
            <w:tcW w:type="dxa" w:w="2268"/>
          </w:tcPr>
          <w:p>
            <w:pPr>
              <w:spacing w:after="20" w:line="240" w:lineRule="auto"/>
            </w:pPr>
            <w:r>
              <w:rPr>
                <w:rFonts w:ascii="Arial" w:hAnsi="Arial"/>
                <w:b w:val="0"/>
                <w:color w:val="1A1A1A"/>
                <w:sz w:val="17"/>
              </w:rPr>
              <w:t>Croatia</w:t>
            </w:r>
          </w:p>
        </w:tc>
        <w:tc>
          <w:tcPr>
            <w:tcW w:type="dxa" w:w="1928"/>
          </w:tcPr>
          <w:p>
            <w:pPr>
              <w:spacing w:after="20" w:line="240" w:lineRule="auto"/>
            </w:pPr>
            <w:r>
              <w:rPr>
                <w:rFonts w:ascii="Arial" w:hAnsi="Arial"/>
                <w:b w:val="0"/>
                <w:color w:val="1A1A1A"/>
                <w:sz w:val="17"/>
              </w:rPr>
              <w:t>EU roadmap</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Cyprus</w:t>
            </w:r>
          </w:p>
        </w:tc>
        <w:tc>
          <w:tcPr>
            <w:tcW w:type="dxa" w:w="1928"/>
          </w:tcPr>
          <w:p>
            <w:pPr>
              <w:spacing w:after="20" w:line="240" w:lineRule="auto"/>
            </w:pPr>
            <w:r>
              <w:rPr>
                <w:rFonts w:ascii="Arial" w:hAnsi="Arial"/>
                <w:b w:val="0"/>
                <w:color w:val="1A1A1A"/>
                <w:sz w:val="17"/>
              </w:rPr>
              <w:t>EU roadmap</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Czechia</w:t>
            </w:r>
          </w:p>
        </w:tc>
        <w:tc>
          <w:tcPr>
            <w:tcW w:type="dxa" w:w="1928"/>
          </w:tcPr>
          <w:p>
            <w:pPr>
              <w:spacing w:after="20" w:line="240" w:lineRule="auto"/>
            </w:pPr>
            <w:r>
              <w:rPr>
                <w:rFonts w:ascii="Arial" w:hAnsi="Arial"/>
                <w:b w:val="0"/>
                <w:color w:val="1A1A1A"/>
                <w:sz w:val="17"/>
              </w:rPr>
              <w:t>EU roadmap</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Denmark</w:t>
            </w:r>
          </w:p>
        </w:tc>
        <w:tc>
          <w:tcPr>
            <w:tcW w:type="dxa" w:w="1928"/>
          </w:tcPr>
          <w:p>
            <w:pPr>
              <w:spacing w:after="20" w:line="240" w:lineRule="auto"/>
            </w:pPr>
            <w:r>
              <w:rPr>
                <w:rFonts w:ascii="Arial" w:hAnsi="Arial"/>
                <w:b w:val="0"/>
                <w:color w:val="1A1A1A"/>
                <w:sz w:val="17"/>
              </w:rPr>
              <w:t>EU roadmap</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Djibouti</w:t>
            </w:r>
          </w:p>
        </w:tc>
        <w:tc>
          <w:tcPr>
            <w:tcW w:type="dxa" w:w="1928"/>
          </w:tcPr>
          <w:p>
            <w:pPr>
              <w:spacing w:after="20" w:line="240" w:lineRule="auto"/>
            </w:pPr>
            <w:r>
              <w:rPr>
                <w:rFonts w:ascii="Arial" w:hAnsi="Arial"/>
                <w:b w:val="0"/>
                <w:color w:val="1A1A1A"/>
                <w:sz w:val="17"/>
              </w:rPr>
              <w:t>Engaged, unaligned</w:t>
            </w:r>
          </w:p>
        </w:tc>
        <w:tc>
          <w:tcPr>
            <w:tcW w:type="dxa" w:w="2041"/>
          </w:tcPr>
          <w:p>
            <w:pPr>
              <w:spacing w:after="20" w:line="240" w:lineRule="auto"/>
            </w:pPr>
            <w:r>
              <w:rPr>
                <w:rFonts w:ascii="Arial" w:hAnsi="Arial"/>
                <w:b w:val="0"/>
                <w:color w:val="1A1A1A"/>
                <w:sz w:val="17"/>
              </w:rPr>
              <w:t>Not yet declared</w:t>
            </w:r>
          </w:p>
        </w:tc>
        <w:tc>
          <w:tcPr>
            <w:tcW w:type="dxa" w:w="1361"/>
          </w:tcPr>
          <w:p>
            <w:pPr>
              <w:spacing w:after="20" w:line="240" w:lineRule="auto"/>
            </w:pPr>
            <w:r>
              <w:rPr>
                <w:rFonts w:ascii="Arial" w:hAnsi="Arial"/>
                <w:b w:val="0"/>
                <w:color w:val="1A1A1A"/>
                <w:sz w:val="17"/>
              </w:rPr>
              <w:t>None</w:t>
            </w:r>
          </w:p>
        </w:tc>
      </w:tr>
      <w:tr>
        <w:tc>
          <w:tcPr>
            <w:tcW w:type="dxa" w:w="2268"/>
          </w:tcPr>
          <w:p>
            <w:pPr>
              <w:spacing w:after="20" w:line="240" w:lineRule="auto"/>
            </w:pPr>
            <w:r>
              <w:rPr>
                <w:rFonts w:ascii="Arial" w:hAnsi="Arial"/>
                <w:b w:val="0"/>
                <w:color w:val="1A1A1A"/>
                <w:sz w:val="17"/>
              </w:rPr>
              <w:t>Estonia</w:t>
            </w:r>
          </w:p>
        </w:tc>
        <w:tc>
          <w:tcPr>
            <w:tcW w:type="dxa" w:w="1928"/>
          </w:tcPr>
          <w:p>
            <w:pPr>
              <w:spacing w:after="20" w:line="240" w:lineRule="auto"/>
            </w:pPr>
            <w:r>
              <w:rPr>
                <w:rFonts w:ascii="Arial" w:hAnsi="Arial"/>
                <w:b w:val="0"/>
                <w:color w:val="1A1A1A"/>
                <w:sz w:val="17"/>
              </w:rPr>
              <w:t>EU roadmap</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Finland</w:t>
            </w:r>
          </w:p>
        </w:tc>
        <w:tc>
          <w:tcPr>
            <w:tcW w:type="dxa" w:w="1928"/>
          </w:tcPr>
          <w:p>
            <w:pPr>
              <w:spacing w:after="20" w:line="240" w:lineRule="auto"/>
            </w:pPr>
            <w:r>
              <w:rPr>
                <w:rFonts w:ascii="Arial" w:hAnsi="Arial"/>
                <w:b w:val="0"/>
                <w:color w:val="1A1A1A"/>
                <w:sz w:val="17"/>
              </w:rPr>
              <w:t>EU roadmap</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France</w:t>
            </w:r>
          </w:p>
        </w:tc>
        <w:tc>
          <w:tcPr>
            <w:tcW w:type="dxa" w:w="1928"/>
          </w:tcPr>
          <w:p>
            <w:pPr>
              <w:spacing w:after="20" w:line="240" w:lineRule="auto"/>
            </w:pPr>
            <w:r>
              <w:rPr>
                <w:rFonts w:ascii="Arial" w:hAnsi="Arial"/>
                <w:b w:val="0"/>
                <w:color w:val="1A1A1A"/>
                <w:sz w:val="17"/>
              </w:rPr>
              <w:t>EU roadmap</w:t>
            </w:r>
          </w:p>
        </w:tc>
        <w:tc>
          <w:tcPr>
            <w:tcW w:type="dxa" w:w="2041"/>
          </w:tcPr>
          <w:p>
            <w:pPr>
              <w:spacing w:after="20" w:line="240" w:lineRule="auto"/>
            </w:pPr>
            <w:r>
              <w:rPr>
                <w:rFonts w:ascii="Arial" w:hAnsi="Arial"/>
                <w:b w:val="0"/>
                <w:color w:val="1A1A1A"/>
                <w:sz w:val="17"/>
              </w:rPr>
              <w:t>Contextualiser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Germany</w:t>
            </w:r>
          </w:p>
        </w:tc>
        <w:tc>
          <w:tcPr>
            <w:tcW w:type="dxa" w:w="1928"/>
          </w:tcPr>
          <w:p>
            <w:pPr>
              <w:spacing w:after="20" w:line="240" w:lineRule="auto"/>
            </w:pPr>
            <w:r>
              <w:rPr>
                <w:rFonts w:ascii="Arial" w:hAnsi="Arial"/>
                <w:b w:val="0"/>
                <w:color w:val="1A1A1A"/>
                <w:sz w:val="17"/>
              </w:rPr>
              <w:t>EU roadmap</w:t>
            </w:r>
          </w:p>
        </w:tc>
        <w:tc>
          <w:tcPr>
            <w:tcW w:type="dxa" w:w="2041"/>
          </w:tcPr>
          <w:p>
            <w:pPr>
              <w:spacing w:after="20" w:line="240" w:lineRule="auto"/>
            </w:pPr>
            <w:r>
              <w:rPr>
                <w:rFonts w:ascii="Arial" w:hAnsi="Arial"/>
                <w:b w:val="0"/>
                <w:color w:val="1A1A1A"/>
                <w:sz w:val="17"/>
              </w:rPr>
              <w:t>Contextualiser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Greece</w:t>
            </w:r>
          </w:p>
        </w:tc>
        <w:tc>
          <w:tcPr>
            <w:tcW w:type="dxa" w:w="1928"/>
          </w:tcPr>
          <w:p>
            <w:pPr>
              <w:spacing w:after="20" w:line="240" w:lineRule="auto"/>
            </w:pPr>
            <w:r>
              <w:rPr>
                <w:rFonts w:ascii="Arial" w:hAnsi="Arial"/>
                <w:b w:val="0"/>
                <w:color w:val="1A1A1A"/>
                <w:sz w:val="17"/>
              </w:rPr>
              <w:t>EU roadmap</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Hungary</w:t>
            </w:r>
          </w:p>
        </w:tc>
        <w:tc>
          <w:tcPr>
            <w:tcW w:type="dxa" w:w="1928"/>
          </w:tcPr>
          <w:p>
            <w:pPr>
              <w:spacing w:after="20" w:line="240" w:lineRule="auto"/>
            </w:pPr>
            <w:r>
              <w:rPr>
                <w:rFonts w:ascii="Arial" w:hAnsi="Arial"/>
                <w:b w:val="0"/>
                <w:color w:val="1A1A1A"/>
                <w:sz w:val="17"/>
              </w:rPr>
              <w:t>EU roadmap</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India</w:t>
            </w:r>
          </w:p>
        </w:tc>
        <w:tc>
          <w:tcPr>
            <w:tcW w:type="dxa" w:w="1928"/>
          </w:tcPr>
          <w:p>
            <w:pPr>
              <w:spacing w:after="20" w:line="240" w:lineRule="auto"/>
            </w:pPr>
            <w:r>
              <w:rPr>
                <w:rFonts w:ascii="Arial" w:hAnsi="Arial"/>
                <w:b w:val="0"/>
                <w:color w:val="1A1A1A"/>
                <w:sz w:val="17"/>
              </w:rPr>
              <w:t>NIST-bloc</w:t>
            </w:r>
          </w:p>
        </w:tc>
        <w:tc>
          <w:tcPr>
            <w:tcW w:type="dxa" w:w="2041"/>
          </w:tcPr>
          <w:p>
            <w:pPr>
              <w:spacing w:after="20" w:line="240" w:lineRule="auto"/>
            </w:pPr>
            <w:r>
              <w:rPr>
                <w:rFonts w:ascii="Arial" w:hAnsi="Arial"/>
                <w:b w:val="0"/>
                <w:color w:val="1A1A1A"/>
                <w:sz w:val="17"/>
              </w:rPr>
              <w:t>Contextualiser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Indonesia</w:t>
            </w:r>
          </w:p>
        </w:tc>
        <w:tc>
          <w:tcPr>
            <w:tcW w:type="dxa" w:w="1928"/>
          </w:tcPr>
          <w:p>
            <w:pPr>
              <w:spacing w:after="20" w:line="240" w:lineRule="auto"/>
            </w:pPr>
            <w:r>
              <w:rPr>
                <w:rFonts w:ascii="Arial" w:hAnsi="Arial"/>
                <w:b w:val="0"/>
                <w:color w:val="1A1A1A"/>
                <w:sz w:val="17"/>
              </w:rPr>
              <w:t>Engaged, unaligned</w:t>
            </w:r>
          </w:p>
        </w:tc>
        <w:tc>
          <w:tcPr>
            <w:tcW w:type="dxa" w:w="2041"/>
          </w:tcPr>
          <w:p>
            <w:pPr>
              <w:spacing w:after="20" w:line="240" w:lineRule="auto"/>
            </w:pPr>
            <w:r>
              <w:rPr>
                <w:rFonts w:ascii="Arial" w:hAnsi="Arial"/>
                <w:b w:val="0"/>
                <w:color w:val="1A1A1A"/>
                <w:sz w:val="17"/>
              </w:rPr>
              <w:t>Not yet declared</w:t>
            </w:r>
          </w:p>
        </w:tc>
        <w:tc>
          <w:tcPr>
            <w:tcW w:type="dxa" w:w="1361"/>
          </w:tcPr>
          <w:p>
            <w:pPr>
              <w:spacing w:after="20" w:line="240" w:lineRule="auto"/>
            </w:pPr>
            <w:r>
              <w:rPr>
                <w:rFonts w:ascii="Arial" w:hAnsi="Arial"/>
                <w:b w:val="0"/>
                <w:color w:val="1A1A1A"/>
                <w:sz w:val="17"/>
              </w:rPr>
              <w:t>None</w:t>
            </w:r>
          </w:p>
        </w:tc>
      </w:tr>
      <w:tr>
        <w:tc>
          <w:tcPr>
            <w:tcW w:type="dxa" w:w="2268"/>
          </w:tcPr>
          <w:p>
            <w:pPr>
              <w:spacing w:after="20" w:line="240" w:lineRule="auto"/>
            </w:pPr>
            <w:r>
              <w:rPr>
                <w:rFonts w:ascii="Arial" w:hAnsi="Arial"/>
                <w:b w:val="0"/>
                <w:color w:val="1A1A1A"/>
                <w:sz w:val="17"/>
              </w:rPr>
              <w:t>Ireland</w:t>
            </w:r>
          </w:p>
        </w:tc>
        <w:tc>
          <w:tcPr>
            <w:tcW w:type="dxa" w:w="1928"/>
          </w:tcPr>
          <w:p>
            <w:pPr>
              <w:spacing w:after="20" w:line="240" w:lineRule="auto"/>
            </w:pPr>
            <w:r>
              <w:rPr>
                <w:rFonts w:ascii="Arial" w:hAnsi="Arial"/>
                <w:b w:val="0"/>
                <w:color w:val="1A1A1A"/>
                <w:sz w:val="17"/>
              </w:rPr>
              <w:t>EU roadmap</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Israel</w:t>
            </w:r>
          </w:p>
        </w:tc>
        <w:tc>
          <w:tcPr>
            <w:tcW w:type="dxa" w:w="1928"/>
          </w:tcPr>
          <w:p>
            <w:pPr>
              <w:spacing w:after="20" w:line="240" w:lineRule="auto"/>
            </w:pPr>
            <w:r>
              <w:rPr>
                <w:rFonts w:ascii="Arial" w:hAnsi="Arial"/>
                <w:b w:val="0"/>
                <w:color w:val="1A1A1A"/>
                <w:sz w:val="17"/>
              </w:rPr>
              <w:t>NIST-bloc</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Italy</w:t>
            </w:r>
          </w:p>
        </w:tc>
        <w:tc>
          <w:tcPr>
            <w:tcW w:type="dxa" w:w="1928"/>
          </w:tcPr>
          <w:p>
            <w:pPr>
              <w:spacing w:after="20" w:line="240" w:lineRule="auto"/>
            </w:pPr>
            <w:r>
              <w:rPr>
                <w:rFonts w:ascii="Arial" w:hAnsi="Arial"/>
                <w:b w:val="0"/>
                <w:color w:val="1A1A1A"/>
                <w:sz w:val="17"/>
              </w:rPr>
              <w:t>EU roadmap</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Japan</w:t>
            </w:r>
          </w:p>
        </w:tc>
        <w:tc>
          <w:tcPr>
            <w:tcW w:type="dxa" w:w="1928"/>
          </w:tcPr>
          <w:p>
            <w:pPr>
              <w:spacing w:after="20" w:line="240" w:lineRule="auto"/>
            </w:pPr>
            <w:r>
              <w:rPr>
                <w:rFonts w:ascii="Arial" w:hAnsi="Arial"/>
                <w:b w:val="0"/>
                <w:color w:val="1A1A1A"/>
                <w:sz w:val="17"/>
              </w:rPr>
              <w:t>NIST-bloc</w:t>
            </w:r>
          </w:p>
        </w:tc>
        <w:tc>
          <w:tcPr>
            <w:tcW w:type="dxa" w:w="2041"/>
          </w:tcPr>
          <w:p>
            <w:pPr>
              <w:spacing w:after="20" w:line="240" w:lineRule="auto"/>
            </w:pPr>
            <w:r>
              <w:rPr>
                <w:rFonts w:ascii="Arial" w:hAnsi="Arial"/>
                <w:b w:val="0"/>
                <w:color w:val="1A1A1A"/>
                <w:sz w:val="17"/>
              </w:rPr>
              <w:t>Contextualiser</w:t>
            </w:r>
          </w:p>
        </w:tc>
        <w:tc>
          <w:tcPr>
            <w:tcW w:type="dxa" w:w="1361"/>
          </w:tcPr>
          <w:p>
            <w:pPr>
              <w:spacing w:after="20" w:line="240" w:lineRule="auto"/>
            </w:pPr>
            <w:r>
              <w:rPr>
                <w:rFonts w:ascii="Arial" w:hAnsi="Arial"/>
                <w:b w:val="0"/>
                <w:color w:val="1A1A1A"/>
                <w:sz w:val="17"/>
              </w:rPr>
              <w:t>Binding</w:t>
            </w:r>
          </w:p>
        </w:tc>
      </w:tr>
    </w:tbl>
    <w:p>
      <w:pPr>
        <w:spacing w:after="40"/>
      </w:pPr>
    </w:p>
    <w:tbl>
      <w:tblPr>
        <w:tblW w:type="auto" w:w="0"/>
        <w:jc w:val="center"/>
        <w:tblLayout w:type="fixed"/>
        <w:tblLook w:firstColumn="1" w:firstRow="1" w:lastColumn="0" w:lastRow="0" w:noHBand="0" w:noVBand="1" w:val="04A0"/>
        <w:tblLayout w:type="fixed"/>
      </w:tblPr>
      <w:tblGrid>
        <w:gridCol w:w="2296"/>
        <w:gridCol w:w="2296"/>
        <w:gridCol w:w="2296"/>
        <w:gridCol w:w="2296"/>
      </w:tblGrid>
      <w:tr>
        <w:tc>
          <w:tcPr>
            <w:tcW w:type="dxa" w:w="2268"/>
            <w:shd w:val="clear" w:fill="EFECE6"/>
          </w:tcPr>
          <w:p>
            <w:pPr>
              <w:spacing w:after="20" w:line="240" w:lineRule="auto"/>
            </w:pPr>
            <w:r>
              <w:rPr>
                <w:rFonts w:ascii="Arial" w:hAnsi="Arial"/>
                <w:b/>
                <w:color w:val="1A1A1A"/>
                <w:sz w:val="17"/>
              </w:rPr>
              <w:t>Country</w:t>
            </w:r>
          </w:p>
        </w:tc>
        <w:tc>
          <w:tcPr>
            <w:tcW w:type="dxa" w:w="1928"/>
            <w:shd w:val="clear" w:fill="EFECE6"/>
          </w:tcPr>
          <w:p>
            <w:pPr>
              <w:spacing w:after="20" w:line="240" w:lineRule="auto"/>
            </w:pPr>
            <w:r>
              <w:rPr>
                <w:rFonts w:ascii="Arial" w:hAnsi="Arial"/>
                <w:b/>
                <w:color w:val="1A1A1A"/>
                <w:sz w:val="17"/>
              </w:rPr>
              <w:t>Bloc</w:t>
            </w:r>
          </w:p>
        </w:tc>
        <w:tc>
          <w:tcPr>
            <w:tcW w:type="dxa" w:w="2041"/>
            <w:shd w:val="clear" w:fill="EFECE6"/>
          </w:tcPr>
          <w:p>
            <w:pPr>
              <w:spacing w:after="20" w:line="240" w:lineRule="auto"/>
            </w:pPr>
            <w:r>
              <w:rPr>
                <w:rFonts w:ascii="Arial" w:hAnsi="Arial"/>
                <w:b/>
                <w:color w:val="1A1A1A"/>
                <w:sz w:val="17"/>
              </w:rPr>
              <w:t>Role</w:t>
            </w:r>
          </w:p>
        </w:tc>
        <w:tc>
          <w:tcPr>
            <w:tcW w:type="dxa" w:w="1361"/>
            <w:shd w:val="clear" w:fill="EFECE6"/>
          </w:tcPr>
          <w:p>
            <w:pPr>
              <w:spacing w:after="20" w:line="240" w:lineRule="auto"/>
            </w:pPr>
            <w:r>
              <w:rPr>
                <w:rFonts w:ascii="Arial" w:hAnsi="Arial"/>
                <w:b/>
                <w:color w:val="1A1A1A"/>
                <w:sz w:val="17"/>
              </w:rPr>
              <w:t>Legal</w:t>
            </w:r>
          </w:p>
        </w:tc>
      </w:tr>
      <w:tr>
        <w:tc>
          <w:tcPr>
            <w:tcW w:type="dxa" w:w="2268"/>
          </w:tcPr>
          <w:p>
            <w:pPr>
              <w:spacing w:after="20" w:line="240" w:lineRule="auto"/>
            </w:pPr>
            <w:r>
              <w:rPr>
                <w:rFonts w:ascii="Arial" w:hAnsi="Arial"/>
                <w:b w:val="0"/>
                <w:color w:val="1A1A1A"/>
                <w:sz w:val="17"/>
              </w:rPr>
              <w:t>Latvia</w:t>
            </w:r>
          </w:p>
        </w:tc>
        <w:tc>
          <w:tcPr>
            <w:tcW w:type="dxa" w:w="1928"/>
          </w:tcPr>
          <w:p>
            <w:pPr>
              <w:spacing w:after="20" w:line="240" w:lineRule="auto"/>
            </w:pPr>
            <w:r>
              <w:rPr>
                <w:rFonts w:ascii="Arial" w:hAnsi="Arial"/>
                <w:b w:val="0"/>
                <w:color w:val="1A1A1A"/>
                <w:sz w:val="17"/>
              </w:rPr>
              <w:t>EU roadmap</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Lithuania</w:t>
            </w:r>
          </w:p>
        </w:tc>
        <w:tc>
          <w:tcPr>
            <w:tcW w:type="dxa" w:w="1928"/>
          </w:tcPr>
          <w:p>
            <w:pPr>
              <w:spacing w:after="20" w:line="240" w:lineRule="auto"/>
            </w:pPr>
            <w:r>
              <w:rPr>
                <w:rFonts w:ascii="Arial" w:hAnsi="Arial"/>
                <w:b w:val="0"/>
                <w:color w:val="1A1A1A"/>
                <w:sz w:val="17"/>
              </w:rPr>
              <w:t>EU roadmap</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Luxembourg</w:t>
            </w:r>
          </w:p>
        </w:tc>
        <w:tc>
          <w:tcPr>
            <w:tcW w:type="dxa" w:w="1928"/>
          </w:tcPr>
          <w:p>
            <w:pPr>
              <w:spacing w:after="20" w:line="240" w:lineRule="auto"/>
            </w:pPr>
            <w:r>
              <w:rPr>
                <w:rFonts w:ascii="Arial" w:hAnsi="Arial"/>
                <w:b w:val="0"/>
                <w:color w:val="1A1A1A"/>
                <w:sz w:val="17"/>
              </w:rPr>
              <w:t>EU roadmap</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Malaysia</w:t>
            </w:r>
          </w:p>
        </w:tc>
        <w:tc>
          <w:tcPr>
            <w:tcW w:type="dxa" w:w="1928"/>
          </w:tcPr>
          <w:p>
            <w:pPr>
              <w:spacing w:after="20" w:line="240" w:lineRule="auto"/>
            </w:pPr>
            <w:r>
              <w:rPr>
                <w:rFonts w:ascii="Arial" w:hAnsi="Arial"/>
                <w:b w:val="0"/>
                <w:color w:val="1A1A1A"/>
                <w:sz w:val="17"/>
              </w:rPr>
              <w:t>NIST-bloc</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Soft law</w:t>
            </w:r>
          </w:p>
        </w:tc>
      </w:tr>
      <w:tr>
        <w:tc>
          <w:tcPr>
            <w:tcW w:type="dxa" w:w="2268"/>
          </w:tcPr>
          <w:p>
            <w:pPr>
              <w:spacing w:after="20" w:line="240" w:lineRule="auto"/>
            </w:pPr>
            <w:r>
              <w:rPr>
                <w:rFonts w:ascii="Arial" w:hAnsi="Arial"/>
                <w:b w:val="0"/>
                <w:color w:val="1A1A1A"/>
                <w:sz w:val="17"/>
              </w:rPr>
              <w:t>Malta</w:t>
            </w:r>
          </w:p>
        </w:tc>
        <w:tc>
          <w:tcPr>
            <w:tcW w:type="dxa" w:w="1928"/>
          </w:tcPr>
          <w:p>
            <w:pPr>
              <w:spacing w:after="20" w:line="240" w:lineRule="auto"/>
            </w:pPr>
            <w:r>
              <w:rPr>
                <w:rFonts w:ascii="Arial" w:hAnsi="Arial"/>
                <w:b w:val="0"/>
                <w:color w:val="1A1A1A"/>
                <w:sz w:val="17"/>
              </w:rPr>
              <w:t>EU roadmap</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Netherlands</w:t>
            </w:r>
          </w:p>
        </w:tc>
        <w:tc>
          <w:tcPr>
            <w:tcW w:type="dxa" w:w="1928"/>
          </w:tcPr>
          <w:p>
            <w:pPr>
              <w:spacing w:after="20" w:line="240" w:lineRule="auto"/>
            </w:pPr>
            <w:r>
              <w:rPr>
                <w:rFonts w:ascii="Arial" w:hAnsi="Arial"/>
                <w:b w:val="0"/>
                <w:color w:val="1A1A1A"/>
                <w:sz w:val="17"/>
              </w:rPr>
              <w:t>EU roadmap</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Soft law</w:t>
            </w:r>
          </w:p>
        </w:tc>
      </w:tr>
      <w:tr>
        <w:tc>
          <w:tcPr>
            <w:tcW w:type="dxa" w:w="2268"/>
          </w:tcPr>
          <w:p>
            <w:pPr>
              <w:spacing w:after="20" w:line="240" w:lineRule="auto"/>
            </w:pPr>
            <w:r>
              <w:rPr>
                <w:rFonts w:ascii="Arial" w:hAnsi="Arial"/>
                <w:b w:val="0"/>
                <w:color w:val="1A1A1A"/>
                <w:sz w:val="17"/>
              </w:rPr>
              <w:t>New Zealand</w:t>
            </w:r>
          </w:p>
        </w:tc>
        <w:tc>
          <w:tcPr>
            <w:tcW w:type="dxa" w:w="1928"/>
          </w:tcPr>
          <w:p>
            <w:pPr>
              <w:spacing w:after="20" w:line="240" w:lineRule="auto"/>
            </w:pPr>
            <w:r>
              <w:rPr>
                <w:rFonts w:ascii="Arial" w:hAnsi="Arial"/>
                <w:b w:val="0"/>
                <w:color w:val="1A1A1A"/>
                <w:sz w:val="17"/>
              </w:rPr>
              <w:t>NIST-bloc</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Norway</w:t>
            </w:r>
          </w:p>
        </w:tc>
        <w:tc>
          <w:tcPr>
            <w:tcW w:type="dxa" w:w="1928"/>
          </w:tcPr>
          <w:p>
            <w:pPr>
              <w:spacing w:after="20" w:line="240" w:lineRule="auto"/>
            </w:pPr>
            <w:r>
              <w:rPr>
                <w:rFonts w:ascii="Arial" w:hAnsi="Arial"/>
                <w:b w:val="0"/>
                <w:color w:val="1A1A1A"/>
                <w:sz w:val="17"/>
              </w:rPr>
              <w:t>NIST-bloc</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Poland</w:t>
            </w:r>
          </w:p>
        </w:tc>
        <w:tc>
          <w:tcPr>
            <w:tcW w:type="dxa" w:w="1928"/>
          </w:tcPr>
          <w:p>
            <w:pPr>
              <w:spacing w:after="20" w:line="240" w:lineRule="auto"/>
            </w:pPr>
            <w:r>
              <w:rPr>
                <w:rFonts w:ascii="Arial" w:hAnsi="Arial"/>
                <w:b w:val="0"/>
                <w:color w:val="1A1A1A"/>
                <w:sz w:val="17"/>
              </w:rPr>
              <w:t>EU roadmap</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Portugal</w:t>
            </w:r>
          </w:p>
        </w:tc>
        <w:tc>
          <w:tcPr>
            <w:tcW w:type="dxa" w:w="1928"/>
          </w:tcPr>
          <w:p>
            <w:pPr>
              <w:spacing w:after="20" w:line="240" w:lineRule="auto"/>
            </w:pPr>
            <w:r>
              <w:rPr>
                <w:rFonts w:ascii="Arial" w:hAnsi="Arial"/>
                <w:b w:val="0"/>
                <w:color w:val="1A1A1A"/>
                <w:sz w:val="17"/>
              </w:rPr>
              <w:t>EU roadmap</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Romania</w:t>
            </w:r>
          </w:p>
        </w:tc>
        <w:tc>
          <w:tcPr>
            <w:tcW w:type="dxa" w:w="1928"/>
          </w:tcPr>
          <w:p>
            <w:pPr>
              <w:spacing w:after="20" w:line="240" w:lineRule="auto"/>
            </w:pPr>
            <w:r>
              <w:rPr>
                <w:rFonts w:ascii="Arial" w:hAnsi="Arial"/>
                <w:b w:val="0"/>
                <w:color w:val="1A1A1A"/>
                <w:sz w:val="17"/>
              </w:rPr>
              <w:t>EU roadmap</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Russia</w:t>
            </w:r>
          </w:p>
        </w:tc>
        <w:tc>
          <w:tcPr>
            <w:tcW w:type="dxa" w:w="1928"/>
          </w:tcPr>
          <w:p>
            <w:pPr>
              <w:spacing w:after="20" w:line="240" w:lineRule="auto"/>
            </w:pPr>
            <w:r>
              <w:rPr>
                <w:rFonts w:ascii="Arial" w:hAnsi="Arial"/>
                <w:b w:val="0"/>
                <w:color w:val="1A1A1A"/>
                <w:sz w:val="17"/>
              </w:rPr>
              <w:t>Sovereign</w:t>
            </w:r>
          </w:p>
        </w:tc>
        <w:tc>
          <w:tcPr>
            <w:tcW w:type="dxa" w:w="2041"/>
          </w:tcPr>
          <w:p>
            <w:pPr>
              <w:spacing w:after="20" w:line="240" w:lineRule="auto"/>
            </w:pPr>
            <w:r>
              <w:rPr>
                <w:rFonts w:ascii="Arial" w:hAnsi="Arial"/>
                <w:b w:val="0"/>
                <w:color w:val="1A1A1A"/>
                <w:sz w:val="17"/>
              </w:rPr>
              <w:t>Sovereign-developer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Saudi Arabia</w:t>
            </w:r>
          </w:p>
        </w:tc>
        <w:tc>
          <w:tcPr>
            <w:tcW w:type="dxa" w:w="1928"/>
          </w:tcPr>
          <w:p>
            <w:pPr>
              <w:spacing w:after="20" w:line="240" w:lineRule="auto"/>
            </w:pPr>
            <w:r>
              <w:rPr>
                <w:rFonts w:ascii="Arial" w:hAnsi="Arial"/>
                <w:b w:val="0"/>
                <w:color w:val="1A1A1A"/>
                <w:sz w:val="17"/>
              </w:rPr>
              <w:t>NIST-bloc</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Singapore</w:t>
            </w:r>
          </w:p>
        </w:tc>
        <w:tc>
          <w:tcPr>
            <w:tcW w:type="dxa" w:w="1928"/>
          </w:tcPr>
          <w:p>
            <w:pPr>
              <w:spacing w:after="20" w:line="240" w:lineRule="auto"/>
            </w:pPr>
            <w:r>
              <w:rPr>
                <w:rFonts w:ascii="Arial" w:hAnsi="Arial"/>
                <w:b w:val="0"/>
                <w:color w:val="1A1A1A"/>
                <w:sz w:val="17"/>
              </w:rPr>
              <w:t>NIST-bloc</w:t>
            </w:r>
          </w:p>
        </w:tc>
        <w:tc>
          <w:tcPr>
            <w:tcW w:type="dxa" w:w="2041"/>
          </w:tcPr>
          <w:p>
            <w:pPr>
              <w:spacing w:after="20" w:line="240" w:lineRule="auto"/>
            </w:pPr>
            <w:r>
              <w:rPr>
                <w:rFonts w:ascii="Arial" w:hAnsi="Arial"/>
                <w:b w:val="0"/>
                <w:color w:val="1A1A1A"/>
                <w:sz w:val="17"/>
              </w:rPr>
              <w:t>Contextualiser</w:t>
            </w:r>
          </w:p>
        </w:tc>
        <w:tc>
          <w:tcPr>
            <w:tcW w:type="dxa" w:w="1361"/>
          </w:tcPr>
          <w:p>
            <w:pPr>
              <w:spacing w:after="20" w:line="240" w:lineRule="auto"/>
            </w:pPr>
            <w:r>
              <w:rPr>
                <w:rFonts w:ascii="Arial" w:hAnsi="Arial"/>
                <w:b w:val="0"/>
                <w:color w:val="1A1A1A"/>
                <w:sz w:val="17"/>
              </w:rPr>
              <w:t>Soft law</w:t>
            </w:r>
          </w:p>
        </w:tc>
      </w:tr>
      <w:tr>
        <w:tc>
          <w:tcPr>
            <w:tcW w:type="dxa" w:w="2268"/>
          </w:tcPr>
          <w:p>
            <w:pPr>
              <w:spacing w:after="20" w:line="240" w:lineRule="auto"/>
            </w:pPr>
            <w:r>
              <w:rPr>
                <w:rFonts w:ascii="Arial" w:hAnsi="Arial"/>
                <w:b w:val="0"/>
                <w:color w:val="1A1A1A"/>
                <w:sz w:val="17"/>
              </w:rPr>
              <w:t>Slovakia</w:t>
            </w:r>
          </w:p>
        </w:tc>
        <w:tc>
          <w:tcPr>
            <w:tcW w:type="dxa" w:w="1928"/>
          </w:tcPr>
          <w:p>
            <w:pPr>
              <w:spacing w:after="20" w:line="240" w:lineRule="auto"/>
            </w:pPr>
            <w:r>
              <w:rPr>
                <w:rFonts w:ascii="Arial" w:hAnsi="Arial"/>
                <w:b w:val="0"/>
                <w:color w:val="1A1A1A"/>
                <w:sz w:val="17"/>
              </w:rPr>
              <w:t>EU roadmap</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Slovenia</w:t>
            </w:r>
          </w:p>
        </w:tc>
        <w:tc>
          <w:tcPr>
            <w:tcW w:type="dxa" w:w="1928"/>
          </w:tcPr>
          <w:p>
            <w:pPr>
              <w:spacing w:after="20" w:line="240" w:lineRule="auto"/>
            </w:pPr>
            <w:r>
              <w:rPr>
                <w:rFonts w:ascii="Arial" w:hAnsi="Arial"/>
                <w:b w:val="0"/>
                <w:color w:val="1A1A1A"/>
                <w:sz w:val="17"/>
              </w:rPr>
              <w:t>EU roadmap</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South Korea</w:t>
            </w:r>
          </w:p>
        </w:tc>
        <w:tc>
          <w:tcPr>
            <w:tcW w:type="dxa" w:w="1928"/>
          </w:tcPr>
          <w:p>
            <w:pPr>
              <w:spacing w:after="20" w:line="240" w:lineRule="auto"/>
            </w:pPr>
            <w:r>
              <w:rPr>
                <w:rFonts w:ascii="Arial" w:hAnsi="Arial"/>
                <w:b w:val="0"/>
                <w:color w:val="1A1A1A"/>
                <w:sz w:val="17"/>
              </w:rPr>
              <w:t>NIST-bloc</w:t>
            </w:r>
          </w:p>
        </w:tc>
        <w:tc>
          <w:tcPr>
            <w:tcW w:type="dxa" w:w="2041"/>
          </w:tcPr>
          <w:p>
            <w:pPr>
              <w:spacing w:after="20" w:line="240" w:lineRule="auto"/>
            </w:pPr>
            <w:r>
              <w:rPr>
                <w:rFonts w:ascii="Arial" w:hAnsi="Arial"/>
                <w:b w:val="0"/>
                <w:color w:val="1A1A1A"/>
                <w:sz w:val="17"/>
              </w:rPr>
              <w:t>Contextualiser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Spain</w:t>
            </w:r>
          </w:p>
        </w:tc>
        <w:tc>
          <w:tcPr>
            <w:tcW w:type="dxa" w:w="1928"/>
          </w:tcPr>
          <w:p>
            <w:pPr>
              <w:spacing w:after="20" w:line="240" w:lineRule="auto"/>
            </w:pPr>
            <w:r>
              <w:rPr>
                <w:rFonts w:ascii="Arial" w:hAnsi="Arial"/>
                <w:b w:val="0"/>
                <w:color w:val="1A1A1A"/>
                <w:sz w:val="17"/>
              </w:rPr>
              <w:t>EU roadmap</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Sweden</w:t>
            </w:r>
          </w:p>
        </w:tc>
        <w:tc>
          <w:tcPr>
            <w:tcW w:type="dxa" w:w="1928"/>
          </w:tcPr>
          <w:p>
            <w:pPr>
              <w:spacing w:after="20" w:line="240" w:lineRule="auto"/>
            </w:pPr>
            <w:r>
              <w:rPr>
                <w:rFonts w:ascii="Arial" w:hAnsi="Arial"/>
                <w:b w:val="0"/>
                <w:color w:val="1A1A1A"/>
                <w:sz w:val="17"/>
              </w:rPr>
              <w:t>EU roadmap</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Thailand</w:t>
            </w:r>
          </w:p>
        </w:tc>
        <w:tc>
          <w:tcPr>
            <w:tcW w:type="dxa" w:w="1928"/>
          </w:tcPr>
          <w:p>
            <w:pPr>
              <w:spacing w:after="20" w:line="240" w:lineRule="auto"/>
            </w:pPr>
            <w:r>
              <w:rPr>
                <w:rFonts w:ascii="Arial" w:hAnsi="Arial"/>
                <w:b w:val="0"/>
                <w:color w:val="1A1A1A"/>
                <w:sz w:val="17"/>
              </w:rPr>
              <w:t>NIST-bloc</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Soft law</w:t>
            </w:r>
          </w:p>
        </w:tc>
      </w:tr>
      <w:tr>
        <w:tc>
          <w:tcPr>
            <w:tcW w:type="dxa" w:w="2268"/>
          </w:tcPr>
          <w:p>
            <w:pPr>
              <w:spacing w:after="20" w:line="240" w:lineRule="auto"/>
            </w:pPr>
            <w:r>
              <w:rPr>
                <w:rFonts w:ascii="Arial" w:hAnsi="Arial"/>
                <w:b w:val="0"/>
                <w:color w:val="1A1A1A"/>
                <w:sz w:val="17"/>
              </w:rPr>
              <w:t>Türkiye</w:t>
            </w:r>
          </w:p>
        </w:tc>
        <w:tc>
          <w:tcPr>
            <w:tcW w:type="dxa" w:w="1928"/>
          </w:tcPr>
          <w:p>
            <w:pPr>
              <w:spacing w:after="20" w:line="240" w:lineRule="auto"/>
            </w:pPr>
            <w:r>
              <w:rPr>
                <w:rFonts w:ascii="Arial" w:hAnsi="Arial"/>
                <w:b w:val="0"/>
                <w:color w:val="1A1A1A"/>
                <w:sz w:val="17"/>
              </w:rPr>
              <w:t>Engaged, unaligned</w:t>
            </w:r>
          </w:p>
        </w:tc>
        <w:tc>
          <w:tcPr>
            <w:tcW w:type="dxa" w:w="2041"/>
          </w:tcPr>
          <w:p>
            <w:pPr>
              <w:spacing w:after="20" w:line="240" w:lineRule="auto"/>
            </w:pPr>
            <w:r>
              <w:rPr>
                <w:rFonts w:ascii="Arial" w:hAnsi="Arial"/>
                <w:b w:val="0"/>
                <w:color w:val="1A1A1A"/>
                <w:sz w:val="17"/>
              </w:rPr>
              <w:t>Not yet declared</w:t>
            </w:r>
          </w:p>
        </w:tc>
        <w:tc>
          <w:tcPr>
            <w:tcW w:type="dxa" w:w="1361"/>
          </w:tcPr>
          <w:p>
            <w:pPr>
              <w:spacing w:after="20" w:line="240" w:lineRule="auto"/>
            </w:pPr>
            <w:r>
              <w:rPr>
                <w:rFonts w:ascii="Arial" w:hAnsi="Arial"/>
                <w:b w:val="0"/>
                <w:color w:val="1A1A1A"/>
                <w:sz w:val="17"/>
              </w:rPr>
              <w:t>None</w:t>
            </w:r>
          </w:p>
        </w:tc>
      </w:tr>
      <w:tr>
        <w:tc>
          <w:tcPr>
            <w:tcW w:type="dxa" w:w="2268"/>
          </w:tcPr>
          <w:p>
            <w:pPr>
              <w:spacing w:after="20" w:line="240" w:lineRule="auto"/>
            </w:pPr>
            <w:r>
              <w:rPr>
                <w:rFonts w:ascii="Arial" w:hAnsi="Arial"/>
                <w:b w:val="0"/>
                <w:color w:val="1A1A1A"/>
                <w:sz w:val="17"/>
              </w:rPr>
              <w:t>Ukraine</w:t>
            </w:r>
          </w:p>
        </w:tc>
        <w:tc>
          <w:tcPr>
            <w:tcW w:type="dxa" w:w="1928"/>
          </w:tcPr>
          <w:p>
            <w:pPr>
              <w:spacing w:after="20" w:line="240" w:lineRule="auto"/>
            </w:pPr>
            <w:r>
              <w:rPr>
                <w:rFonts w:ascii="Arial" w:hAnsi="Arial"/>
                <w:b w:val="0"/>
                <w:color w:val="1A1A1A"/>
                <w:sz w:val="17"/>
              </w:rPr>
              <w:t>Engaged, unaligned</w:t>
            </w:r>
          </w:p>
        </w:tc>
        <w:tc>
          <w:tcPr>
            <w:tcW w:type="dxa" w:w="2041"/>
          </w:tcPr>
          <w:p>
            <w:pPr>
              <w:spacing w:after="20" w:line="240" w:lineRule="auto"/>
            </w:pPr>
            <w:r>
              <w:rPr>
                <w:rFonts w:ascii="Arial" w:hAnsi="Arial"/>
                <w:b w:val="0"/>
                <w:color w:val="1A1A1A"/>
                <w:sz w:val="17"/>
              </w:rPr>
              <w:t>Not yet declared</w:t>
            </w:r>
          </w:p>
        </w:tc>
        <w:tc>
          <w:tcPr>
            <w:tcW w:type="dxa" w:w="1361"/>
          </w:tcPr>
          <w:p>
            <w:pPr>
              <w:spacing w:after="20" w:line="240" w:lineRule="auto"/>
            </w:pPr>
            <w:r>
              <w:rPr>
                <w:rFonts w:ascii="Arial" w:hAnsi="Arial"/>
                <w:b w:val="0"/>
                <w:color w:val="1A1A1A"/>
                <w:sz w:val="17"/>
              </w:rPr>
              <w:t>None</w:t>
            </w:r>
          </w:p>
        </w:tc>
      </w:tr>
      <w:tr>
        <w:tc>
          <w:tcPr>
            <w:tcW w:type="dxa" w:w="2268"/>
          </w:tcPr>
          <w:p>
            <w:pPr>
              <w:spacing w:after="20" w:line="240" w:lineRule="auto"/>
            </w:pPr>
            <w:r>
              <w:rPr>
                <w:rFonts w:ascii="Arial" w:hAnsi="Arial"/>
                <w:b w:val="0"/>
                <w:color w:val="1A1A1A"/>
                <w:sz w:val="17"/>
              </w:rPr>
              <w:t>United Arab Emirates</w:t>
            </w:r>
          </w:p>
        </w:tc>
        <w:tc>
          <w:tcPr>
            <w:tcW w:type="dxa" w:w="1928"/>
          </w:tcPr>
          <w:p>
            <w:pPr>
              <w:spacing w:after="20" w:line="240" w:lineRule="auto"/>
            </w:pPr>
            <w:r>
              <w:rPr>
                <w:rFonts w:ascii="Arial" w:hAnsi="Arial"/>
                <w:b w:val="0"/>
                <w:color w:val="1A1A1A"/>
                <w:sz w:val="17"/>
              </w:rPr>
              <w:t>NIST-bloc</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United Kingdom</w:t>
            </w:r>
          </w:p>
        </w:tc>
        <w:tc>
          <w:tcPr>
            <w:tcW w:type="dxa" w:w="1928"/>
          </w:tcPr>
          <w:p>
            <w:pPr>
              <w:spacing w:after="20" w:line="240" w:lineRule="auto"/>
            </w:pPr>
            <w:r>
              <w:rPr>
                <w:rFonts w:ascii="Arial" w:hAnsi="Arial"/>
                <w:b w:val="0"/>
                <w:color w:val="1A1A1A"/>
                <w:sz w:val="17"/>
              </w:rPr>
              <w:t>NIST-bloc</w:t>
            </w:r>
          </w:p>
        </w:tc>
        <w:tc>
          <w:tcPr>
            <w:tcW w:type="dxa" w:w="2041"/>
          </w:tcPr>
          <w:p>
            <w:pPr>
              <w:spacing w:after="20" w:line="240" w:lineRule="auto"/>
            </w:pPr>
            <w:r>
              <w:rPr>
                <w:rFonts w:ascii="Arial" w:hAnsi="Arial"/>
                <w:b w:val="0"/>
                <w:color w:val="1A1A1A"/>
                <w:sz w:val="17"/>
              </w:rPr>
              <w:t>Standard-taker</w:t>
            </w:r>
          </w:p>
        </w:tc>
        <w:tc>
          <w:tcPr>
            <w:tcW w:type="dxa" w:w="1361"/>
          </w:tcPr>
          <w:p>
            <w:pPr>
              <w:spacing w:after="20" w:line="240" w:lineRule="auto"/>
            </w:pPr>
            <w:r>
              <w:rPr>
                <w:rFonts w:ascii="Arial" w:hAnsi="Arial"/>
                <w:b w:val="0"/>
                <w:color w:val="1A1A1A"/>
                <w:sz w:val="17"/>
              </w:rPr>
              <w:t>Soft law</w:t>
            </w:r>
          </w:p>
        </w:tc>
      </w:tr>
      <w:tr>
        <w:tc>
          <w:tcPr>
            <w:tcW w:type="dxa" w:w="2268"/>
          </w:tcPr>
          <w:p>
            <w:pPr>
              <w:spacing w:after="20" w:line="240" w:lineRule="auto"/>
            </w:pPr>
            <w:r>
              <w:rPr>
                <w:rFonts w:ascii="Arial" w:hAnsi="Arial"/>
                <w:b w:val="0"/>
                <w:color w:val="1A1A1A"/>
                <w:sz w:val="17"/>
              </w:rPr>
              <w:t>United States</w:t>
            </w:r>
          </w:p>
        </w:tc>
        <w:tc>
          <w:tcPr>
            <w:tcW w:type="dxa" w:w="1928"/>
          </w:tcPr>
          <w:p>
            <w:pPr>
              <w:spacing w:after="20" w:line="240" w:lineRule="auto"/>
            </w:pPr>
            <w:r>
              <w:rPr>
                <w:rFonts w:ascii="Arial" w:hAnsi="Arial"/>
                <w:b w:val="0"/>
                <w:color w:val="1A1A1A"/>
                <w:sz w:val="17"/>
              </w:rPr>
              <w:t>NIST-bloc</w:t>
            </w:r>
          </w:p>
        </w:tc>
        <w:tc>
          <w:tcPr>
            <w:tcW w:type="dxa" w:w="2041"/>
          </w:tcPr>
          <w:p>
            <w:pPr>
              <w:spacing w:after="20" w:line="240" w:lineRule="auto"/>
            </w:pPr>
            <w:r>
              <w:rPr>
                <w:rFonts w:ascii="Arial" w:hAnsi="Arial"/>
                <w:b w:val="0"/>
                <w:color w:val="1A1A1A"/>
                <w:sz w:val="17"/>
              </w:rPr>
              <w:t>Standard-maker</w:t>
            </w:r>
          </w:p>
        </w:tc>
        <w:tc>
          <w:tcPr>
            <w:tcW w:type="dxa" w:w="1361"/>
          </w:tcPr>
          <w:p>
            <w:pPr>
              <w:spacing w:after="20" w:line="240" w:lineRule="auto"/>
            </w:pPr>
            <w:r>
              <w:rPr>
                <w:rFonts w:ascii="Arial" w:hAnsi="Arial"/>
                <w:b w:val="0"/>
                <w:color w:val="1A1A1A"/>
                <w:sz w:val="17"/>
              </w:rPr>
              <w:t>Binding</w:t>
            </w:r>
          </w:p>
        </w:tc>
      </w:tr>
      <w:tr>
        <w:tc>
          <w:tcPr>
            <w:tcW w:type="dxa" w:w="2268"/>
          </w:tcPr>
          <w:p>
            <w:pPr>
              <w:spacing w:after="20" w:line="240" w:lineRule="auto"/>
            </w:pPr>
            <w:r>
              <w:rPr>
                <w:rFonts w:ascii="Arial" w:hAnsi="Arial"/>
                <w:b w:val="0"/>
                <w:color w:val="1A1A1A"/>
                <w:sz w:val="17"/>
              </w:rPr>
              <w:t>Vietnam</w:t>
            </w:r>
          </w:p>
        </w:tc>
        <w:tc>
          <w:tcPr>
            <w:tcW w:type="dxa" w:w="1928"/>
          </w:tcPr>
          <w:p>
            <w:pPr>
              <w:spacing w:after="20" w:line="240" w:lineRule="auto"/>
            </w:pPr>
            <w:r>
              <w:rPr>
                <w:rFonts w:ascii="Arial" w:hAnsi="Arial"/>
                <w:b w:val="0"/>
                <w:color w:val="1A1A1A"/>
                <w:sz w:val="17"/>
              </w:rPr>
              <w:t>Sovereign</w:t>
            </w:r>
          </w:p>
        </w:tc>
        <w:tc>
          <w:tcPr>
            <w:tcW w:type="dxa" w:w="2041"/>
          </w:tcPr>
          <w:p>
            <w:pPr>
              <w:spacing w:after="20" w:line="240" w:lineRule="auto"/>
            </w:pPr>
            <w:r>
              <w:rPr>
                <w:rFonts w:ascii="Arial" w:hAnsi="Arial"/>
                <w:b w:val="0"/>
                <w:color w:val="1A1A1A"/>
                <w:sz w:val="17"/>
              </w:rPr>
              <w:t>Sovereign-developer</w:t>
            </w:r>
          </w:p>
        </w:tc>
        <w:tc>
          <w:tcPr>
            <w:tcW w:type="dxa" w:w="1361"/>
          </w:tcPr>
          <w:p>
            <w:pPr>
              <w:spacing w:after="20" w:line="240" w:lineRule="auto"/>
            </w:pPr>
            <w:r>
              <w:rPr>
                <w:rFonts w:ascii="Arial" w:hAnsi="Arial"/>
                <w:b w:val="0"/>
                <w:color w:val="1A1A1A"/>
                <w:sz w:val="17"/>
              </w:rPr>
              <w:t>None</w:t>
            </w:r>
          </w:p>
        </w:tc>
      </w:tr>
    </w:tbl>
    <w:p>
      <w:r>
        <w:br w:type="page"/>
      </w:r>
    </w:p>
    <w:p>
      <w:pPr>
        <w:pStyle w:val="Heading1"/>
      </w:pPr>
      <w:r>
        <w:t>Appendix B. Governance-credibility scores</w:t>
      </w:r>
    </w:p>
    <w:p>
      <w:r>
        <w:rPr>
          <w:i/>
          <w:color w:val="5C5C5C"/>
          <w:sz w:val="17"/>
        </w:rPr>
        <w:t>Six-axis credibility scores (0 to 2 per axis; a dash means the axis could not be assessed from the recorded fields). First pass, derived from the recorded fields; reviewer reconciliation under way. Rel relevance, Coh coherence, Eff effectiveness, Effi efficiency, Gov governance quality, Imp impact.</w:t>
      </w:r>
    </w:p>
    <w:tbl>
      <w:tblPr>
        <w:tblW w:type="auto" w:w="0"/>
        <w:jc w:val="center"/>
        <w:tblLayout w:type="fixed"/>
        <w:tblLook w:firstColumn="1" w:firstRow="1" w:lastColumn="0" w:lastRow="0" w:noHBand="0" w:noVBand="1" w:val="04A0"/>
        <w:tblLayout w:type="fixed"/>
      </w:tblPr>
      <w:tblGrid>
        <w:gridCol w:w="1148"/>
        <w:gridCol w:w="1148"/>
        <w:gridCol w:w="1148"/>
        <w:gridCol w:w="1148"/>
        <w:gridCol w:w="1148"/>
        <w:gridCol w:w="1148"/>
        <w:gridCol w:w="1148"/>
        <w:gridCol w:w="1148"/>
      </w:tblGrid>
      <w:tr>
        <w:tc>
          <w:tcPr>
            <w:tcW w:type="dxa" w:w="2098"/>
            <w:shd w:val="clear" w:fill="EFECE6"/>
          </w:tcPr>
          <w:p>
            <w:pPr>
              <w:spacing w:after="20" w:line="240" w:lineRule="auto"/>
            </w:pPr>
            <w:r>
              <w:rPr>
                <w:rFonts w:ascii="Arial" w:hAnsi="Arial"/>
                <w:b/>
                <w:color w:val="1A1A1A"/>
                <w:sz w:val="16"/>
              </w:rPr>
              <w:t>Country</w:t>
            </w:r>
          </w:p>
        </w:tc>
        <w:tc>
          <w:tcPr>
            <w:tcW w:type="dxa" w:w="850"/>
            <w:shd w:val="clear" w:fill="EFECE6"/>
          </w:tcPr>
          <w:p>
            <w:pPr>
              <w:spacing w:after="20" w:line="240" w:lineRule="auto"/>
            </w:pPr>
            <w:r>
              <w:rPr>
                <w:rFonts w:ascii="Arial" w:hAnsi="Arial"/>
                <w:b/>
                <w:color w:val="1A1A1A"/>
                <w:sz w:val="16"/>
              </w:rPr>
              <w:t>Rel</w:t>
            </w:r>
          </w:p>
        </w:tc>
        <w:tc>
          <w:tcPr>
            <w:tcW w:type="dxa" w:w="850"/>
            <w:shd w:val="clear" w:fill="EFECE6"/>
          </w:tcPr>
          <w:p>
            <w:pPr>
              <w:spacing w:after="20" w:line="240" w:lineRule="auto"/>
            </w:pPr>
            <w:r>
              <w:rPr>
                <w:rFonts w:ascii="Arial" w:hAnsi="Arial"/>
                <w:b/>
                <w:color w:val="1A1A1A"/>
                <w:sz w:val="16"/>
              </w:rPr>
              <w:t>Coh</w:t>
            </w:r>
          </w:p>
        </w:tc>
        <w:tc>
          <w:tcPr>
            <w:tcW w:type="dxa" w:w="850"/>
            <w:shd w:val="clear" w:fill="EFECE6"/>
          </w:tcPr>
          <w:p>
            <w:pPr>
              <w:spacing w:after="20" w:line="240" w:lineRule="auto"/>
            </w:pPr>
            <w:r>
              <w:rPr>
                <w:rFonts w:ascii="Arial" w:hAnsi="Arial"/>
                <w:b/>
                <w:color w:val="1A1A1A"/>
                <w:sz w:val="16"/>
              </w:rPr>
              <w:t>Eff</w:t>
            </w:r>
          </w:p>
        </w:tc>
        <w:tc>
          <w:tcPr>
            <w:tcW w:type="dxa" w:w="850"/>
            <w:shd w:val="clear" w:fill="EFECE6"/>
          </w:tcPr>
          <w:p>
            <w:pPr>
              <w:spacing w:after="20" w:line="240" w:lineRule="auto"/>
            </w:pPr>
            <w:r>
              <w:rPr>
                <w:rFonts w:ascii="Arial" w:hAnsi="Arial"/>
                <w:b/>
                <w:color w:val="1A1A1A"/>
                <w:sz w:val="16"/>
              </w:rPr>
              <w:t>Effi</w:t>
            </w:r>
          </w:p>
        </w:tc>
        <w:tc>
          <w:tcPr>
            <w:tcW w:type="dxa" w:w="850"/>
            <w:shd w:val="clear" w:fill="EFECE6"/>
          </w:tcPr>
          <w:p>
            <w:pPr>
              <w:spacing w:after="20" w:line="240" w:lineRule="auto"/>
            </w:pPr>
            <w:r>
              <w:rPr>
                <w:rFonts w:ascii="Arial" w:hAnsi="Arial"/>
                <w:b/>
                <w:color w:val="1A1A1A"/>
                <w:sz w:val="16"/>
              </w:rPr>
              <w:t>Gov</w:t>
            </w:r>
          </w:p>
        </w:tc>
        <w:tc>
          <w:tcPr>
            <w:tcW w:type="dxa" w:w="850"/>
            <w:shd w:val="clear" w:fill="EFECE6"/>
          </w:tcPr>
          <w:p>
            <w:pPr>
              <w:spacing w:after="20" w:line="240" w:lineRule="auto"/>
            </w:pPr>
            <w:r>
              <w:rPr>
                <w:rFonts w:ascii="Arial" w:hAnsi="Arial"/>
                <w:b/>
                <w:color w:val="1A1A1A"/>
                <w:sz w:val="16"/>
              </w:rPr>
              <w:t>Imp</w:t>
            </w:r>
          </w:p>
        </w:tc>
        <w:tc>
          <w:tcPr>
            <w:tcW w:type="dxa" w:w="964"/>
            <w:shd w:val="clear" w:fill="EFECE6"/>
          </w:tcPr>
          <w:p>
            <w:pPr>
              <w:spacing w:after="20" w:line="240" w:lineRule="auto"/>
            </w:pPr>
            <w:r>
              <w:rPr>
                <w:rFonts w:ascii="Arial" w:hAnsi="Arial"/>
                <w:b/>
                <w:color w:val="1A1A1A"/>
                <w:sz w:val="16"/>
              </w:rPr>
              <w:t>Conf.</w:t>
            </w:r>
          </w:p>
        </w:tc>
      </w:tr>
      <w:tr>
        <w:tc>
          <w:tcPr>
            <w:tcW w:type="dxa" w:w="2098"/>
          </w:tcPr>
          <w:p>
            <w:pPr>
              <w:spacing w:after="20" w:line="240" w:lineRule="auto"/>
            </w:pPr>
            <w:r>
              <w:rPr>
                <w:rFonts w:ascii="Arial" w:hAnsi="Arial"/>
                <w:b w:val="0"/>
                <w:color w:val="1A1A1A"/>
                <w:sz w:val="16"/>
              </w:rPr>
              <w:t>Australia</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Austria</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0.0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Bahrain</w:t>
            </w:r>
          </w:p>
        </w:tc>
        <w:tc>
          <w:tcPr>
            <w:tcW w:type="dxa" w:w="850"/>
          </w:tcPr>
          <w:p>
            <w:pPr>
              <w:spacing w:after="20" w:line="240" w:lineRule="auto"/>
            </w:pPr>
            <w:r>
              <w:rPr>
                <w:rFonts w:ascii="Arial" w:hAnsi="Arial"/>
                <w:b w:val="0"/>
                <w:color w:val="1A1A1A"/>
                <w:sz w:val="16"/>
              </w:rPr>
              <w:t>0.5</w:t>
            </w:r>
          </w:p>
        </w:tc>
        <w:tc>
          <w:tcPr>
            <w:tcW w:type="dxa" w:w="850"/>
          </w:tcPr>
          <w:p>
            <w:pPr>
              <w:spacing w:after="20" w:line="240" w:lineRule="auto"/>
            </w:pPr>
            <w:r>
              <w:rPr>
                <w:rFonts w:ascii="Arial" w:hAnsi="Arial"/>
                <w:b w:val="0"/>
                <w:color w:val="1A1A1A"/>
                <w:sz w:val="16"/>
              </w:rPr>
              <w:t>0.5</w:t>
            </w:r>
          </w:p>
        </w:tc>
        <w:tc>
          <w:tcPr>
            <w:tcW w:type="dxa" w:w="850"/>
          </w:tcPr>
          <w:p>
            <w:pPr>
              <w:spacing w:after="20" w:line="240" w:lineRule="auto"/>
            </w:pPr>
            <w:r>
              <w:rPr>
                <w:rFonts w:ascii="Arial" w:hAnsi="Arial"/>
                <w:b w:val="0"/>
                <w:color w:val="1A1A1A"/>
                <w:sz w:val="16"/>
              </w:rPr>
              <w:t>0.0</w:t>
            </w:r>
          </w:p>
        </w:tc>
        <w:tc>
          <w:tcPr>
            <w:tcW w:type="dxa" w:w="850"/>
          </w:tcPr>
          <w:p>
            <w:pPr>
              <w:spacing w:after="20" w:line="240" w:lineRule="auto"/>
            </w:pPr>
            <w:r>
              <w:rPr>
                <w:rFonts w:ascii="Arial" w:hAnsi="Arial"/>
                <w:b w:val="0"/>
                <w:color w:val="1A1A1A"/>
                <w:sz w:val="16"/>
              </w:rPr>
              <w:t>0.0</w:t>
            </w:r>
          </w:p>
        </w:tc>
        <w:tc>
          <w:tcPr>
            <w:tcW w:type="dxa" w:w="850"/>
          </w:tcPr>
          <w:p>
            <w:pPr>
              <w:spacing w:after="20" w:line="240" w:lineRule="auto"/>
            </w:pPr>
            <w:r>
              <w:rPr>
                <w:rFonts w:ascii="Arial" w:hAnsi="Arial"/>
                <w:b w:val="0"/>
                <w:color w:val="1A1A1A"/>
                <w:sz w:val="16"/>
              </w:rPr>
              <w:t>1.0</w:t>
            </w:r>
          </w:p>
        </w:tc>
        <w:tc>
          <w:tcPr>
            <w:tcW w:type="dxa" w:w="850"/>
          </w:tcPr>
          <w:p>
            <w:pPr>
              <w:spacing w:after="20" w:line="240" w:lineRule="auto"/>
            </w:pPr>
            <w:r>
              <w:rPr>
                <w:rFonts w:ascii="Arial" w:hAnsi="Arial"/>
                <w:b w:val="0"/>
                <w:color w:val="1A1A1A"/>
                <w:sz w:val="16"/>
              </w:rPr>
              <w:t>1.0</w:t>
            </w:r>
          </w:p>
        </w:tc>
        <w:tc>
          <w:tcPr>
            <w:tcW w:type="dxa" w:w="964"/>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Belgium</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Brazil</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Brunei</w:t>
            </w:r>
          </w:p>
        </w:tc>
        <w:tc>
          <w:tcPr>
            <w:tcW w:type="dxa" w:w="850"/>
          </w:tcPr>
          <w:p>
            <w:pPr>
              <w:spacing w:after="20" w:line="240" w:lineRule="auto"/>
            </w:pPr>
            <w:r>
              <w:rPr>
                <w:rFonts w:ascii="Arial" w:hAnsi="Arial"/>
                <w:b w:val="0"/>
                <w:color w:val="1A1A1A"/>
                <w:sz w:val="16"/>
              </w:rPr>
              <w:t>0.5</w:t>
            </w:r>
          </w:p>
        </w:tc>
        <w:tc>
          <w:tcPr>
            <w:tcW w:type="dxa" w:w="850"/>
          </w:tcPr>
          <w:p>
            <w:pPr>
              <w:spacing w:after="20" w:line="240" w:lineRule="auto"/>
            </w:pPr>
            <w:r>
              <w:rPr>
                <w:rFonts w:ascii="Arial" w:hAnsi="Arial"/>
                <w:b w:val="0"/>
                <w:color w:val="1A1A1A"/>
                <w:sz w:val="16"/>
              </w:rPr>
              <w:t>0.5</w:t>
            </w:r>
          </w:p>
        </w:tc>
        <w:tc>
          <w:tcPr>
            <w:tcW w:type="dxa" w:w="850"/>
          </w:tcPr>
          <w:p>
            <w:pPr>
              <w:spacing w:after="20" w:line="240" w:lineRule="auto"/>
            </w:pPr>
            <w:r>
              <w:rPr>
                <w:rFonts w:ascii="Arial" w:hAnsi="Arial"/>
                <w:b w:val="0"/>
                <w:color w:val="1A1A1A"/>
                <w:sz w:val="16"/>
              </w:rPr>
              <w:t>0.0</w:t>
            </w:r>
          </w:p>
        </w:tc>
        <w:tc>
          <w:tcPr>
            <w:tcW w:type="dxa" w:w="850"/>
          </w:tcPr>
          <w:p>
            <w:pPr>
              <w:spacing w:after="20" w:line="240" w:lineRule="auto"/>
            </w:pPr>
            <w:r>
              <w:rPr>
                <w:rFonts w:ascii="Arial" w:hAnsi="Arial"/>
                <w:b w:val="0"/>
                <w:color w:val="1A1A1A"/>
                <w:sz w:val="16"/>
              </w:rPr>
              <w:t>0.0</w:t>
            </w:r>
          </w:p>
        </w:tc>
        <w:tc>
          <w:tcPr>
            <w:tcW w:type="dxa" w:w="850"/>
          </w:tcPr>
          <w:p>
            <w:pPr>
              <w:spacing w:after="20" w:line="240" w:lineRule="auto"/>
            </w:pPr>
            <w:r>
              <w:rPr>
                <w:rFonts w:ascii="Arial" w:hAnsi="Arial"/>
                <w:b w:val="0"/>
                <w:color w:val="1A1A1A"/>
                <w:sz w:val="16"/>
              </w:rPr>
              <w:t>1.0</w:t>
            </w:r>
          </w:p>
        </w:tc>
        <w:tc>
          <w:tcPr>
            <w:tcW w:type="dxa" w:w="850"/>
          </w:tcPr>
          <w:p>
            <w:pPr>
              <w:spacing w:after="20" w:line="240" w:lineRule="auto"/>
            </w:pPr>
            <w:r>
              <w:rPr>
                <w:rFonts w:ascii="Arial" w:hAnsi="Arial"/>
                <w:b w:val="0"/>
                <w:color w:val="1A1A1A"/>
                <w:sz w:val="16"/>
              </w:rPr>
              <w:t>1.0</w:t>
            </w:r>
          </w:p>
        </w:tc>
        <w:tc>
          <w:tcPr>
            <w:tcW w:type="dxa" w:w="964"/>
          </w:tcPr>
          <w:p>
            <w:pPr>
              <w:spacing w:after="20" w:line="240" w:lineRule="auto"/>
            </w:pPr>
            <w:r>
              <w:rPr>
                <w:rFonts w:ascii="Arial" w:hAnsi="Arial"/>
                <w:b w:val="0"/>
                <w:color w:val="1A1A1A"/>
                <w:sz w:val="16"/>
              </w:rPr>
              <w:t>Low</w:t>
            </w:r>
          </w:p>
        </w:tc>
      </w:tr>
      <w:tr>
        <w:tc>
          <w:tcPr>
            <w:tcW w:type="dxa" w:w="2098"/>
          </w:tcPr>
          <w:p>
            <w:pPr>
              <w:spacing w:after="20" w:line="240" w:lineRule="auto"/>
            </w:pPr>
            <w:r>
              <w:rPr>
                <w:rFonts w:ascii="Arial" w:hAnsi="Arial"/>
                <w:b w:val="0"/>
                <w:color w:val="1A1A1A"/>
                <w:sz w:val="16"/>
              </w:rPr>
              <w:t>Bulgaria</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Canada</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Chile</w:t>
            </w:r>
          </w:p>
        </w:tc>
        <w:tc>
          <w:tcPr>
            <w:tcW w:type="dxa" w:w="850"/>
          </w:tcPr>
          <w:p>
            <w:pPr>
              <w:spacing w:after="20" w:line="240" w:lineRule="auto"/>
            </w:pPr>
            <w:r>
              <w:rPr>
                <w:rFonts w:ascii="Arial" w:hAnsi="Arial"/>
                <w:b w:val="0"/>
                <w:color w:val="1A1A1A"/>
                <w:sz w:val="16"/>
              </w:rPr>
              <w:t>0.5</w:t>
            </w:r>
          </w:p>
        </w:tc>
        <w:tc>
          <w:tcPr>
            <w:tcW w:type="dxa" w:w="850"/>
          </w:tcPr>
          <w:p>
            <w:pPr>
              <w:spacing w:after="20" w:line="240" w:lineRule="auto"/>
            </w:pPr>
            <w:r>
              <w:rPr>
                <w:rFonts w:ascii="Arial" w:hAnsi="Arial"/>
                <w:b w:val="0"/>
                <w:color w:val="1A1A1A"/>
                <w:sz w:val="16"/>
              </w:rPr>
              <w:t>0.5</w:t>
            </w:r>
          </w:p>
        </w:tc>
        <w:tc>
          <w:tcPr>
            <w:tcW w:type="dxa" w:w="850"/>
          </w:tcPr>
          <w:p>
            <w:pPr>
              <w:spacing w:after="20" w:line="240" w:lineRule="auto"/>
            </w:pPr>
            <w:r>
              <w:rPr>
                <w:rFonts w:ascii="Arial" w:hAnsi="Arial"/>
                <w:b w:val="0"/>
                <w:color w:val="1A1A1A"/>
                <w:sz w:val="16"/>
              </w:rPr>
              <w:t>0.0</w:t>
            </w:r>
          </w:p>
        </w:tc>
        <w:tc>
          <w:tcPr>
            <w:tcW w:type="dxa" w:w="850"/>
          </w:tcPr>
          <w:p>
            <w:pPr>
              <w:spacing w:after="20" w:line="240" w:lineRule="auto"/>
            </w:pPr>
            <w:r>
              <w:rPr>
                <w:rFonts w:ascii="Arial" w:hAnsi="Arial"/>
                <w:b w:val="0"/>
                <w:color w:val="1A1A1A"/>
                <w:sz w:val="16"/>
              </w:rPr>
              <w:t>0.0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1.0</w:t>
            </w:r>
          </w:p>
        </w:tc>
        <w:tc>
          <w:tcPr>
            <w:tcW w:type="dxa" w:w="964"/>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China</w:t>
            </w:r>
          </w:p>
        </w:tc>
        <w:tc>
          <w:tcPr>
            <w:tcW w:type="dxa" w:w="850"/>
          </w:tcPr>
          <w:p>
            <w:pPr>
              <w:spacing w:after="20" w:line="240" w:lineRule="auto"/>
            </w:pPr>
            <w:r>
              <w:rPr>
                <w:rFonts w:ascii="Arial" w:hAnsi="Arial"/>
                <w:b w:val="0"/>
                <w:color w:val="1A1A1A"/>
                <w:sz w:val="16"/>
              </w:rPr>
              <w:t>1.0</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0.5</w:t>
            </w:r>
          </w:p>
        </w:tc>
        <w:tc>
          <w:tcPr>
            <w:tcW w:type="dxa" w:w="850"/>
          </w:tcPr>
          <w:p>
            <w:pPr>
              <w:spacing w:after="20" w:line="240" w:lineRule="auto"/>
            </w:pPr>
            <w:r>
              <w:rPr>
                <w:rFonts w:ascii="Arial" w:hAnsi="Arial"/>
                <w:b w:val="0"/>
                <w:color w:val="1A1A1A"/>
                <w:sz w:val="16"/>
              </w:rPr>
              <w:t>1.0</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Croatia</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Cyprus</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Czechia</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Denmark</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Djibouti</w:t>
            </w:r>
          </w:p>
        </w:tc>
        <w:tc>
          <w:tcPr>
            <w:tcW w:type="dxa" w:w="850"/>
          </w:tcPr>
          <w:p>
            <w:pPr>
              <w:spacing w:after="20" w:line="240" w:lineRule="auto"/>
            </w:pPr>
            <w:r>
              <w:rPr>
                <w:rFonts w:ascii="Arial" w:hAnsi="Arial"/>
                <w:b w:val="0"/>
                <w:color w:val="1A1A1A"/>
                <w:sz w:val="16"/>
              </w:rPr>
              <w:t>0.5</w:t>
            </w:r>
          </w:p>
        </w:tc>
        <w:tc>
          <w:tcPr>
            <w:tcW w:type="dxa" w:w="850"/>
          </w:tcPr>
          <w:p>
            <w:pPr>
              <w:spacing w:after="20" w:line="240" w:lineRule="auto"/>
            </w:pPr>
            <w:r>
              <w:rPr>
                <w:rFonts w:ascii="Arial" w:hAnsi="Arial"/>
                <w:b w:val="0"/>
                <w:color w:val="1A1A1A"/>
                <w:sz w:val="16"/>
              </w:rPr>
              <w:t>0.5</w:t>
            </w:r>
          </w:p>
        </w:tc>
        <w:tc>
          <w:tcPr>
            <w:tcW w:type="dxa" w:w="850"/>
          </w:tcPr>
          <w:p>
            <w:pPr>
              <w:spacing w:after="20" w:line="240" w:lineRule="auto"/>
            </w:pPr>
            <w:r>
              <w:rPr>
                <w:rFonts w:ascii="Arial" w:hAnsi="Arial"/>
                <w:b w:val="0"/>
                <w:color w:val="1A1A1A"/>
                <w:sz w:val="16"/>
              </w:rPr>
              <w:t>0.0</w:t>
            </w:r>
          </w:p>
        </w:tc>
        <w:tc>
          <w:tcPr>
            <w:tcW w:type="dxa" w:w="850"/>
          </w:tcPr>
          <w:p>
            <w:pPr>
              <w:spacing w:after="20" w:line="240" w:lineRule="auto"/>
            </w:pPr>
            <w:r>
              <w:rPr>
                <w:rFonts w:ascii="Arial" w:hAnsi="Arial"/>
                <w:b w:val="0"/>
                <w:color w:val="1A1A1A"/>
                <w:sz w:val="16"/>
              </w:rPr>
              <w:t>0.0</w:t>
            </w:r>
          </w:p>
        </w:tc>
        <w:tc>
          <w:tcPr>
            <w:tcW w:type="dxa" w:w="850"/>
          </w:tcPr>
          <w:p>
            <w:pPr>
              <w:spacing w:after="20" w:line="240" w:lineRule="auto"/>
            </w:pPr>
            <w:r>
              <w:rPr>
                <w:rFonts w:ascii="Arial" w:hAnsi="Arial"/>
                <w:b w:val="0"/>
                <w:color w:val="1A1A1A"/>
                <w:sz w:val="16"/>
              </w:rPr>
              <w:t>1.0</w:t>
            </w:r>
          </w:p>
        </w:tc>
        <w:tc>
          <w:tcPr>
            <w:tcW w:type="dxa" w:w="850"/>
          </w:tcPr>
          <w:p>
            <w:pPr>
              <w:spacing w:after="20" w:line="240" w:lineRule="auto"/>
            </w:pPr>
            <w:r>
              <w:rPr>
                <w:rFonts w:ascii="Arial" w:hAnsi="Arial"/>
                <w:b w:val="0"/>
                <w:color w:val="1A1A1A"/>
                <w:sz w:val="16"/>
              </w:rPr>
              <w:t>1.0</w:t>
            </w:r>
          </w:p>
        </w:tc>
        <w:tc>
          <w:tcPr>
            <w:tcW w:type="dxa" w:w="964"/>
          </w:tcPr>
          <w:p>
            <w:pPr>
              <w:spacing w:after="20" w:line="240" w:lineRule="auto"/>
            </w:pPr>
            <w:r>
              <w:rPr>
                <w:rFonts w:ascii="Arial" w:hAnsi="Arial"/>
                <w:b w:val="0"/>
                <w:color w:val="1A1A1A"/>
                <w:sz w:val="16"/>
              </w:rPr>
              <w:t>Low</w:t>
            </w:r>
          </w:p>
        </w:tc>
      </w:tr>
      <w:tr>
        <w:tc>
          <w:tcPr>
            <w:tcW w:type="dxa" w:w="2098"/>
          </w:tcPr>
          <w:p>
            <w:pPr>
              <w:spacing w:after="20" w:line="240" w:lineRule="auto"/>
            </w:pPr>
            <w:r>
              <w:rPr>
                <w:rFonts w:ascii="Arial" w:hAnsi="Arial"/>
                <w:b w:val="0"/>
                <w:color w:val="1A1A1A"/>
                <w:sz w:val="16"/>
              </w:rPr>
              <w:t>Estonia</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0.0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Finland</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France</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Germany</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Greece</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Hungary</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India</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Indonesia</w:t>
            </w:r>
          </w:p>
        </w:tc>
        <w:tc>
          <w:tcPr>
            <w:tcW w:type="dxa" w:w="850"/>
          </w:tcPr>
          <w:p>
            <w:pPr>
              <w:spacing w:after="20" w:line="240" w:lineRule="auto"/>
            </w:pPr>
            <w:r>
              <w:rPr>
                <w:rFonts w:ascii="Arial" w:hAnsi="Arial"/>
                <w:b w:val="0"/>
                <w:color w:val="1A1A1A"/>
                <w:sz w:val="16"/>
              </w:rPr>
              <w:t>0.5</w:t>
            </w:r>
          </w:p>
        </w:tc>
        <w:tc>
          <w:tcPr>
            <w:tcW w:type="dxa" w:w="850"/>
          </w:tcPr>
          <w:p>
            <w:pPr>
              <w:spacing w:after="20" w:line="240" w:lineRule="auto"/>
            </w:pPr>
            <w:r>
              <w:rPr>
                <w:rFonts w:ascii="Arial" w:hAnsi="Arial"/>
                <w:b w:val="0"/>
                <w:color w:val="1A1A1A"/>
                <w:sz w:val="16"/>
              </w:rPr>
              <w:t>0.5</w:t>
            </w:r>
          </w:p>
        </w:tc>
        <w:tc>
          <w:tcPr>
            <w:tcW w:type="dxa" w:w="850"/>
          </w:tcPr>
          <w:p>
            <w:pPr>
              <w:spacing w:after="20" w:line="240" w:lineRule="auto"/>
            </w:pPr>
            <w:r>
              <w:rPr>
                <w:rFonts w:ascii="Arial" w:hAnsi="Arial"/>
                <w:b w:val="0"/>
                <w:color w:val="1A1A1A"/>
                <w:sz w:val="16"/>
              </w:rPr>
              <w:t>0.0</w:t>
            </w:r>
          </w:p>
        </w:tc>
        <w:tc>
          <w:tcPr>
            <w:tcW w:type="dxa" w:w="850"/>
          </w:tcPr>
          <w:p>
            <w:pPr>
              <w:spacing w:after="20" w:line="240" w:lineRule="auto"/>
            </w:pPr>
            <w:r>
              <w:rPr>
                <w:rFonts w:ascii="Arial" w:hAnsi="Arial"/>
                <w:b w:val="0"/>
                <w:color w:val="1A1A1A"/>
                <w:sz w:val="16"/>
              </w:rPr>
              <w:t>0.0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1.0</w:t>
            </w:r>
          </w:p>
        </w:tc>
        <w:tc>
          <w:tcPr>
            <w:tcW w:type="dxa" w:w="964"/>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Ireland</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Israel</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Italy</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Japan</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Latvia</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Lithuania</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Luxembourg</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Malaysia</w:t>
            </w:r>
          </w:p>
        </w:tc>
        <w:tc>
          <w:tcPr>
            <w:tcW w:type="dxa" w:w="850"/>
          </w:tcPr>
          <w:p>
            <w:pPr>
              <w:spacing w:after="20" w:line="240" w:lineRule="auto"/>
            </w:pPr>
            <w:r>
              <w:rPr>
                <w:rFonts w:ascii="Arial" w:hAnsi="Arial"/>
                <w:b w:val="0"/>
                <w:color w:val="1A1A1A"/>
                <w:sz w:val="16"/>
              </w:rPr>
              <w:t>1.0</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1.0</w:t>
            </w:r>
          </w:p>
        </w:tc>
        <w:tc>
          <w:tcPr>
            <w:tcW w:type="dxa" w:w="850"/>
          </w:tcPr>
          <w:p>
            <w:pPr>
              <w:spacing w:after="20" w:line="240" w:lineRule="auto"/>
            </w:pPr>
            <w:r>
              <w:rPr>
                <w:rFonts w:ascii="Arial" w:hAnsi="Arial"/>
                <w:b w:val="0"/>
                <w:color w:val="1A1A1A"/>
                <w:sz w:val="16"/>
              </w:rPr>
              <w:t>1.0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Malta</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0.0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Netherlands</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1.0</w:t>
            </w:r>
          </w:p>
        </w:tc>
        <w:tc>
          <w:tcPr>
            <w:tcW w:type="dxa" w:w="850"/>
          </w:tcPr>
          <w:p>
            <w:pPr>
              <w:spacing w:after="20" w:line="240" w:lineRule="auto"/>
            </w:pPr>
            <w:r>
              <w:rPr>
                <w:rFonts w:ascii="Arial" w:hAnsi="Arial"/>
                <w:b w:val="0"/>
                <w:color w:val="1A1A1A"/>
                <w:sz w:val="16"/>
              </w:rPr>
              <w:t>1.0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New Zealand</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Norway</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Poland</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Portugal</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Romania</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Russia</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0.5</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Saudi Arabia</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0.5</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Singapore</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Slovakia</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0.0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Slovenia</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South Korea</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Spain</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Sweden</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Thailand</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1.0</w:t>
            </w:r>
          </w:p>
        </w:tc>
        <w:tc>
          <w:tcPr>
            <w:tcW w:type="dxa" w:w="850"/>
          </w:tcPr>
          <w:p>
            <w:pPr>
              <w:spacing w:after="20" w:line="240" w:lineRule="auto"/>
            </w:pPr>
            <w:r>
              <w:rPr>
                <w:rFonts w:ascii="Arial" w:hAnsi="Arial"/>
                <w:b w:val="0"/>
                <w:color w:val="1A1A1A"/>
                <w:sz w:val="16"/>
              </w:rPr>
              <w:t>1.0</w:t>
            </w:r>
          </w:p>
        </w:tc>
        <w:tc>
          <w:tcPr>
            <w:tcW w:type="dxa" w:w="850"/>
          </w:tcPr>
          <w:p>
            <w:pPr>
              <w:spacing w:after="20" w:line="240" w:lineRule="auto"/>
            </w:pPr>
            <w:r>
              <w:rPr>
                <w:rFonts w:ascii="Arial" w:hAnsi="Arial"/>
                <w:b w:val="0"/>
                <w:color w:val="1A1A1A"/>
                <w:sz w:val="16"/>
              </w:rPr>
              <w:t>1.0</w:t>
            </w:r>
          </w:p>
        </w:tc>
        <w:tc>
          <w:tcPr>
            <w:tcW w:type="dxa" w:w="850"/>
          </w:tcPr>
          <w:p>
            <w:pPr>
              <w:spacing w:after="20" w:line="240" w:lineRule="auto"/>
            </w:pPr>
            <w:r>
              <w:rPr>
                <w:rFonts w:ascii="Arial" w:hAnsi="Arial"/>
                <w:b w:val="0"/>
                <w:color w:val="1A1A1A"/>
                <w:sz w:val="16"/>
              </w:rPr>
              <w:t>1.0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Türkiye</w:t>
            </w:r>
          </w:p>
        </w:tc>
        <w:tc>
          <w:tcPr>
            <w:tcW w:type="dxa" w:w="850"/>
          </w:tcPr>
          <w:p>
            <w:pPr>
              <w:spacing w:after="20" w:line="240" w:lineRule="auto"/>
            </w:pPr>
            <w:r>
              <w:rPr>
                <w:rFonts w:ascii="Arial" w:hAnsi="Arial"/>
                <w:b w:val="0"/>
                <w:color w:val="1A1A1A"/>
                <w:sz w:val="16"/>
              </w:rPr>
              <w:t>0.5</w:t>
            </w:r>
          </w:p>
        </w:tc>
        <w:tc>
          <w:tcPr>
            <w:tcW w:type="dxa" w:w="850"/>
          </w:tcPr>
          <w:p>
            <w:pPr>
              <w:spacing w:after="20" w:line="240" w:lineRule="auto"/>
            </w:pPr>
            <w:r>
              <w:rPr>
                <w:rFonts w:ascii="Arial" w:hAnsi="Arial"/>
                <w:b w:val="0"/>
                <w:color w:val="1A1A1A"/>
                <w:sz w:val="16"/>
              </w:rPr>
              <w:t>0.5</w:t>
            </w:r>
          </w:p>
        </w:tc>
        <w:tc>
          <w:tcPr>
            <w:tcW w:type="dxa" w:w="850"/>
          </w:tcPr>
          <w:p>
            <w:pPr>
              <w:spacing w:after="20" w:line="240" w:lineRule="auto"/>
            </w:pPr>
            <w:r>
              <w:rPr>
                <w:rFonts w:ascii="Arial" w:hAnsi="Arial"/>
                <w:b w:val="0"/>
                <w:color w:val="1A1A1A"/>
                <w:sz w:val="16"/>
              </w:rPr>
              <w:t>0.0</w:t>
            </w:r>
          </w:p>
        </w:tc>
        <w:tc>
          <w:tcPr>
            <w:tcW w:type="dxa" w:w="850"/>
          </w:tcPr>
          <w:p>
            <w:pPr>
              <w:spacing w:after="20" w:line="240" w:lineRule="auto"/>
            </w:pPr>
            <w:r>
              <w:rPr>
                <w:rFonts w:ascii="Arial" w:hAnsi="Arial"/>
                <w:b w:val="0"/>
                <w:color w:val="1A1A1A"/>
                <w:sz w:val="16"/>
              </w:rPr>
              <w:t>0.0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1.0</w:t>
            </w:r>
          </w:p>
        </w:tc>
        <w:tc>
          <w:tcPr>
            <w:tcW w:type="dxa" w:w="964"/>
          </w:tcPr>
          <w:p>
            <w:pPr>
              <w:spacing w:after="20" w:line="240" w:lineRule="auto"/>
            </w:pPr>
            <w:r>
              <w:rPr>
                <w:rFonts w:ascii="Arial" w:hAnsi="Arial"/>
                <w:b w:val="0"/>
                <w:color w:val="1A1A1A"/>
                <w:sz w:val="16"/>
              </w:rPr>
              <w:t>Low</w:t>
            </w:r>
          </w:p>
        </w:tc>
      </w:tr>
      <w:tr>
        <w:tc>
          <w:tcPr>
            <w:tcW w:type="dxa" w:w="2098"/>
          </w:tcPr>
          <w:p>
            <w:pPr>
              <w:spacing w:after="20" w:line="240" w:lineRule="auto"/>
            </w:pPr>
            <w:r>
              <w:rPr>
                <w:rFonts w:ascii="Arial" w:hAnsi="Arial"/>
                <w:b w:val="0"/>
                <w:color w:val="1A1A1A"/>
                <w:sz w:val="16"/>
              </w:rPr>
              <w:t>Ukraine</w:t>
            </w:r>
          </w:p>
        </w:tc>
        <w:tc>
          <w:tcPr>
            <w:tcW w:type="dxa" w:w="850"/>
          </w:tcPr>
          <w:p>
            <w:pPr>
              <w:spacing w:after="20" w:line="240" w:lineRule="auto"/>
            </w:pPr>
            <w:r>
              <w:rPr>
                <w:rFonts w:ascii="Arial" w:hAnsi="Arial"/>
                <w:b w:val="0"/>
                <w:color w:val="1A1A1A"/>
                <w:sz w:val="16"/>
              </w:rPr>
              <w:t>0.5</w:t>
            </w:r>
          </w:p>
        </w:tc>
        <w:tc>
          <w:tcPr>
            <w:tcW w:type="dxa" w:w="850"/>
          </w:tcPr>
          <w:p>
            <w:pPr>
              <w:spacing w:after="20" w:line="240" w:lineRule="auto"/>
            </w:pPr>
            <w:r>
              <w:rPr>
                <w:rFonts w:ascii="Arial" w:hAnsi="Arial"/>
                <w:b w:val="0"/>
                <w:color w:val="1A1A1A"/>
                <w:sz w:val="16"/>
              </w:rPr>
              <w:t>0.5</w:t>
            </w:r>
          </w:p>
        </w:tc>
        <w:tc>
          <w:tcPr>
            <w:tcW w:type="dxa" w:w="850"/>
          </w:tcPr>
          <w:p>
            <w:pPr>
              <w:spacing w:after="20" w:line="240" w:lineRule="auto"/>
            </w:pPr>
            <w:r>
              <w:rPr>
                <w:rFonts w:ascii="Arial" w:hAnsi="Arial"/>
                <w:b w:val="0"/>
                <w:color w:val="1A1A1A"/>
                <w:sz w:val="16"/>
              </w:rPr>
              <w:t>0.0</w:t>
            </w:r>
          </w:p>
        </w:tc>
        <w:tc>
          <w:tcPr>
            <w:tcW w:type="dxa" w:w="850"/>
          </w:tcPr>
          <w:p>
            <w:pPr>
              <w:spacing w:after="20" w:line="240" w:lineRule="auto"/>
            </w:pPr>
            <w:r>
              <w:rPr>
                <w:rFonts w:ascii="Arial" w:hAnsi="Arial"/>
                <w:b w:val="0"/>
                <w:color w:val="1A1A1A"/>
                <w:sz w:val="16"/>
              </w:rPr>
              <w:t>0.0</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1.0</w:t>
            </w:r>
          </w:p>
        </w:tc>
        <w:tc>
          <w:tcPr>
            <w:tcW w:type="dxa" w:w="964"/>
          </w:tcPr>
          <w:p>
            <w:pPr>
              <w:spacing w:after="20" w:line="240" w:lineRule="auto"/>
            </w:pPr>
            <w:r>
              <w:rPr>
                <w:rFonts w:ascii="Arial" w:hAnsi="Arial"/>
                <w:b w:val="0"/>
                <w:color w:val="1A1A1A"/>
                <w:sz w:val="16"/>
              </w:rPr>
              <w:t>Low</w:t>
            </w:r>
          </w:p>
        </w:tc>
      </w:tr>
      <w:tr>
        <w:tc>
          <w:tcPr>
            <w:tcW w:type="dxa" w:w="2098"/>
          </w:tcPr>
          <w:p>
            <w:pPr>
              <w:spacing w:after="20" w:line="240" w:lineRule="auto"/>
            </w:pPr>
            <w:r>
              <w:rPr>
                <w:rFonts w:ascii="Arial" w:hAnsi="Arial"/>
                <w:b w:val="0"/>
                <w:color w:val="1A1A1A"/>
                <w:sz w:val="16"/>
              </w:rPr>
              <w:t>United Arab Emirates</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Medium</w:t>
            </w:r>
          </w:p>
        </w:tc>
      </w:tr>
      <w:tr>
        <w:tc>
          <w:tcPr>
            <w:tcW w:type="dxa" w:w="2098"/>
          </w:tcPr>
          <w:p>
            <w:pPr>
              <w:spacing w:after="20" w:line="240" w:lineRule="auto"/>
            </w:pPr>
            <w:r>
              <w:rPr>
                <w:rFonts w:ascii="Arial" w:hAnsi="Arial"/>
                <w:b w:val="0"/>
                <w:color w:val="1A1A1A"/>
                <w:sz w:val="16"/>
              </w:rPr>
              <w:t>United Kingdom</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1.0</w:t>
            </w:r>
          </w:p>
        </w:tc>
        <w:tc>
          <w:tcPr>
            <w:tcW w:type="dxa" w:w="850"/>
          </w:tcPr>
          <w:p>
            <w:pPr>
              <w:spacing w:after="20" w:line="240" w:lineRule="auto"/>
            </w:pPr>
            <w:r>
              <w:rPr>
                <w:rFonts w:ascii="Arial" w:hAnsi="Arial"/>
                <w:b w:val="0"/>
                <w:color w:val="1A1A1A"/>
                <w:sz w:val="16"/>
              </w:rPr>
              <w:t>1.0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United States</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High</w:t>
            </w:r>
          </w:p>
        </w:tc>
      </w:tr>
      <w:tr>
        <w:tc>
          <w:tcPr>
            <w:tcW w:type="dxa" w:w="2098"/>
          </w:tcPr>
          <w:p>
            <w:pPr>
              <w:spacing w:after="20" w:line="240" w:lineRule="auto"/>
            </w:pPr>
            <w:r>
              <w:rPr>
                <w:rFonts w:ascii="Arial" w:hAnsi="Arial"/>
                <w:b w:val="0"/>
                <w:color w:val="1A1A1A"/>
                <w:sz w:val="16"/>
              </w:rPr>
              <w:t>Vietnam</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1.5</w:t>
            </w:r>
          </w:p>
        </w:tc>
        <w:tc>
          <w:tcPr>
            <w:tcW w:type="dxa" w:w="850"/>
          </w:tcPr>
          <w:p>
            <w:pPr>
              <w:spacing w:after="20" w:line="240" w:lineRule="auto"/>
            </w:pPr>
            <w:r>
              <w:rPr>
                <w:rFonts w:ascii="Arial" w:hAnsi="Arial"/>
                <w:b w:val="0"/>
                <w:color w:val="1A1A1A"/>
                <w:sz w:val="16"/>
              </w:rPr>
              <w:t>1.0</w:t>
            </w:r>
          </w:p>
        </w:tc>
        <w:tc>
          <w:tcPr>
            <w:tcW w:type="dxa" w:w="850"/>
          </w:tcPr>
          <w:p>
            <w:pPr>
              <w:spacing w:after="20" w:line="240" w:lineRule="auto"/>
            </w:pPr>
            <w:r>
              <w:rPr>
                <w:rFonts w:ascii="Arial" w:hAnsi="Arial"/>
                <w:b w:val="0"/>
                <w:color w:val="1A1A1A"/>
                <w:sz w:val="16"/>
              </w:rPr>
              <w:t>0.0</w:t>
            </w:r>
          </w:p>
        </w:tc>
        <w:tc>
          <w:tcPr>
            <w:tcW w:type="dxa" w:w="850"/>
          </w:tcPr>
          <w:p>
            <w:pPr>
              <w:spacing w:after="20" w:line="240" w:lineRule="auto"/>
            </w:pPr>
            <w:r>
              <w:rPr>
                <w:rFonts w:ascii="Arial" w:hAnsi="Arial"/>
                <w:b w:val="0"/>
                <w:color w:val="1A1A1A"/>
                <w:sz w:val="16"/>
              </w:rPr>
              <w:t>2.0</w:t>
            </w:r>
          </w:p>
        </w:tc>
        <w:tc>
          <w:tcPr>
            <w:tcW w:type="dxa" w:w="850"/>
          </w:tcPr>
          <w:p>
            <w:pPr>
              <w:spacing w:after="20" w:line="240" w:lineRule="auto"/>
            </w:pPr>
            <w:r>
              <w:rPr>
                <w:rFonts w:ascii="Arial" w:hAnsi="Arial"/>
                <w:b w:val="0"/>
                <w:color w:val="1A1A1A"/>
                <w:sz w:val="16"/>
              </w:rPr>
              <w:t>2.0</w:t>
            </w:r>
          </w:p>
        </w:tc>
        <w:tc>
          <w:tcPr>
            <w:tcW w:type="dxa" w:w="964"/>
          </w:tcPr>
          <w:p>
            <w:pPr>
              <w:spacing w:after="20" w:line="240" w:lineRule="auto"/>
            </w:pPr>
            <w:r>
              <w:rPr>
                <w:rFonts w:ascii="Arial" w:hAnsi="Arial"/>
                <w:b w:val="0"/>
                <w:color w:val="1A1A1A"/>
                <w:sz w:val="16"/>
              </w:rPr>
              <w:t>Low</w:t>
            </w:r>
          </w:p>
        </w:tc>
      </w:tr>
    </w:tbl>
    <w:p>
      <w:r>
        <w:rPr>
          <w:i/>
          <w:color w:val="5C5C5C"/>
          <w:sz w:val="17"/>
        </w:rPr>
        <w:t>Axis means across the 53 countries: relevance 1.70, coherence 1.59, effectiveness 1.31, efficiency 1.58, governance 1.61, impact 1.87.</w:t>
      </w:r>
    </w:p>
    <w:p>
      <w:r>
        <w:br w:type="page"/>
      </w:r>
    </w:p>
    <w:p>
      <w:pPr>
        <w:pStyle w:val="Heading1"/>
      </w:pPr>
      <w:r>
        <w:t>References</w:t>
      </w:r>
    </w:p>
    <w:p>
      <w:pPr>
        <w:spacing w:after="100"/>
        <w:ind w:left="567" w:hanging="567"/>
      </w:pPr>
      <w:r>
        <w:rPr>
          <w:sz w:val="19"/>
        </w:rPr>
        <w:t>Borup, M., Brown, N., Konrad, K., &amp; van Lente, H. (2006). The sociology of expectations in science and technology. Technology Analysis &amp; Strategic Management, 18(3-4), 285-298.</w:t>
      </w:r>
    </w:p>
    <w:p>
      <w:pPr>
        <w:spacing w:after="100"/>
        <w:ind w:left="567" w:hanging="567"/>
      </w:pPr>
      <w:r>
        <w:rPr>
          <w:sz w:val="19"/>
        </w:rPr>
        <w:t>Bradford, A. (2020). The Brussels effect: How the European Union rules the world. Oxford University Press.</w:t>
      </w:r>
    </w:p>
    <w:p>
      <w:pPr>
        <w:spacing w:after="100"/>
        <w:ind w:left="567" w:hanging="567"/>
      </w:pPr>
      <w:r>
        <w:rPr>
          <w:sz w:val="19"/>
        </w:rPr>
        <w:t>Budde, B., &amp; Konrad, K. (2019). Tentative governing of fuel cell innovation in a dynamic network of expectations. Research Policy, 48(5), 1098-1112.</w:t>
      </w:r>
    </w:p>
    <w:p>
      <w:pPr>
        <w:spacing w:after="100"/>
        <w:ind w:left="567" w:hanging="567"/>
      </w:pPr>
      <w:r>
        <w:rPr>
          <w:sz w:val="19"/>
        </w:rPr>
        <w:t>Buthe, T., &amp; Mattli, W. (2011). The new global rulers: The privatization of regulation in the world economy. Princeton University Press.</w:t>
      </w:r>
    </w:p>
    <w:p>
      <w:pPr>
        <w:spacing w:after="100"/>
        <w:ind w:left="567" w:hanging="567"/>
      </w:pPr>
      <w:r>
        <w:rPr>
          <w:sz w:val="19"/>
        </w:rPr>
        <w:t>Carlsson, B. (2006). Internationalization of innovation systems: A survey of the literature. Research Policy, 35(1), 56-67.</w:t>
      </w:r>
    </w:p>
    <w:p>
      <w:pPr>
        <w:spacing w:after="100"/>
        <w:ind w:left="567" w:hanging="567"/>
      </w:pPr>
      <w:r>
        <w:rPr>
          <w:sz w:val="19"/>
        </w:rPr>
        <w:t>European Parliament and Council. (2022). Directive (EU) 2022/2555 (NIS2); Regulation (EU) 2022/2554 (DORA).</w:t>
      </w:r>
    </w:p>
    <w:p>
      <w:pPr>
        <w:spacing w:after="100"/>
        <w:ind w:left="567" w:hanging="567"/>
      </w:pPr>
      <w:r>
        <w:rPr>
          <w:sz w:val="19"/>
        </w:rPr>
        <w:t>Konrad, K. (2006). The social dynamics of expectations. Technology Analysis &amp; Strategic Management, 18(3-4), 429-444.</w:t>
      </w:r>
    </w:p>
    <w:p>
      <w:pPr>
        <w:spacing w:after="100"/>
        <w:ind w:left="567" w:hanging="567"/>
      </w:pPr>
      <w:r>
        <w:rPr>
          <w:sz w:val="19"/>
        </w:rPr>
        <w:t>NIST. (2024). FIPS 203, FIPS 204 and FIPS 205: Post-quantum cryptography standards. National Institute of Standards and Technology.</w:t>
      </w:r>
    </w:p>
    <w:p>
      <w:pPr>
        <w:spacing w:after="100"/>
        <w:ind w:left="567" w:hanging="567"/>
      </w:pPr>
      <w:r>
        <w:rPr>
          <w:sz w:val="19"/>
        </w:rPr>
        <w:t>Paglieri, L., Bonomi Savignon, A., Scalabrini, F., &amp; Costumato, L. (2025). Navigating the quantum frontier: Examining government strategy to the next technological revolution. Transforming Government: People, Process and Policy, 19(4).</w:t>
      </w:r>
    </w:p>
    <w:p>
      <w:pPr>
        <w:spacing w:after="100"/>
        <w:ind w:left="567" w:hanging="567"/>
      </w:pPr>
      <w:r>
        <w:rPr>
          <w:sz w:val="19"/>
        </w:rPr>
        <w:t>Pupillo, L., et al. (2025). Strengthening the EU transition to a quantum-safe world (Task Force Report). Centre for European Policy Studies.</w:t>
      </w:r>
    </w:p>
    <w:p>
      <w:pPr>
        <w:spacing w:after="100"/>
        <w:ind w:left="567" w:hanging="567"/>
      </w:pPr>
      <w:r>
        <w:rPr>
          <w:sz w:val="19"/>
        </w:rPr>
        <w:t>Star, S. L. (1999). The ethnography of infrastructure. American Behavioral Scientist, 43(3), 377-391.</w:t>
      </w:r>
    </w:p>
    <w:p>
      <w:pPr>
        <w:spacing w:after="100"/>
        <w:ind w:left="567" w:hanging="567"/>
      </w:pPr>
      <w:r>
        <w:rPr>
          <w:sz w:val="19"/>
        </w:rPr>
        <w:t>Vance, A. S. (2025). Cybersecurity and quantum computing: A quantitative analysis proposing a framework for assessing quantum cybersecurity maturity [Doctoral dissertation].</w:t>
      </w:r>
    </w:p>
    <w:p>
      <w:pPr>
        <w:spacing w:after="100"/>
        <w:ind w:left="567" w:hanging="567"/>
      </w:pPr>
      <w:r>
        <w:rPr>
          <w:sz w:val="19"/>
        </w:rPr>
        <w:t>Yates, J., &amp; Murphy, C. N. (2019). Engineering rules: Global standard setting since 1880. Johns Hopkins University Press.</w:t>
      </w:r>
    </w:p>
    <w:sectPr w:rsidR="00FC693F" w:rsidRPr="0006063C" w:rsidSect="00034616">
      <w:pgSz w:w="11906" w:h="16838"/>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Georgia" w:hAnsi="Georg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1A1A1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