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Application Data Collection Scope</w:t>
      </w:r>
    </w:p>
    <w:p>
      <w:pPr/>
      <w:r>
        <w:t xml:space="preserve">Oct 25, 2026</w:t>
      </w:r>
      <w:r>
        <w:t xml:space="preserve"> · </w:t>
      </w:r>
      <w:r>
        <w:t xml:space="preserve">@Duo</w:t>
      </w:r>
    </w:p>
    <w:p>
      <w:pPr/>
      <w:r>
        <w:t xml:space="preserve">This page sets out the data the application analysis proposes to collect for each application at every office, to inform the consolidation of office infrastructure into regional hubs. It's shared before any collection starts so the architecture team can confirm what they need, flag what's missing and drop what they won't use. The detailed capture workbook follows once this is agreed.</w:t>
      </w:r>
    </w:p>
    <w:p>
      <w:pPr>
        <w:pStyle w:val="Heading2"/>
      </w:pPr>
      <w:r>
        <w:t xml:space="preserve">Scope</w:t>
      </w:r>
    </w:p>
    <w:p>
      <w:pPr/>
      <w:r>
        <w:rPr>
          <w:b/>
        </w:rPr>
        <w:t xml:space="preserve">In scope:</w:t>
      </w:r>
      <w:r>
        <w:t xml:space="preserve"> business applications, file shares, print services, licence servers, OT and building systems management, domain controllers and the PABX. This covers applications hosted at an office, applications hosted at one office and used from others, and applications hosted elsewhere (data centre, cloud or SaaS) whose access path changes when office infrastructure goes.</w:t>
      </w:r>
    </w:p>
    <w:p>
      <w:pPr/>
      <w:r>
        <w:rPr>
          <w:b/>
        </w:rPr>
        <w:t xml:space="preserve">Out of scope:</w:t>
      </w:r>
      <w:r>
        <w:t xml:space="preserve"> DNS and DHCP, which another team is migrating to Infoblox. Application dependencies on them are still recorded and passed to that team. Network and other infrastructure analysis belongs to the respective teams.</w:t>
      </w:r>
    </w:p>
    <w:p>
      <w:pPr>
        <w:pStyle w:val="Heading2"/>
      </w:pPr>
      <w:r>
        <w:t xml:space="preserve">Data for each application</w:t>
      </w:r>
    </w:p>
    <w:tbl>
      <w:tblPr>
        <w:tblStyle w:val="TableGrid"/>
        <w:tblW w:w="0" w:type="auto"/>
        <w:tblLayout w:type="fixed"/>
        <w:tblLook w:val="04A0" w:firstRow="1" w:lastRow="0" w:firstColumn="0" w:lastColumn="0" w:noHBand="0" w:noVBand="1"/>
      </w:tblPr>
      <w:tblGrid>
        <w:gridCol w:w="2691"/>
        <w:gridCol w:w="4920"/>
        <w:gridCol w:w="1749"/>
      </w:tblGrid>
      <w:tr>
        <w:trPr>
          <w:tblHeader/>
        </w:trPr>
        <w:tc>
          <w:tcPr>
            <w:tcW w:w="2691" w:type="dxa"/>
            <w:shd w:val="clear" w:color="auto" w:fill="F2F2F2"/>
          </w:tcPr>
          <w:p>
            <w:pPr/>
            <w:r>
              <w:t xml:space="preserve">Group</w:t>
            </w:r>
          </w:p>
        </w:tc>
        <w:tc>
          <w:tcPr>
            <w:tcW w:w="4920" w:type="dxa"/>
            <w:shd w:val="clear" w:color="auto" w:fill="F2F2F2"/>
          </w:tcPr>
          <w:p>
            <w:pPr/>
            <w:r>
              <w:t xml:space="preserve">What we'll collect</w:t>
            </w:r>
          </w:p>
        </w:tc>
        <w:tc>
          <w:tcPr>
            <w:tcW w:w="1749" w:type="dxa"/>
            <w:shd w:val="clear" w:color="auto" w:fill="F2F2F2"/>
          </w:tcPr>
          <w:p>
            <w:pPr/>
            <w:r>
              <w:t xml:space="preserve">Informs</w:t>
            </w:r>
          </w:p>
        </w:tc>
      </w:tr>
      <w:tr>
        <w:tc>
          <w:tcPr>
            <w:tcW w:w="2691" w:type="dxa"/>
          </w:tcPr>
          <w:p>
            <w:pPr/>
            <w:r>
              <w:t xml:space="preserve">Ownership</w:t>
            </w:r>
          </w:p>
        </w:tc>
        <w:tc>
          <w:tcPr>
            <w:tcW w:w="4920" w:type="dxa"/>
          </w:tcPr>
          <w:p>
            <w:pPr/>
            <w:r>
              <w:t xml:space="preserve">App ID, name, category, business and technical owner, vendor support status</w:t>
            </w:r>
          </w:p>
        </w:tc>
        <w:tc>
          <w:tcPr>
            <w:tcW w:w="1749" w:type="dxa"/>
          </w:tcPr>
          <w:p>
            <w:pPr/>
            <w:r>
              <w:t xml:space="preserve">Traceability; migration waves</w:t>
            </w:r>
          </w:p>
        </w:tc>
      </w:tr>
      <w:tr>
        <w:tc>
          <w:tcPr>
            <w:tcW w:w="2691" w:type="dxa"/>
          </w:tcPr>
          <w:p>
            <w:pPr/>
            <w:r>
              <w:t xml:space="preserve">Criticality and recovery</w:t>
            </w:r>
          </w:p>
        </w:tc>
        <w:tc>
          <w:tcPr>
            <w:tcW w:w="4920" w:type="dxa"/>
          </w:tcPr>
          <w:p>
            <w:pPr/>
            <w:r>
              <w:t xml:space="preserve">Criticality tier, RTO, RPO, failover method, whether it must keep working during a WAN outage</w:t>
            </w:r>
          </w:p>
        </w:tc>
        <w:tc>
          <w:tcPr>
            <w:tcW w:w="1749" w:type="dxa"/>
          </w:tcPr>
          <w:p>
            <w:pPr/>
            <w:r>
              <w:t xml:space="preserve">Failover design; what stays at the office</w:t>
            </w:r>
          </w:p>
        </w:tc>
      </w:tr>
      <w:tr>
        <w:tc>
          <w:tcPr>
            <w:tcW w:w="2691" w:type="dxa"/>
          </w:tcPr>
          <w:p>
            <w:pPr/>
            <w:r>
              <w:t xml:space="preserve">Data</w:t>
            </w:r>
          </w:p>
        </w:tc>
        <w:tc>
          <w:tcPr>
            <w:tcW w:w="4920" w:type="dxa"/>
          </w:tcPr>
          <w:p>
            <w:pPr/>
            <w:r>
              <w:t xml:space="preserve">Classification, residency constraint and jurisdiction</w:t>
            </w:r>
          </w:p>
        </w:tc>
        <w:tc>
          <w:tcPr>
            <w:tcW w:w="1749" w:type="dxa"/>
          </w:tcPr>
          <w:p>
            <w:pPr/>
            <w:r>
              <w:t xml:space="preserve">Hub and failover hub selection</w:t>
            </w:r>
          </w:p>
        </w:tc>
      </w:tr>
      <w:tr>
        <w:tc>
          <w:tcPr>
            <w:tcW w:w="2691" w:type="dxa"/>
          </w:tcPr>
          <w:p>
            <w:pPr/>
            <w:r>
              <w:t xml:space="preserve">Hosting and footprint</w:t>
            </w:r>
          </w:p>
        </w:tc>
        <w:tc>
          <w:tcPr>
            <w:tcW w:w="4920" w:type="dxa"/>
          </w:tcPr>
          <w:p>
            <w:pPr/>
            <w:r>
              <w:t xml:space="preserve">Where it runs today; its servers, VMs, appliances and devices; CPU, memory, storage and network throughput; OS and support status; anything that stops it moving (hardware, licence, location)</w:t>
            </w:r>
          </w:p>
        </w:tc>
        <w:tc>
          <w:tcPr>
            <w:tcW w:w="1749" w:type="dxa"/>
          </w:tcPr>
          <w:p>
            <w:pPr/>
            <w:r>
              <w:t xml:space="preserve">Hub sizing; retire, rehost or replace</w:t>
            </w:r>
          </w:p>
        </w:tc>
      </w:tr>
      <w:tr>
        <w:tc>
          <w:tcPr>
            <w:tcW w:w="2691" w:type="dxa"/>
          </w:tcPr>
          <w:p>
            <w:pPr/>
            <w:r>
              <w:t xml:space="preserve">Users and access</w:t>
            </w:r>
          </w:p>
        </w:tc>
        <w:tc>
          <w:tcPr>
            <w:tcW w:w="4920" w:type="dxa"/>
          </w:tcPr>
          <w:p>
            <w:pPr/>
            <w:r>
              <w:t xml:space="preserve">Which offices use it, user numbers and peak concurrency, client type, protocols and ports, whether it's reached by name or by IP, any office-IP allowlists</w:t>
            </w:r>
          </w:p>
        </w:tc>
        <w:tc>
          <w:tcPr>
            <w:tcW w:w="1749" w:type="dxa"/>
          </w:tcPr>
          <w:p>
            <w:pPr/>
            <w:r>
              <w:t xml:space="preserve">Hub selection; ZPA and internet access design</w:t>
            </w:r>
          </w:p>
        </w:tc>
      </w:tr>
      <w:tr>
        <w:tc>
          <w:tcPr>
            <w:tcW w:w="2691" w:type="dxa"/>
          </w:tcPr>
          <w:p>
            <w:pPr/>
            <w:r>
              <w:t xml:space="preserve">Latency</w:t>
            </w:r>
          </w:p>
        </w:tc>
        <w:tc>
          <w:tcPr>
            <w:tcW w:w="4920" w:type="dxa"/>
          </w:tcPr>
          <w:p>
            <w:pPr/>
            <w:r>
              <w:t xml:space="preserve">Latency sensitivity and tolerance, checked against measured office-to-hub round-trip time for the target and failover hubs</w:t>
            </w:r>
          </w:p>
        </w:tc>
        <w:tc>
          <w:tcPr>
            <w:tcW w:w="1749" w:type="dxa"/>
          </w:tcPr>
          <w:p>
            <w:pPr/>
            <w:r>
              <w:t xml:space="preserve">Hub acceptance</w:t>
            </w:r>
          </w:p>
        </w:tc>
      </w:tr>
      <w:tr>
        <w:tc>
          <w:tcPr>
            <w:tcW w:w="2691" w:type="dxa"/>
          </w:tcPr>
          <w:p>
            <w:pPr/>
            <w:r>
              <w:t xml:space="preserve">Authentication</w:t>
            </w:r>
          </w:p>
        </w:tc>
        <w:tc>
          <w:tcPr>
            <w:tcW w:w="4920" w:type="dxa"/>
          </w:tcPr>
          <w:p>
            <w:pPr/>
            <w:r>
              <w:t xml:space="preserve">Methods (Kerberos, NTLM, LDAP, SAML), service accounts, domain controller dependencies</w:t>
            </w:r>
          </w:p>
        </w:tc>
        <w:tc>
          <w:tcPr>
            <w:tcW w:w="1749" w:type="dxa"/>
          </w:tcPr>
          <w:p>
            <w:pPr/>
            <w:r>
              <w:t xml:space="preserve">Identity design</w:t>
            </w:r>
          </w:p>
        </w:tc>
      </w:tr>
      <w:tr>
        <w:tc>
          <w:tcPr>
            <w:tcW w:w="2691" w:type="dxa"/>
          </w:tcPr>
          <w:p>
            <w:pPr/>
            <w:r>
              <w:t xml:space="preserve">Dependencies</w:t>
            </w:r>
          </w:p>
        </w:tc>
        <w:tc>
          <w:tcPr>
            <w:tcW w:w="4920" w:type="dxa"/>
          </w:tcPr>
          <w:p>
            <w:pPr/>
            <w:r>
              <w:t xml:space="preserve">Links to other apps and databases, infrastructure services (domain controllers, DNS, DHCP, mail relay, licence servers), external parties, scheduled and period-end jobs</w:t>
            </w:r>
          </w:p>
        </w:tc>
        <w:tc>
          <w:tcPr>
            <w:tcW w:w="1749" w:type="dxa"/>
          </w:tcPr>
          <w:p>
            <w:pPr/>
            <w:r>
              <w:t xml:space="preserve">Migration waves; cutover planning</w:t>
            </w:r>
          </w:p>
        </w:tc>
      </w:tr>
      <w:tr>
        <w:tc>
          <w:tcPr>
            <w:tcW w:w="2691" w:type="dxa"/>
          </w:tcPr>
          <w:p>
            <w:pPr/>
            <w:r>
              <w:t xml:space="preserve">Exceptions</w:t>
            </w:r>
          </w:p>
        </w:tc>
        <w:tc>
          <w:tcPr>
            <w:tcW w:w="4920" w:type="dxa"/>
          </w:tcPr>
          <w:p>
            <w:pPr/>
            <w:r>
              <w:t xml:space="preserve">Hard-coded IPs, legacy protocols, period-end jobs, hardware- or site-restricted licences, emergency calling and analogue lines, manual workarounds</w:t>
            </w:r>
          </w:p>
        </w:tc>
        <w:tc>
          <w:tcPr>
            <w:tcW w:w="1749" w:type="dxa"/>
          </w:tcPr>
          <w:p>
            <w:pPr/>
            <w:r>
              <w:t xml:space="preserve">All design decisions</w:t>
            </w:r>
          </w:p>
        </w:tc>
      </w:tr>
      <w:tr>
        <w:tc>
          <w:tcPr>
            <w:tcW w:w="2691" w:type="dxa"/>
          </w:tcPr>
          <w:p>
            <w:pPr/>
            <w:r>
              <w:t xml:space="preserve">Security baseline</w:t>
            </w:r>
          </w:p>
        </w:tc>
        <w:tc>
          <w:tcPr>
            <w:tcW w:w="4920" w:type="dxa"/>
          </w:tcPr>
          <w:p>
            <w:pPr/>
            <w:r>
              <w:t xml:space="preserve">Listening services, services reachable from the internet, legacy protocols in use</w:t>
            </w:r>
          </w:p>
        </w:tc>
        <w:tc>
          <w:tcPr>
            <w:tcW w:w="1749" w:type="dxa"/>
          </w:tcPr>
          <w:p>
            <w:pPr/>
            <w:r>
              <w:t xml:space="preserve">Measuring the footprint reduction</w:t>
            </w:r>
          </w:p>
        </w:tc>
      </w:tr>
    </w:tbl>
    <w:p>
      <w:pPr/>
      <w:r>
        <w:t xml:space="preserve">Each application is also classified by behaviour, for example SaaS, office-hosted and latency-sensitive, or tied to devices at the office. That gives architecture a small set of patterns plus a named exception list instead of hundreds of individual cases. Each office also gets a profile: tentative hubs, measured round-trip times, Infoblox cutover date, what is likely to stay on site, and how well the evidence covers it.</w:t>
      </w:r>
    </w:p>
    <w:p>
      <w:pPr>
        <w:pStyle w:val="Heading2"/>
      </w:pPr>
      <w:r>
        <w:t xml:space="preserve">Evidence and known limits</w:t>
      </w:r>
    </w:p>
    <w:p>
      <w:pPr/>
      <w:r>
        <w:t xml:space="preserve">Every value will be tagged Observed (in data, logs or config), Inferred, Assumed or Decided, with its source and a confidence rating. Owners validate each record before handover. Sources are VMware, Defender, Splunk, Netbox, RunZero, Zscaler ZIA and ZPA, the application inventory, and application owners.</w:t>
      </w:r>
    </w:p>
    <w:p>
      <w:pPr/>
      <w:r>
        <w:t xml:space="preserve">Known limits:</w:t>
      </w:r>
    </w:p>
    <w:p>
      <w:pPr>
        <w:pStyle w:val="ListParagraph"/>
        <w:numPr>
          <w:ilvl w:val="0"/>
          <w:numId w:val="2"/>
        </w:numPr>
      </w:pPr>
      <w:r>
        <w:t xml:space="preserve">Defender holds 30 days of history, which misses quarterly and year-end activity.</w:t>
      </w:r>
    </w:p>
    <w:p>
      <w:pPr>
        <w:pStyle w:val="ListParagraph"/>
        <w:numPr>
          <w:ilvl w:val="0"/>
          <w:numId w:val="2"/>
        </w:numPr>
      </w:pPr>
      <w:r>
        <w:t xml:space="preserve">Offices may have no firewall logs, which limits traffic volumes and long-term history.</w:t>
      </w:r>
    </w:p>
    <w:p>
      <w:pPr>
        <w:pStyle w:val="ListParagraph"/>
        <w:numPr>
          <w:ilvl w:val="0"/>
          <w:numId w:val="2"/>
        </w:numPr>
      </w:pPr>
      <w:r>
        <w:t xml:space="preserve">ZPA is still rolling out, so its logs cover only some users.</w:t>
      </w:r>
    </w:p>
    <w:p>
      <w:pPr>
        <w:pStyle w:val="ListParagraph"/>
        <w:numPr>
          <w:ilvl w:val="0"/>
          <w:numId w:val="2"/>
        </w:numPr>
      </w:pPr>
      <w:r>
        <w:t xml:space="preserve">Data residency, RTO and RPO, and latency tolerance come from owners, legal and testing rather than tools.</w:t>
      </w:r>
    </w:p>
    <w:p>
      <w:pPr/>
      <w:r>
        <w:t xml:space="preserve">Where a gap affects a design decision, it's recorded as an assumption with an owner and a test, not filled with a guess.</w:t>
      </w:r>
    </w:p>
    <w:p>
      <w:pPr>
        <w:pStyle w:val="Heading2"/>
      </w:pPr>
      <w:r>
        <w:t xml:space="preserve">What we need from architecture</w:t>
      </w:r>
    </w:p>
    <w:p>
      <w:pPr/>
      <w:r>
        <w:t xml:space="preserve">Please answer these questions here, as comments:</w:t>
      </w:r>
    </w:p>
    <w:p>
      <w:pPr>
        <w:pStyle w:val="ListParagraph"/>
        <w:numPr>
          <w:ilvl w:val="0"/>
          <w:numId w:val="3"/>
        </w:numPr>
      </w:pPr>
      <w:r>
        <w:t xml:space="preserve">Is anything missing that you'll need to confirm or reject the tentative hubs and failover hubs?</w:t>
      </w:r>
    </w:p>
    <w:p>
      <w:pPr>
        <w:pStyle w:val="ListParagraph"/>
        <w:numPr>
          <w:ilvl w:val="0"/>
          <w:numId w:val="3"/>
        </w:numPr>
      </w:pPr>
      <w:r>
        <w:t xml:space="preserve">Is anything listed here you won't use? We'll drop it before collection starts.</w:t>
      </w:r>
    </w:p>
    <w:p>
      <w:pPr>
        <w:pStyle w:val="ListParagraph"/>
        <w:numPr>
          <w:ilvl w:val="0"/>
          <w:numId w:val="3"/>
        </w:numPr>
      </w:pPr>
      <w:r>
        <w:t xml:space="preserve">Do you agree with the two pass/fail tests? Latency passes when office-to-hub p95 round-trip time is within the application's tolerance. Residency passes when the hub's country or region matches the data's jurisdiction.</w:t>
      </w:r>
    </w:p>
    <w:p>
      <w:pPr>
        <w:pStyle w:val="ListParagraph"/>
        <w:numPr>
          <w:ilvl w:val="0"/>
          <w:numId w:val="3"/>
        </w:numPr>
      </w:pPr>
      <w:r>
        <w:t xml:space="preserve">What level of detail do you need: each server and device, or rolled up per application and office?</w:t>
      </w:r>
    </w:p>
    <w:p>
      <w:pPr>
        <w:pStyle w:val="ListParagraph"/>
        <w:numPr>
          <w:ilvl w:val="0"/>
          <w:numId w:val="3"/>
        </w:numPr>
      </w:pPr>
      <w:r>
        <w:t xml:space="preserve">How do you want the handover: the capture workbook, or design notes for each office built from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Application Data Collection Scope</dc:title>
  <dc:description>Claude Docs node/c7ffdf55-dfd3@5 docx-w7</dc:description>
  <cp:revision>5</cp:revision>
</cp:coreProperties>
</file>