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Data Source Test Plan</w:t>
      </w:r>
    </w:p>
    <w:p>
      <w:pPr/>
      <w:r>
        <w:t xml:space="preserve">Oct 25, 2026</w:t>
      </w:r>
      <w:r>
        <w:t xml:space="preserve"> · </w:t>
      </w:r>
      <w:r>
        <w:t xml:space="preserve">@Duo</w:t>
      </w:r>
    </w:p>
    <w:p>
      <w:pPr>
        <w:pStyle w:val="Heading2"/>
      </w:pPr>
      <w:r>
        <w:t xml:space="preserve">Approach</w:t>
      </w:r>
    </w:p>
    <w:p>
      <w:pPr/>
      <w:r>
        <w:t xml:space="preserve">Each test answers four questions about a source before any data is collected:</w:t>
      </w:r>
    </w:p>
    <w:p>
      <w:pPr>
        <w:pStyle w:val="ListParagraph"/>
        <w:numPr>
          <w:ilvl w:val="0"/>
          <w:numId w:val="2"/>
        </w:numPr>
      </w:pPr>
      <w:r>
        <w:t xml:space="preserve">Can you get access?</w:t>
      </w:r>
    </w:p>
    <w:p>
      <w:pPr>
        <w:pStyle w:val="ListParagraph"/>
        <w:numPr>
          <w:ilvl w:val="0"/>
          <w:numId w:val="2"/>
        </w:numPr>
      </w:pPr>
      <w:r>
        <w:t xml:space="preserve">Does it cover the pilot office?</w:t>
      </w:r>
    </w:p>
    <w:p>
      <w:pPr>
        <w:pStyle w:val="ListParagraph"/>
        <w:numPr>
          <w:ilvl w:val="0"/>
          <w:numId w:val="2"/>
        </w:numPr>
      </w:pPr>
      <w:r>
        <w:t xml:space="preserve">How far back does it go?</w:t>
      </w:r>
    </w:p>
    <w:p>
      <w:pPr>
        <w:pStyle w:val="ListParagraph"/>
        <w:numPr>
          <w:ilvl w:val="0"/>
          <w:numId w:val="2"/>
        </w:numPr>
      </w:pPr>
      <w:r>
        <w:t xml:space="preserve">Which fields in the capture workbook can it actually fill?</w:t>
      </w:r>
    </w:p>
    <w:p>
      <w:pPr/>
      <w:r>
        <w:t xml:space="preserve">The results decide which workbook fields can be Observed, and which need an owner, another team, or an entry on the Assumptions tab.</w:t>
      </w:r>
    </w:p>
    <w:p>
      <w:pPr/>
      <w:r>
        <w:t xml:space="preserve">The scripts are drafts and haven't been run against your environment. Expect to adjust field names, especially in Splunk, where they depend on which add-ons are installed. Each script writes a field profile for this reason: the profile shows what the source actually returns before you rely on any field.</w:t>
      </w:r>
    </w:p>
    <w:p>
      <w:pPr/>
      <w:r>
        <w:rPr>
          <w:b/>
        </w:rPr>
        <w:t xml:space="preserve">Run order.</w:t>
      </w:r>
      <w:r>
        <w:t xml:space="preserve"> Later tests filter on earlier outputs.</w:t>
      </w:r>
    </w:p>
    <w:p>
      <w:pPr>
        <w:pStyle w:val="ListParagraph"/>
        <w:numPr>
          <w:ilvl w:val="0"/>
          <w:numId w:val="3"/>
        </w:numPr>
      </w:pPr>
      <w:r>
        <w:rPr>
          <w:b/>
        </w:rPr>
        <w:t xml:space="preserve">Netbox</w:t>
      </w:r>
      <w:r>
        <w:t xml:space="preserve"> produces </w:t>
      </w:r>
      <w:r>
        <w:rPr>
          <w:rStyle w:val="CodeChar"/>
        </w:rPr>
        <w:t xml:space="preserve">site_prefixes.csv</w:t>
      </w:r>
      <w:r>
        <w:t xml:space="preserve">, the IP-to-office map every other test uses.</w:t>
      </w:r>
    </w:p>
    <w:p>
      <w:pPr>
        <w:pStyle w:val="ListParagraph"/>
        <w:numPr>
          <w:ilvl w:val="0"/>
          <w:numId w:val="3"/>
        </w:numPr>
      </w:pPr>
      <w:r>
        <w:rPr>
          <w:b/>
        </w:rPr>
        <w:t xml:space="preserve">RunZero</w:t>
      </w:r>
      <w:r>
        <w:t xml:space="preserve"> shows what exists at the office. It gives the total that the other sources' coverage is measured against.</w:t>
      </w:r>
    </w:p>
    <w:p>
      <w:pPr>
        <w:pStyle w:val="ListParagraph"/>
        <w:numPr>
          <w:ilvl w:val="0"/>
          <w:numId w:val="3"/>
        </w:numPr>
      </w:pPr>
      <w:r>
        <w:rPr>
          <w:b/>
        </w:rPr>
        <w:t xml:space="preserve">VMware</w:t>
      </w:r>
      <w:r>
        <w:t xml:space="preserve"> shows what's virtualised, how big it is and how much network traffic it carries.</w:t>
      </w:r>
    </w:p>
    <w:p>
      <w:pPr>
        <w:pStyle w:val="ListParagraph"/>
        <w:numPr>
          <w:ilvl w:val="0"/>
          <w:numId w:val="3"/>
        </w:numPr>
      </w:pPr>
      <w:r>
        <w:rPr>
          <w:b/>
        </w:rPr>
        <w:t xml:space="preserve">Defender</w:t>
      </w:r>
      <w:r>
        <w:t xml:space="preserve"> shows what its agent sees on those devices.</w:t>
      </w:r>
    </w:p>
    <w:p>
      <w:pPr>
        <w:pStyle w:val="ListParagraph"/>
        <w:numPr>
          <w:ilvl w:val="0"/>
          <w:numId w:val="3"/>
        </w:numPr>
      </w:pPr>
      <w:r>
        <w:rPr>
          <w:b/>
        </w:rPr>
        <w:t xml:space="preserve">Splunk</w:t>
      </w:r>
      <w:r>
        <w:t xml:space="preserve"> covers retention, plus firewall, DNS and domain controller logs.</w:t>
      </w:r>
    </w:p>
    <w:p>
      <w:pPr>
        <w:pStyle w:val="ListParagraph"/>
        <w:numPr>
          <w:ilvl w:val="0"/>
          <w:numId w:val="3"/>
        </w:numPr>
      </w:pPr>
      <w:r>
        <w:rPr>
          <w:b/>
        </w:rPr>
        <w:t xml:space="preserve">ZIA</w:t>
      </w:r>
      <w:r>
        <w:t xml:space="preserve">, then </w:t>
      </w:r>
      <w:r>
        <w:rPr>
          <w:b/>
        </w:rPr>
        <w:t xml:space="preserve">ZPA</w:t>
      </w:r>
      <w:r>
        <w:t xml:space="preserve">.</w:t>
      </w:r>
    </w:p>
    <w:p>
      <w:pPr>
        <w:pStyle w:val="ListParagraph"/>
        <w:numPr>
          <w:ilvl w:val="0"/>
          <w:numId w:val="3"/>
        </w:numPr>
      </w:pPr>
      <w:r>
        <w:rPr>
          <w:b/>
        </w:rPr>
        <w:t xml:space="preserve">The app inventory profile</w:t>
      </w:r>
      <w:r>
        <w:t xml:space="preserve"> can run at any time; it doesn't depend on the others.</w:t>
      </w:r>
    </w:p>
    <w:p>
      <w:pPr/>
      <w:r>
        <w:rPr>
          <w:b/>
        </w:rPr>
        <w:t xml:space="preserve">Pilot office.</w:t>
      </w:r>
      <w:r>
        <w:t xml:space="preserve"> Run the full tests against one office first. Pick the likely D-004 pilot, with good RunZero and Splunk coverage, so the tests show the limits of the sources rather than the gaps at one office. Afterwards, repeat only the coverage checks at every office to fill the Coverage tab.</w:t>
      </w:r>
    </w:p>
    <w:p>
      <w:pPr/>
      <w:r>
        <w:rPr>
          <w:b/>
        </w:rPr>
        <w:t xml:space="preserve">Results.</w:t>
      </w:r>
      <w:r>
        <w:t xml:space="preserve"> Mark each check Pass (the source gives what the workbook needs), Partial (some of it, or only for some devices), Fail (not available) or Not run. For anything other than Pass, note the reason. That reason becomes a gap or an assumption in the workbook.</w:t>
      </w:r>
    </w:p>
    <w:p>
      <w:pPr/>
      <w:r>
        <w:rPr>
          <w:b/>
        </w:rPr>
        <w:t xml:space="preserve">No script access?</w:t>
      </w:r>
      <w:r>
        <w:t xml:space="preserve"> </w:t>
      </w:r>
      <w:r>
        <w:t xml:space="preserve">Manual collection steps</w:t>
      </w:r>
      <w:r>
        <w:t xml:space="preserve"> gives console steps for Netbox, RunZero, VMware, ZIA and ZPA that answer the same checks.</w:t>
      </w:r>
    </w:p>
    <w:p>
      <w:pPr/>
      <w:r>
        <w:rPr>
          <w:b/>
        </w:rPr>
        <w:t xml:space="preserve">Credentials and exports.</w:t>
      </w:r>
    </w:p>
    <w:p>
      <w:pPr>
        <w:pStyle w:val="ListParagraph"/>
        <w:numPr>
          <w:ilvl w:val="0"/>
          <w:numId w:val="4"/>
        </w:numPr>
      </w:pPr>
      <w:r>
        <w:t xml:space="preserve">Use read-only accounts or tokens for every source. None of the scripts write to a source.</w:t>
      </w:r>
    </w:p>
    <w:p>
      <w:pPr>
        <w:pStyle w:val="ListParagraph"/>
        <w:numPr>
          <w:ilvl w:val="0"/>
          <w:numId w:val="4"/>
        </w:numPr>
      </w:pPr>
      <w:r>
        <w:t xml:space="preserve">The scripts read tokens from environment variables, never from the script file.</w:t>
      </w:r>
    </w:p>
    <w:p>
      <w:pPr>
        <w:pStyle w:val="ListParagraph"/>
        <w:numPr>
          <w:ilvl w:val="0"/>
          <w:numId w:val="4"/>
        </w:numPr>
      </w:pPr>
      <w:r>
        <w:t xml:space="preserve">Exports contain hostnames, IP addresses and user names. Keep them in the project folder under your organisation's data handling rules, and delete raw exports once the results are recorded.</w:t>
      </w:r>
    </w:p>
    <w:p>
      <w:pPr>
        <w:pStyle w:val="ListParagraph"/>
        <w:numPr>
          <w:ilvl w:val="0"/>
          <w:numId w:val="4"/>
        </w:numPr>
      </w:pPr>
      <w:r>
        <w:t xml:space="preserve">The scripts are in </w:t>
      </w:r>
      <w:r>
        <w:rPr>
          <w:rStyle w:val="CodeChar"/>
        </w:rPr>
        <w:t xml:space="preserve">02_Project_Artefacts\Source-Tests</w:t>
      </w:r>
      <w:r>
        <w:t xml:space="preserve">. Each one writes to an </w:t>
      </w:r>
      <w:r>
        <w:rPr>
          <w:rStyle w:val="CodeChar"/>
        </w:rPr>
        <w:t xml:space="preserve">output</w:t>
      </w:r>
      <w:r>
        <w:t xml:space="preserve"> folder beside it.</w:t>
      </w:r>
    </w:p>
    <w:p>
      <w:pPr>
        <w:pStyle w:val="Heading2"/>
      </w:pPr>
      <w:r>
        <w:t xml:space="preserve">Netbox</w:t>
      </w:r>
    </w:p>
    <w:p>
      <w:pPr/>
      <w:r>
        <w:t xml:space="preserve">Netbox maps every IP address to an office, which makes it the link between all the other sources. A subnet in use but missing from Netbox silently drops its devices and flows out of the per-office view.</w:t>
      </w:r>
    </w:p>
    <w:p>
      <w:pPr/>
      <w:r>
        <w:rPr>
          <w:b/>
        </w:rPr>
        <w:t xml:space="preserve">What it should give:</w:t>
      </w:r>
      <w:r>
        <w:t xml:space="preserve"> the Sites tab (site code, name, country, region), the Netbox prefix and VLAN on the Components tab, the prefix list every other test filters on, and each office's public internet IPs for the allowlist checks later.</w:t>
      </w:r>
    </w:p>
    <w:p>
      <w:pPr/>
      <w:r>
        <w:rPr>
          <w:b/>
        </w:rPr>
        <w:t xml:space="preserve">Method:</w:t>
      </w:r>
      <w:r>
        <w:t xml:space="preserve"> REST API with a read-only token, using </w:t>
      </w:r>
      <w:r>
        <w:rPr>
          <w:rStyle w:val="CodeChar"/>
        </w:rPr>
        <w:t xml:space="preserve">01_netbox_export.py</w:t>
      </w:r>
      <w:r>
        <w:t xml:space="preserve">. Run it once for all sites, then again with </w:t>
      </w:r>
      <w:r>
        <w:rPr>
          <w:rStyle w:val="CodeChar"/>
        </w:rPr>
        <w:t xml:space="preserve">--site &lt;pilot slug&gt;</w:t>
      </w:r>
      <w:r>
        <w:t xml:space="preserve"> to write the KQL and SPL snippets the Defender and Splunk tests use. Netbox 4.2 replaced the prefix </w:t>
      </w:r>
      <w:r>
        <w:rPr>
          <w:rStyle w:val="CodeChar"/>
        </w:rPr>
        <w:t xml:space="preserve">site</w:t>
      </w:r>
      <w:r>
        <w:t xml:space="preserve"> field with a scope (site, location, region or site group). The script handles both, and counts prefixes scoped wider than a site, since those can't be tied to one office.</w:t>
      </w:r>
    </w:p>
    <w:tbl>
      <w:tblPr>
        <w:tblStyle w:val="TableGrid"/>
        <w:tblW w:w="0" w:type="auto"/>
        <w:tblLayout w:type="fixed"/>
        <w:tblLook w:val="04A0" w:firstRow="1" w:lastRow="0" w:firstColumn="0" w:lastColumn="0" w:noHBand="0" w:noVBand="1"/>
      </w:tblPr>
      <w:tblGrid>
        <w:gridCol w:w="3983"/>
        <w:gridCol w:w="3560"/>
        <w:gridCol w:w="988"/>
        <w:gridCol w:w="829"/>
      </w:tblGrid>
      <w:tr>
        <w:trPr>
          <w:tblHeader/>
        </w:trPr>
        <w:tc>
          <w:tcPr>
            <w:tcW w:w="3983" w:type="dxa"/>
            <w:shd w:val="clear" w:color="auto" w:fill="F2F2F2"/>
          </w:tcPr>
          <w:p>
            <w:pPr/>
            <w:r>
              <w:t xml:space="preserve">Check</w:t>
            </w:r>
          </w:p>
        </w:tc>
        <w:tc>
          <w:tcPr>
            <w:tcW w:w="3560" w:type="dxa"/>
            <w:shd w:val="clear" w:color="auto" w:fill="F2F2F2"/>
          </w:tcPr>
          <w:p>
            <w:pPr/>
            <w:r>
              <w:t xml:space="preserve">What it tells you</w:t>
            </w:r>
          </w:p>
        </w:tc>
        <w:tc>
          <w:tcPr>
            <w:tcW w:w="988" w:type="dxa"/>
            <w:shd w:val="clear" w:color="auto" w:fill="F2F2F2"/>
          </w:tcPr>
          <w:p>
            <w:pPr/>
            <w:r>
              <w:t xml:space="preserve">Result</w:t>
            </w:r>
          </w:p>
        </w:tc>
        <w:tc>
          <w:tcPr>
            <w:tcW w:w="829" w:type="dxa"/>
            <w:shd w:val="clear" w:color="auto" w:fill="F2F2F2"/>
          </w:tcPr>
          <w:p>
            <w:pPr/>
            <w:r>
              <w:t xml:space="preserve">Notes</w:t>
            </w:r>
          </w:p>
        </w:tc>
      </w:tr>
      <w:tr>
        <w:tc>
          <w:tcPr>
            <w:tcW w:w="3983" w:type="dxa"/>
          </w:tcPr>
          <w:p>
            <w:pPr/>
            <w:r>
              <w:t xml:space="preserve">N1 API access works with a read-only token; Netbox version recorded</w:t>
            </w:r>
          </w:p>
        </w:tc>
        <w:tc>
          <w:tcPr>
            <w:tcW w:w="3560" w:type="dxa"/>
          </w:tcPr>
          <w:p>
            <w:pPr/>
            <w:r>
              <w:t xml:space="preserve">Whether the export can be repeated for every office</w:t>
            </w:r>
          </w:p>
        </w:tc>
        <w:tc>
          <w:tcPr>
            <w:tcW w:w="988" w:type="dxa"/>
          </w:tcPr>
          <w:p>
            <w:pPr/>
            <w:r>
              <w:t xml:space="preserve">Not run</w:t>
            </w:r>
          </w:p>
        </w:tc>
        <w:tc>
          <w:tcPr>
            <w:tcW w:w="829" w:type="dxa"/>
          </w:tcPr>
          <w:p>
            <w:pPr/>
          </w:p>
        </w:tc>
      </w:tr>
      <w:tr>
        <w:tc>
          <w:tcPr>
            <w:tcW w:w="3983" w:type="dxa"/>
          </w:tcPr>
          <w:p>
            <w:pPr/>
            <w:r>
              <w:t xml:space="preserve">N2 Every office exists as a site with a usable code, country and region</w:t>
            </w:r>
          </w:p>
        </w:tc>
        <w:tc>
          <w:tcPr>
            <w:tcW w:w="3560" w:type="dxa"/>
          </w:tcPr>
          <w:p>
            <w:pPr/>
            <w:r>
              <w:t xml:space="preserve">Whether Netbox can fill the Sites tab</w:t>
            </w:r>
          </w:p>
        </w:tc>
        <w:tc>
          <w:tcPr>
            <w:tcW w:w="988" w:type="dxa"/>
          </w:tcPr>
          <w:p>
            <w:pPr/>
            <w:r>
              <w:t xml:space="preserve">Not run</w:t>
            </w:r>
          </w:p>
        </w:tc>
        <w:tc>
          <w:tcPr>
            <w:tcW w:w="829" w:type="dxa"/>
          </w:tcPr>
          <w:p>
            <w:pPr/>
          </w:p>
        </w:tc>
      </w:tr>
      <w:tr>
        <w:tc>
          <w:tcPr>
            <w:tcW w:w="3983" w:type="dxa"/>
          </w:tcPr>
          <w:p>
            <w:pPr/>
            <w:r>
              <w:t xml:space="preserve">N3 Prefixes mapped to a site, against prefixes not mapped or scoped wider than a site</w:t>
            </w:r>
          </w:p>
        </w:tc>
        <w:tc>
          <w:tcPr>
            <w:tcW w:w="3560" w:type="dxa"/>
          </w:tcPr>
          <w:p>
            <w:pPr/>
            <w:r>
              <w:t xml:space="preserve">How much address space can't be tied to an office</w:t>
            </w:r>
          </w:p>
        </w:tc>
        <w:tc>
          <w:tcPr>
            <w:tcW w:w="988" w:type="dxa"/>
          </w:tcPr>
          <w:p>
            <w:pPr/>
            <w:r>
              <w:t xml:space="preserve">Not run</w:t>
            </w:r>
          </w:p>
        </w:tc>
        <w:tc>
          <w:tcPr>
            <w:tcW w:w="829" w:type="dxa"/>
          </w:tcPr>
          <w:p>
            <w:pPr/>
          </w:p>
        </w:tc>
      </w:tr>
      <w:tr>
        <w:tc>
          <w:tcPr>
            <w:tcW w:w="3983" w:type="dxa"/>
          </w:tcPr>
          <w:p>
            <w:pPr/>
            <w:r>
              <w:t xml:space="preserve">N4 Pilot office prefixes carry a VLAN and a role</w:t>
            </w:r>
          </w:p>
        </w:tc>
        <w:tc>
          <w:tcPr>
            <w:tcW w:w="3560" w:type="dxa"/>
          </w:tcPr>
          <w:p>
            <w:pPr/>
            <w:r>
              <w:t xml:space="preserve">Whether server subnets can be told apart from user and device subnets</w:t>
            </w:r>
          </w:p>
        </w:tc>
        <w:tc>
          <w:tcPr>
            <w:tcW w:w="988" w:type="dxa"/>
          </w:tcPr>
          <w:p>
            <w:pPr/>
            <w:r>
              <w:t xml:space="preserve">Not run</w:t>
            </w:r>
          </w:p>
        </w:tc>
        <w:tc>
          <w:tcPr>
            <w:tcW w:w="829" w:type="dxa"/>
          </w:tcPr>
          <w:p>
            <w:pPr/>
          </w:p>
        </w:tc>
      </w:tr>
      <w:tr>
        <w:tc>
          <w:tcPr>
            <w:tcW w:w="3983" w:type="dxa"/>
          </w:tcPr>
          <w:p>
            <w:pPr/>
            <w:r>
              <w:t xml:space="preserve">N5 Public internet prefixes recorded per office</w:t>
            </w:r>
          </w:p>
        </w:tc>
        <w:tc>
          <w:tcPr>
            <w:tcW w:w="3560" w:type="dxa"/>
          </w:tcPr>
          <w:p>
            <w:pPr/>
            <w:r>
              <w:t xml:space="preserve">Whether office internet IPs can be listed for checking SaaS and partner allowlists</w:t>
            </w:r>
          </w:p>
        </w:tc>
        <w:tc>
          <w:tcPr>
            <w:tcW w:w="988" w:type="dxa"/>
          </w:tcPr>
          <w:p>
            <w:pPr/>
            <w:r>
              <w:t xml:space="preserve">Not run</w:t>
            </w:r>
          </w:p>
        </w:tc>
        <w:tc>
          <w:tcPr>
            <w:tcW w:w="829" w:type="dxa"/>
          </w:tcPr>
          <w:p>
            <w:pPr/>
          </w:p>
        </w:tc>
      </w:tr>
      <w:tr>
        <w:tc>
          <w:tcPr>
            <w:tcW w:w="3983" w:type="dxa"/>
          </w:tcPr>
          <w:p>
            <w:pPr/>
            <w:r>
              <w:t xml:space="preserve">N6 Every IP that RunZero sees at the pilot office falls inside a Netbox prefix (run after the RunZero test)</w:t>
            </w:r>
          </w:p>
        </w:tc>
        <w:tc>
          <w:tcPr>
            <w:tcW w:w="3560" w:type="dxa"/>
          </w:tcPr>
          <w:p>
            <w:pPr/>
            <w:r>
              <w:t xml:space="preserve">Whether Netbox is complete. IPs outside every prefix mean missing subnets</w:t>
            </w:r>
          </w:p>
        </w:tc>
        <w:tc>
          <w:tcPr>
            <w:tcW w:w="988" w:type="dxa"/>
          </w:tcPr>
          <w:p>
            <w:pPr/>
            <w:r>
              <w:t xml:space="preserve">Not run</w:t>
            </w:r>
          </w:p>
        </w:tc>
        <w:tc>
          <w:tcPr>
            <w:tcW w:w="829" w:type="dxa"/>
          </w:tcPr>
          <w:p>
            <w:pPr/>
          </w:p>
        </w:tc>
      </w:tr>
    </w:tbl>
    <w:p>
      <w:pPr>
        <w:pStyle w:val="Heading2"/>
      </w:pPr>
      <w:r>
        <w:t xml:space="preserve">RunZero</w:t>
      </w:r>
    </w:p>
    <w:p>
      <w:pPr/>
      <w:r>
        <w:t xml:space="preserve">RunZero finds everything with an IP address, including the OT, printers, phones and appliances the other tools miss. Because it was rolled out recently, the first question is whether it scans every subnet at the office. Until that's confirmed, "not found" doesn't mean "not there".</w:t>
      </w:r>
    </w:p>
    <w:p>
      <w:pPr/>
      <w:r>
        <w:rPr>
          <w:b/>
        </w:rPr>
        <w:t xml:space="preserve">What it should give:</w:t>
      </w:r>
      <w:r>
        <w:t xml:space="preserve"> Components rows for every device (IP, MAC, hostname, type, OS or firmware), listening services for the security baseline and the legacy-protocol checks, last-seen dates, and the device counts that Defender coverage is measured against.</w:t>
      </w:r>
    </w:p>
    <w:p>
      <w:pPr/>
      <w:r>
        <w:rPr>
          <w:b/>
        </w:rPr>
        <w:t xml:space="preserve">Method:</w:t>
      </w:r>
      <w:r>
        <w:t xml:space="preserve"> Export API, using </w:t>
      </w:r>
      <w:r>
        <w:rPr>
          <w:rStyle w:val="CodeChar"/>
        </w:rPr>
        <w:t xml:space="preserve">02_runzero_export.py</w:t>
      </w:r>
      <w:r>
        <w:t xml:space="preserve">. It streams the organisation's asset and service exports, keeps what falls inside the pilot office's Netbox prefixes, and counts assets per prefix. A prefix with no assets is either unused or not scanned. Run it with </w:t>
      </w:r>
      <w:r>
        <w:rPr>
          <w:rStyle w:val="CodeChar"/>
        </w:rPr>
        <w:t xml:space="preserve">--runzero-site "&lt;RunZero site name&gt;"</w:t>
      </w:r>
      <w:r>
        <w:t xml:space="preserve"> to complete check N6 in the Netbox section. The script matches IPs in any field whose name contains "address", so it doesn't depend on exact field names. Check the field profiles before relying on any one field.</w:t>
      </w:r>
    </w:p>
    <w:tbl>
      <w:tblPr>
        <w:tblStyle w:val="TableGrid"/>
        <w:tblW w:w="0" w:type="auto"/>
        <w:tblLayout w:type="fixed"/>
        <w:tblLook w:val="04A0" w:firstRow="1" w:lastRow="0" w:firstColumn="0" w:lastColumn="0" w:noHBand="0" w:noVBand="1"/>
      </w:tblPr>
      <w:tblGrid>
        <w:gridCol w:w="4140"/>
        <w:gridCol w:w="3402"/>
        <w:gridCol w:w="988"/>
        <w:gridCol w:w="829"/>
      </w:tblGrid>
      <w:tr>
        <w:trPr>
          <w:tblHeader/>
        </w:trPr>
        <w:tc>
          <w:tcPr>
            <w:tcW w:w="4140" w:type="dxa"/>
            <w:shd w:val="clear" w:color="auto" w:fill="F2F2F2"/>
          </w:tcPr>
          <w:p>
            <w:pPr/>
            <w:r>
              <w:t xml:space="preserve">Check</w:t>
            </w:r>
          </w:p>
        </w:tc>
        <w:tc>
          <w:tcPr>
            <w:tcW w:w="3402" w:type="dxa"/>
            <w:shd w:val="clear" w:color="auto" w:fill="F2F2F2"/>
          </w:tcPr>
          <w:p>
            <w:pPr/>
            <w:r>
              <w:t xml:space="preserve">What it tells you</w:t>
            </w:r>
          </w:p>
        </w:tc>
        <w:tc>
          <w:tcPr>
            <w:tcW w:w="988" w:type="dxa"/>
            <w:shd w:val="clear" w:color="auto" w:fill="F2F2F2"/>
          </w:tcPr>
          <w:p>
            <w:pPr/>
            <w:r>
              <w:t xml:space="preserve">Result</w:t>
            </w:r>
          </w:p>
        </w:tc>
        <w:tc>
          <w:tcPr>
            <w:tcW w:w="829" w:type="dxa"/>
            <w:shd w:val="clear" w:color="auto" w:fill="F2F2F2"/>
          </w:tcPr>
          <w:p>
            <w:pPr/>
            <w:r>
              <w:t xml:space="preserve">Notes</w:t>
            </w:r>
          </w:p>
        </w:tc>
      </w:tr>
      <w:tr>
        <w:tc>
          <w:tcPr>
            <w:tcW w:w="4140" w:type="dxa"/>
          </w:tcPr>
          <w:p>
            <w:pPr/>
            <w:r>
              <w:t xml:space="preserve">R1 Export API works with the available token</w:t>
            </w:r>
          </w:p>
        </w:tc>
        <w:tc>
          <w:tcPr>
            <w:tcW w:w="3402" w:type="dxa"/>
          </w:tcPr>
          <w:p>
            <w:pPr/>
            <w:r>
              <w:t xml:space="preserve">Whether exports can be repeated for every office</w:t>
            </w:r>
          </w:p>
        </w:tc>
        <w:tc>
          <w:tcPr>
            <w:tcW w:w="988" w:type="dxa"/>
          </w:tcPr>
          <w:p>
            <w:pPr/>
            <w:r>
              <w:t xml:space="preserve">Not run</w:t>
            </w:r>
          </w:p>
        </w:tc>
        <w:tc>
          <w:tcPr>
            <w:tcW w:w="829" w:type="dxa"/>
          </w:tcPr>
          <w:p>
            <w:pPr/>
          </w:p>
        </w:tc>
      </w:tr>
      <w:tr>
        <w:tc>
          <w:tcPr>
            <w:tcW w:w="4140" w:type="dxa"/>
          </w:tcPr>
          <w:p>
            <w:pPr/>
            <w:r>
              <w:t xml:space="preserve">R2 Every pilot prefix has assets seen in the last 30 days, or is confirmed unused</w:t>
            </w:r>
          </w:p>
        </w:tc>
        <w:tc>
          <w:tcPr>
            <w:tcW w:w="3402" w:type="dxa"/>
          </w:tcPr>
          <w:p>
            <w:pPr/>
            <w:r>
              <w:t xml:space="preserve">Whether RunZero scans the whole office</w:t>
            </w:r>
          </w:p>
        </w:tc>
        <w:tc>
          <w:tcPr>
            <w:tcW w:w="988" w:type="dxa"/>
          </w:tcPr>
          <w:p>
            <w:pPr/>
            <w:r>
              <w:t xml:space="preserve">Not run</w:t>
            </w:r>
          </w:p>
        </w:tc>
        <w:tc>
          <w:tcPr>
            <w:tcW w:w="829" w:type="dxa"/>
          </w:tcPr>
          <w:p>
            <w:pPr/>
          </w:p>
        </w:tc>
      </w:tr>
      <w:tr>
        <w:tc>
          <w:tcPr>
            <w:tcW w:w="4140" w:type="dxa"/>
          </w:tcPr>
          <w:p>
            <w:pPr/>
            <w:r>
              <w:t xml:space="preserve">R3 Last-seen dates show regular scanning</w:t>
            </w:r>
          </w:p>
        </w:tc>
        <w:tc>
          <w:tcPr>
            <w:tcW w:w="3402" w:type="dxa"/>
          </w:tcPr>
          <w:p>
            <w:pPr/>
            <w:r>
              <w:t xml:space="preserve">How fresh the inventory is</w:t>
            </w:r>
          </w:p>
        </w:tc>
        <w:tc>
          <w:tcPr>
            <w:tcW w:w="988" w:type="dxa"/>
          </w:tcPr>
          <w:p>
            <w:pPr/>
            <w:r>
              <w:t xml:space="preserve">Not run</w:t>
            </w:r>
          </w:p>
        </w:tc>
        <w:tc>
          <w:tcPr>
            <w:tcW w:w="829" w:type="dxa"/>
          </w:tcPr>
          <w:p>
            <w:pPr/>
          </w:p>
        </w:tc>
      </w:tr>
      <w:tr>
        <w:tc>
          <w:tcPr>
            <w:tcW w:w="4140" w:type="dxa"/>
          </w:tcPr>
          <w:p>
            <w:pPr/>
            <w:r>
              <w:t xml:space="preserve">R4 Asset type and OS are populated well enough to tell servers, workstations, printers, phones and OT apart</w:t>
            </w:r>
          </w:p>
        </w:tc>
        <w:tc>
          <w:tcPr>
            <w:tcW w:w="3402" w:type="dxa"/>
          </w:tcPr>
          <w:p>
            <w:pPr/>
            <w:r>
              <w:t xml:space="preserve">Whether RunZero can fill Component role and Platform</w:t>
            </w:r>
          </w:p>
        </w:tc>
        <w:tc>
          <w:tcPr>
            <w:tcW w:w="988" w:type="dxa"/>
          </w:tcPr>
          <w:p>
            <w:pPr/>
            <w:r>
              <w:t xml:space="preserve">Not run</w:t>
            </w:r>
          </w:p>
        </w:tc>
        <w:tc>
          <w:tcPr>
            <w:tcW w:w="829" w:type="dxa"/>
          </w:tcPr>
          <w:p>
            <w:pPr/>
          </w:p>
        </w:tc>
      </w:tr>
      <w:tr>
        <w:tc>
          <w:tcPr>
            <w:tcW w:w="4140" w:type="dxa"/>
          </w:tcPr>
          <w:p>
            <w:pPr/>
            <w:r>
              <w:t xml:space="preserve">R5 Services show port, protocol and product or version detail, including SMB version and OT protocols</w:t>
            </w:r>
          </w:p>
        </w:tc>
        <w:tc>
          <w:tcPr>
            <w:tcW w:w="3402" w:type="dxa"/>
          </w:tcPr>
          <w:p>
            <w:pPr/>
            <w:r>
              <w:t xml:space="preserve">Whether listening services and legacy protocols can be Observed, not just inferred from a port number</w:t>
            </w:r>
          </w:p>
        </w:tc>
        <w:tc>
          <w:tcPr>
            <w:tcW w:w="988" w:type="dxa"/>
          </w:tcPr>
          <w:p>
            <w:pPr/>
            <w:r>
              <w:t xml:space="preserve">Not run</w:t>
            </w:r>
          </w:p>
        </w:tc>
        <w:tc>
          <w:tcPr>
            <w:tcW w:w="829" w:type="dxa"/>
          </w:tcPr>
          <w:p>
            <w:pPr/>
          </w:p>
        </w:tc>
      </w:tr>
      <w:tr>
        <w:tc>
          <w:tcPr>
            <w:tcW w:w="4140" w:type="dxa"/>
          </w:tcPr>
          <w:p>
            <w:pPr/>
            <w:r>
              <w:t xml:space="preserve">R6 Field profile reviewed: which fields are populated and how often</w:t>
            </w:r>
          </w:p>
        </w:tc>
        <w:tc>
          <w:tcPr>
            <w:tcW w:w="3402" w:type="dxa"/>
          </w:tcPr>
          <w:p>
            <w:pPr/>
            <w:r>
              <w:t xml:space="preserve">Exactly which Components fields RunZero can fill</w:t>
            </w:r>
          </w:p>
        </w:tc>
        <w:tc>
          <w:tcPr>
            <w:tcW w:w="988" w:type="dxa"/>
          </w:tcPr>
          <w:p>
            <w:pPr/>
            <w:r>
              <w:t xml:space="preserve">Not run</w:t>
            </w:r>
          </w:p>
        </w:tc>
        <w:tc>
          <w:tcPr>
            <w:tcW w:w="829" w:type="dxa"/>
          </w:tcPr>
          <w:p>
            <w:pPr/>
          </w:p>
        </w:tc>
      </w:tr>
      <w:tr>
        <w:tc>
          <w:tcPr>
            <w:tcW w:w="4140" w:type="dxa"/>
          </w:tcPr>
          <w:p>
            <w:pPr/>
            <w:r>
              <w:t xml:space="preserve">R7 Sites and scan task history readable</w:t>
            </w:r>
          </w:p>
        </w:tc>
        <w:tc>
          <w:tcPr>
            <w:tcW w:w="3402" w:type="dxa"/>
          </w:tcPr>
          <w:p>
            <w:pPr/>
            <w:r>
              <w:t xml:space="preserve">Whether scan coverage and scan dates can be shown per office</w:t>
            </w:r>
          </w:p>
        </w:tc>
        <w:tc>
          <w:tcPr>
            <w:tcW w:w="988" w:type="dxa"/>
          </w:tcPr>
          <w:p>
            <w:pPr/>
            <w:r>
              <w:t xml:space="preserve">Not run</w:t>
            </w:r>
          </w:p>
        </w:tc>
        <w:tc>
          <w:tcPr>
            <w:tcW w:w="829" w:type="dxa"/>
          </w:tcPr>
          <w:p>
            <w:pPr/>
          </w:p>
        </w:tc>
      </w:tr>
    </w:tbl>
    <w:p>
      <w:pPr>
        <w:pStyle w:val="Heading2"/>
      </w:pPr>
      <w:r>
        <w:t xml:space="preserve">VMware</w:t>
      </w:r>
    </w:p>
    <w:p>
      <w:pPr/>
      <w:r>
        <w:t xml:space="preserve">VMware gives the size of what runs at each office. The open questions are whether a VM can be tied to an office, and whether vCenter keeps enough performance history to estimate the WAN traffic each VM will add once it moves.</w:t>
      </w:r>
    </w:p>
    <w:p>
      <w:pPr/>
      <w:r>
        <w:rPr>
          <w:b/>
        </w:rPr>
        <w:t xml:space="preserve">What it should give:</w:t>
      </w:r>
      <w:r>
        <w:t xml:space="preserve"> vCPU, RAM, storage used, power state, configured and reported guest OS, IPs and create date on the Components tab; owner or application hints from notes, tags and custom attributes; and p95 network throughput per VM for hub sizing.</w:t>
      </w:r>
    </w:p>
    <w:p>
      <w:pPr/>
      <w:r>
        <w:rPr>
          <w:b/>
        </w:rPr>
        <w:t xml:space="preserve">Method:</w:t>
      </w:r>
      <w:r>
        <w:t xml:space="preserve"> PowerCLI with a vCenter account that has the Read-only role, using </w:t>
      </w:r>
      <w:r>
        <w:rPr>
          <w:rStyle w:val="CodeChar"/>
        </w:rPr>
        <w:t xml:space="preserve">03_vmware_inventory.ps1 -VCenter &lt;vcenter&gt; -Datacenter &lt;dc&gt; -Site &lt;pilot slug&gt;</w:t>
      </w:r>
      <w:r>
        <w:t xml:space="preserve">. The script tags each VM with the Netbox site its IPs fall in. It reads 30 days of </w:t>
      </w:r>
      <w:r>
        <w:rPr>
          <w:rStyle w:val="CodeChar"/>
        </w:rPr>
        <w:t xml:space="preserve">net.usage.average</w:t>
      </w:r>
      <w:r>
        <w:t xml:space="preserve"> (vCenter reports KBps; the script converts to Mbps) and works out p95 per VM. It also records the configured statistics intervals and the event retention, which limit how far back throughput and power-on history can go. Run it once per vCenter that hosts office VMs.</w:t>
      </w:r>
    </w:p>
    <w:tbl>
      <w:tblPr>
        <w:tblStyle w:val="TableGrid"/>
        <w:tblW w:w="0" w:type="auto"/>
        <w:tblLayout w:type="fixed"/>
        <w:tblLook w:val="04A0" w:firstRow="1" w:lastRow="0" w:firstColumn="0" w:lastColumn="0" w:noHBand="0" w:noVBand="1"/>
      </w:tblPr>
      <w:tblGrid>
        <w:gridCol w:w="3530"/>
        <w:gridCol w:w="4013"/>
        <w:gridCol w:w="988"/>
        <w:gridCol w:w="829"/>
      </w:tblGrid>
      <w:tr>
        <w:trPr>
          <w:tblHeader/>
        </w:trPr>
        <w:tc>
          <w:tcPr>
            <w:tcW w:w="3530" w:type="dxa"/>
            <w:shd w:val="clear" w:color="auto" w:fill="F2F2F2"/>
          </w:tcPr>
          <w:p>
            <w:pPr/>
            <w:r>
              <w:t xml:space="preserve">Check</w:t>
            </w:r>
          </w:p>
        </w:tc>
        <w:tc>
          <w:tcPr>
            <w:tcW w:w="4013" w:type="dxa"/>
            <w:shd w:val="clear" w:color="auto" w:fill="F2F2F2"/>
          </w:tcPr>
          <w:p>
            <w:pPr/>
            <w:r>
              <w:t xml:space="preserve">What it tells you</w:t>
            </w:r>
          </w:p>
        </w:tc>
        <w:tc>
          <w:tcPr>
            <w:tcW w:w="988" w:type="dxa"/>
            <w:shd w:val="clear" w:color="auto" w:fill="F2F2F2"/>
          </w:tcPr>
          <w:p>
            <w:pPr/>
            <w:r>
              <w:t xml:space="preserve">Result</w:t>
            </w:r>
          </w:p>
        </w:tc>
        <w:tc>
          <w:tcPr>
            <w:tcW w:w="829" w:type="dxa"/>
            <w:shd w:val="clear" w:color="auto" w:fill="F2F2F2"/>
          </w:tcPr>
          <w:p>
            <w:pPr/>
            <w:r>
              <w:t xml:space="preserve">Notes</w:t>
            </w:r>
          </w:p>
        </w:tc>
      </w:tr>
      <w:tr>
        <w:tc>
          <w:tcPr>
            <w:tcW w:w="3530" w:type="dxa"/>
          </w:tcPr>
          <w:p>
            <w:pPr/>
            <w:r>
              <w:t xml:space="preserve">V1 Read-only account connects to every vCenter that hosts office VMs</w:t>
            </w:r>
          </w:p>
        </w:tc>
        <w:tc>
          <w:tcPr>
            <w:tcW w:w="4013" w:type="dxa"/>
          </w:tcPr>
          <w:p>
            <w:pPr/>
            <w:r>
              <w:t xml:space="preserve">Whether all offices can be covered</w:t>
            </w:r>
          </w:p>
        </w:tc>
        <w:tc>
          <w:tcPr>
            <w:tcW w:w="988" w:type="dxa"/>
          </w:tcPr>
          <w:p>
            <w:pPr/>
            <w:r>
              <w:t xml:space="preserve">Not run</w:t>
            </w:r>
          </w:p>
        </w:tc>
        <w:tc>
          <w:tcPr>
            <w:tcW w:w="829" w:type="dxa"/>
          </w:tcPr>
          <w:p>
            <w:pPr/>
          </w:p>
        </w:tc>
      </w:tr>
      <w:tr>
        <w:tc>
          <w:tcPr>
            <w:tcW w:w="3530" w:type="dxa"/>
          </w:tcPr>
          <w:p>
            <w:pPr/>
            <w:r>
              <w:t xml:space="preserve">V2 VMs map to an office by IP (Netbox) or by datacenter or cluster naming</w:t>
            </w:r>
          </w:p>
        </w:tc>
        <w:tc>
          <w:tcPr>
            <w:tcW w:w="4013" w:type="dxa"/>
          </w:tcPr>
          <w:p>
            <w:pPr/>
            <w:r>
              <w:t xml:space="preserve">Whether the Site code on the Components tab can be Observed</w:t>
            </w:r>
          </w:p>
        </w:tc>
        <w:tc>
          <w:tcPr>
            <w:tcW w:w="988" w:type="dxa"/>
          </w:tcPr>
          <w:p>
            <w:pPr/>
            <w:r>
              <w:t xml:space="preserve">Not run</w:t>
            </w:r>
          </w:p>
        </w:tc>
        <w:tc>
          <w:tcPr>
            <w:tcW w:w="829" w:type="dxa"/>
          </w:tcPr>
          <w:p>
            <w:pPr/>
          </w:p>
        </w:tc>
      </w:tr>
      <w:tr>
        <w:tc>
          <w:tcPr>
            <w:tcW w:w="3530" w:type="dxa"/>
          </w:tcPr>
          <w:p>
            <w:pPr/>
            <w:r>
              <w:t xml:space="preserve">V3 VMware Tools is running and reports guest OS and IPs</w:t>
            </w:r>
          </w:p>
        </w:tc>
        <w:tc>
          <w:tcPr>
            <w:tcW w:w="4013" w:type="dxa"/>
          </w:tcPr>
          <w:p>
            <w:pPr/>
            <w:r>
              <w:t xml:space="preserve">How much of the guest detail can be trusted. Without Tools, the OS shown is only what was configured</w:t>
            </w:r>
          </w:p>
        </w:tc>
        <w:tc>
          <w:tcPr>
            <w:tcW w:w="988" w:type="dxa"/>
          </w:tcPr>
          <w:p>
            <w:pPr/>
            <w:r>
              <w:t xml:space="preserve">Not run</w:t>
            </w:r>
          </w:p>
        </w:tc>
        <w:tc>
          <w:tcPr>
            <w:tcW w:w="829" w:type="dxa"/>
          </w:tcPr>
          <w:p>
            <w:pPr/>
          </w:p>
        </w:tc>
      </w:tr>
      <w:tr>
        <w:tc>
          <w:tcPr>
            <w:tcW w:w="3530" w:type="dxa"/>
          </w:tcPr>
          <w:p>
            <w:pPr/>
            <w:r>
              <w:t xml:space="preserve">V4 Notes, tags or custom attributes hold owner or application information</w:t>
            </w:r>
          </w:p>
        </w:tc>
        <w:tc>
          <w:tcPr>
            <w:tcW w:w="4013" w:type="dxa"/>
          </w:tcPr>
          <w:p>
            <w:pPr/>
            <w:r>
              <w:t xml:space="preserve">Whether VMware helps map VMs to App IDs, or that mapping comes from other sources</w:t>
            </w:r>
          </w:p>
        </w:tc>
        <w:tc>
          <w:tcPr>
            <w:tcW w:w="988" w:type="dxa"/>
          </w:tcPr>
          <w:p>
            <w:pPr/>
            <w:r>
              <w:t xml:space="preserve">Not run</w:t>
            </w:r>
          </w:p>
        </w:tc>
        <w:tc>
          <w:tcPr>
            <w:tcW w:w="829" w:type="dxa"/>
          </w:tcPr>
          <w:p>
            <w:pPr/>
          </w:p>
        </w:tc>
      </w:tr>
      <w:tr>
        <w:tc>
          <w:tcPr>
            <w:tcW w:w="3530" w:type="dxa"/>
          </w:tcPr>
          <w:p>
            <w:pPr/>
            <w:r>
              <w:t xml:space="preserve">V5 Event retention covers power-on history for powered-off VMs</w:t>
            </w:r>
          </w:p>
        </w:tc>
        <w:tc>
          <w:tcPr>
            <w:tcW w:w="4013" w:type="dxa"/>
          </w:tcPr>
          <w:p>
            <w:pPr/>
            <w:r>
              <w:t xml:space="preserve">Whether "powered off since" can be shown, or powered-off VMs need an owner to confirm them</w:t>
            </w:r>
          </w:p>
        </w:tc>
        <w:tc>
          <w:tcPr>
            <w:tcW w:w="988" w:type="dxa"/>
          </w:tcPr>
          <w:p>
            <w:pPr/>
            <w:r>
              <w:t xml:space="preserve">Not run</w:t>
            </w:r>
          </w:p>
        </w:tc>
        <w:tc>
          <w:tcPr>
            <w:tcW w:w="829" w:type="dxa"/>
          </w:tcPr>
          <w:p>
            <w:pPr/>
          </w:p>
        </w:tc>
      </w:tr>
      <w:tr>
        <w:tc>
          <w:tcPr>
            <w:tcW w:w="3530" w:type="dxa"/>
          </w:tcPr>
          <w:p>
            <w:pPr/>
            <w:r>
              <w:t xml:space="preserve">V6 30-day throughput samples exist for powered-on VMs (about 360 two-hour samples each)</w:t>
            </w:r>
          </w:p>
        </w:tc>
        <w:tc>
          <w:tcPr>
            <w:tcW w:w="4013" w:type="dxa"/>
          </w:tcPr>
          <w:p>
            <w:pPr/>
            <w:r>
              <w:t xml:space="preserve">Whether p95 throughput can be Observed for hub sizing</w:t>
            </w:r>
          </w:p>
        </w:tc>
        <w:tc>
          <w:tcPr>
            <w:tcW w:w="988" w:type="dxa"/>
          </w:tcPr>
          <w:p>
            <w:pPr/>
            <w:r>
              <w:t xml:space="preserve">Not run</w:t>
            </w:r>
          </w:p>
        </w:tc>
        <w:tc>
          <w:tcPr>
            <w:tcW w:w="829" w:type="dxa"/>
          </w:tcPr>
          <w:p>
            <w:pPr/>
          </w:p>
        </w:tc>
      </w:tr>
      <w:tr>
        <w:tc>
          <w:tcPr>
            <w:tcW w:w="3530" w:type="dxa"/>
          </w:tcPr>
          <w:p>
            <w:pPr/>
            <w:r>
              <w:t xml:space="preserve">V7 Statistics intervals and levels recorded</w:t>
            </w:r>
          </w:p>
        </w:tc>
        <w:tc>
          <w:tcPr>
            <w:tcW w:w="4013" w:type="dxa"/>
          </w:tcPr>
          <w:p>
            <w:pPr/>
            <w:r>
              <w:t xml:space="preserve">How far back throughput history can go: by default a year of daily averages, which flatten peaks</w:t>
            </w:r>
          </w:p>
        </w:tc>
        <w:tc>
          <w:tcPr>
            <w:tcW w:w="988" w:type="dxa"/>
          </w:tcPr>
          <w:p>
            <w:pPr/>
            <w:r>
              <w:t xml:space="preserve">Not run</w:t>
            </w:r>
          </w:p>
        </w:tc>
        <w:tc>
          <w:tcPr>
            <w:tcW w:w="829" w:type="dxa"/>
          </w:tcPr>
          <w:p>
            <w:pPr/>
          </w:p>
        </w:tc>
      </w:tr>
    </w:tbl>
    <w:p>
      <w:pPr>
        <w:pStyle w:val="Heading2"/>
      </w:pPr>
      <w:r>
        <w:t xml:space="preserve">Defender Advanced Hunting</w:t>
      </w:r>
    </w:p>
    <w:p>
      <w:pPr/>
      <w:r>
        <w:t xml:space="preserve">Defender is the only source that ties a network connection to the process that made it, and a logon to its protocol. It only sees devices running the agent, and native data covers 30 days. These tests measure both limits at the pilot office.</w:t>
      </w:r>
    </w:p>
    <w:p>
      <w:pPr/>
      <w:r>
        <w:rPr>
          <w:b/>
        </w:rPr>
        <w:t xml:space="preserve">What it should give:</w:t>
      </w:r>
      <w:r>
        <w:t xml:space="preserve"> listening services, inbound and outbound dependencies with process attribution, Addressing (FQDN or IP, from whether RemoteUrl is filled), authentication method and logon types, users per office, installed software and end-of-support status, and devices without the agent that talk to onboarded ones.</w:t>
      </w:r>
    </w:p>
    <w:p>
      <w:pPr/>
      <w:r>
        <w:rPr>
          <w:b/>
        </w:rPr>
        <w:t xml:space="preserve">Method:</w:t>
      </w:r>
      <w:r>
        <w:t xml:space="preserve"> KQL in the Defender portal (Hunting &gt; Advanced hunting), from </w:t>
      </w:r>
      <w:r>
        <w:rPr>
          <w:rStyle w:val="CodeChar"/>
        </w:rPr>
        <w:t xml:space="preserve">04_defender_tests.kql</w:t>
      </w:r>
      <w:r>
        <w:t xml:space="preserve">. Paste the </w:t>
      </w:r>
      <w:r>
        <w:rPr>
          <w:rStyle w:val="CodeChar"/>
        </w:rPr>
        <w:t xml:space="preserve">let SitePrefixes</w:t>
      </w:r>
      <w:r>
        <w:t xml:space="preserve"> line from </w:t>
      </w:r>
      <w:r>
        <w:rPr>
          <w:rStyle w:val="CodeChar"/>
        </w:rPr>
        <w:t xml:space="preserve">output\netbox\pilot_kql_let.txt</w:t>
      </w:r>
      <w:r>
        <w:t xml:space="preserve"> into each query, run each one and export the results to CSV. Queries are summarised to stay inside the 100,000-row and 10-minute limits. D11 compares one flow's daily connection count with the firewall logs, to test whether Defender counts can be used for volume.</w:t>
      </w:r>
    </w:p>
    <w:tbl>
      <w:tblPr>
        <w:tblStyle w:val="TableGrid"/>
        <w:tblW w:w="0" w:type="auto"/>
        <w:tblLayout w:type="fixed"/>
        <w:tblLook w:val="04A0" w:firstRow="1" w:lastRow="0" w:firstColumn="0" w:lastColumn="0" w:noHBand="0" w:noVBand="1"/>
      </w:tblPr>
      <w:tblGrid>
        <w:gridCol w:w="3402"/>
        <w:gridCol w:w="4141"/>
        <w:gridCol w:w="988"/>
        <w:gridCol w:w="829"/>
      </w:tblGrid>
      <w:tr>
        <w:trPr>
          <w:tblHeader/>
        </w:trPr>
        <w:tc>
          <w:tcPr>
            <w:tcW w:w="3402" w:type="dxa"/>
            <w:shd w:val="clear" w:color="auto" w:fill="F2F2F2"/>
          </w:tcPr>
          <w:p>
            <w:pPr/>
            <w:r>
              <w:t xml:space="preserve">Check</w:t>
            </w:r>
          </w:p>
        </w:tc>
        <w:tc>
          <w:tcPr>
            <w:tcW w:w="4141" w:type="dxa"/>
            <w:shd w:val="clear" w:color="auto" w:fill="F2F2F2"/>
          </w:tcPr>
          <w:p>
            <w:pPr/>
            <w:r>
              <w:t xml:space="preserve">What it tells you</w:t>
            </w:r>
          </w:p>
        </w:tc>
        <w:tc>
          <w:tcPr>
            <w:tcW w:w="988" w:type="dxa"/>
            <w:shd w:val="clear" w:color="auto" w:fill="F2F2F2"/>
          </w:tcPr>
          <w:p>
            <w:pPr/>
            <w:r>
              <w:t xml:space="preserve">Result</w:t>
            </w:r>
          </w:p>
        </w:tc>
        <w:tc>
          <w:tcPr>
            <w:tcW w:w="829" w:type="dxa"/>
            <w:shd w:val="clear" w:color="auto" w:fill="F2F2F2"/>
          </w:tcPr>
          <w:p>
            <w:pPr/>
            <w:r>
              <w:t xml:space="preserve">Notes</w:t>
            </w:r>
          </w:p>
        </w:tc>
      </w:tr>
      <w:tr>
        <w:tc>
          <w:tcPr>
            <w:tcW w:w="3402" w:type="dxa"/>
          </w:tcPr>
          <w:p>
            <w:pPr/>
            <w:r>
              <w:t xml:space="preserve">D1 Earliest event per table, and whether Defender for Identity tables exist</w:t>
            </w:r>
          </w:p>
        </w:tc>
        <w:tc>
          <w:tcPr>
            <w:tcW w:w="4141" w:type="dxa"/>
          </w:tcPr>
          <w:p>
            <w:pPr/>
            <w:r>
              <w:t xml:space="preserve">Real retention. Anything older than 30 days means tables are streamed to Sentinel</w:t>
            </w:r>
          </w:p>
        </w:tc>
        <w:tc>
          <w:tcPr>
            <w:tcW w:w="988" w:type="dxa"/>
          </w:tcPr>
          <w:p>
            <w:pPr/>
            <w:r>
              <w:t xml:space="preserve">Not run</w:t>
            </w:r>
          </w:p>
        </w:tc>
        <w:tc>
          <w:tcPr>
            <w:tcW w:w="829" w:type="dxa"/>
          </w:tcPr>
          <w:p>
            <w:pPr/>
          </w:p>
        </w:tc>
      </w:tr>
      <w:tr>
        <w:tc>
          <w:tcPr>
            <w:tcW w:w="3402" w:type="dxa"/>
          </w:tcPr>
          <w:p>
            <w:pPr/>
            <w:r>
              <w:t xml:space="preserve">D2 Onboarded devices at the pilot office, by type, against RunZero's count</w:t>
            </w:r>
          </w:p>
        </w:tc>
        <w:tc>
          <w:tcPr>
            <w:tcW w:w="4141" w:type="dxa"/>
          </w:tcPr>
          <w:p>
            <w:pPr/>
            <w:r>
              <w:t xml:space="preserve">Defender server and workstation coverage for the Coverage tab</w:t>
            </w:r>
          </w:p>
        </w:tc>
        <w:tc>
          <w:tcPr>
            <w:tcW w:w="988" w:type="dxa"/>
          </w:tcPr>
          <w:p>
            <w:pPr/>
            <w:r>
              <w:t xml:space="preserve">Not run</w:t>
            </w:r>
          </w:p>
        </w:tc>
        <w:tc>
          <w:tcPr>
            <w:tcW w:w="829" w:type="dxa"/>
          </w:tcPr>
          <w:p>
            <w:pPr/>
          </w:p>
        </w:tc>
      </w:tr>
      <w:tr>
        <w:tc>
          <w:tcPr>
            <w:tcW w:w="3402" w:type="dxa"/>
          </w:tcPr>
          <w:p>
            <w:pPr/>
            <w:r>
              <w:t xml:space="preserve">D3 Discovered but not onboarded devices</w:t>
            </w:r>
          </w:p>
        </w:tc>
        <w:tc>
          <w:tcPr>
            <w:tcW w:w="4141" w:type="dxa"/>
          </w:tcPr>
          <w:p>
            <w:pPr/>
            <w:r>
              <w:t xml:space="preserve">How much Defender knows about devices it can't see into</w:t>
            </w:r>
          </w:p>
        </w:tc>
        <w:tc>
          <w:tcPr>
            <w:tcW w:w="988" w:type="dxa"/>
          </w:tcPr>
          <w:p>
            <w:pPr/>
            <w:r>
              <w:t xml:space="preserve">Not run</w:t>
            </w:r>
          </w:p>
        </w:tc>
        <w:tc>
          <w:tcPr>
            <w:tcW w:w="829" w:type="dxa"/>
          </w:tcPr>
          <w:p>
            <w:pPr/>
          </w:p>
        </w:tc>
      </w:tr>
      <w:tr>
        <w:tc>
          <w:tcPr>
            <w:tcW w:w="3402" w:type="dxa"/>
          </w:tcPr>
          <w:p>
            <w:pPr/>
            <w:r>
              <w:t xml:space="preserve">D4 Listening ports with process names on pilot devices</w:t>
            </w:r>
          </w:p>
        </w:tc>
        <w:tc>
          <w:tcPr>
            <w:tcW w:w="4141" w:type="dxa"/>
          </w:tcPr>
          <w:p>
            <w:pPr/>
            <w:r>
              <w:t xml:space="preserve">Whether Listening services can come from Defender as well as RunZero</w:t>
            </w:r>
          </w:p>
        </w:tc>
        <w:tc>
          <w:tcPr>
            <w:tcW w:w="988" w:type="dxa"/>
          </w:tcPr>
          <w:p>
            <w:pPr/>
            <w:r>
              <w:t xml:space="preserve">Not run</w:t>
            </w:r>
          </w:p>
        </w:tc>
        <w:tc>
          <w:tcPr>
            <w:tcW w:w="829" w:type="dxa"/>
          </w:tcPr>
          <w:p>
            <w:pPr/>
          </w:p>
        </w:tc>
      </w:tr>
      <w:tr>
        <w:tc>
          <w:tcPr>
            <w:tcW w:w="3402" w:type="dxa"/>
          </w:tcPr>
          <w:p>
            <w:pPr/>
            <w:r>
              <w:t xml:space="preserve">D5 Inbound connections with source IP, local port and process</w:t>
            </w:r>
          </w:p>
        </w:tc>
        <w:tc>
          <w:tcPr>
            <w:tcW w:w="4141" w:type="dxa"/>
          </w:tcPr>
          <w:p>
            <w:pPr/>
            <w:r>
              <w:t xml:space="preserve">Whether consumers, and which office they're at, can be Observed</w:t>
            </w:r>
          </w:p>
        </w:tc>
        <w:tc>
          <w:tcPr>
            <w:tcW w:w="988" w:type="dxa"/>
          </w:tcPr>
          <w:p>
            <w:pPr/>
            <w:r>
              <w:t xml:space="preserve">Not run</w:t>
            </w:r>
          </w:p>
        </w:tc>
        <w:tc>
          <w:tcPr>
            <w:tcW w:w="829" w:type="dxa"/>
          </w:tcPr>
          <w:p>
            <w:pPr/>
          </w:p>
        </w:tc>
      </w:tr>
      <w:tr>
        <w:tc>
          <w:tcPr>
            <w:tcW w:w="3402" w:type="dxa"/>
          </w:tcPr>
          <w:p>
            <w:pPr/>
            <w:r>
              <w:t xml:space="preserve">D6 Outbound connections with process and RemoteUrl filled</w:t>
            </w:r>
          </w:p>
        </w:tc>
        <w:tc>
          <w:tcPr>
            <w:tcW w:w="4141" w:type="dxa"/>
          </w:tcPr>
          <w:p>
            <w:pPr/>
            <w:r>
              <w:t xml:space="preserve">Dependency attribution, and the hard-coded-IP lead (private destinations with no URL)</w:t>
            </w:r>
          </w:p>
        </w:tc>
        <w:tc>
          <w:tcPr>
            <w:tcW w:w="988" w:type="dxa"/>
          </w:tcPr>
          <w:p>
            <w:pPr/>
            <w:r>
              <w:t xml:space="preserve">Not run</w:t>
            </w:r>
          </w:p>
        </w:tc>
        <w:tc>
          <w:tcPr>
            <w:tcW w:w="829" w:type="dxa"/>
          </w:tcPr>
          <w:p>
            <w:pPr/>
          </w:p>
        </w:tc>
      </w:tr>
      <w:tr>
        <w:tc>
          <w:tcPr>
            <w:tcW w:w="3402" w:type="dxa"/>
          </w:tcPr>
          <w:p>
            <w:pPr/>
            <w:r>
              <w:t xml:space="preserve">D7 Devices without the agent connecting to pilot devices</w:t>
            </w:r>
          </w:p>
        </w:tc>
        <w:tc>
          <w:tcPr>
            <w:tcW w:w="4141" w:type="dxa"/>
          </w:tcPr>
          <w:p>
            <w:pPr/>
            <w:r>
              <w:t xml:space="preserve">Whether Defender finds printers, OT and appliance consumers</w:t>
            </w:r>
          </w:p>
        </w:tc>
        <w:tc>
          <w:tcPr>
            <w:tcW w:w="988" w:type="dxa"/>
          </w:tcPr>
          <w:p>
            <w:pPr/>
            <w:r>
              <w:t xml:space="preserve">Not run</w:t>
            </w:r>
          </w:p>
        </w:tc>
        <w:tc>
          <w:tcPr>
            <w:tcW w:w="829" w:type="dxa"/>
          </w:tcPr>
          <w:p>
            <w:pPr/>
          </w:p>
        </w:tc>
      </w:tr>
      <w:tr>
        <w:tc>
          <w:tcPr>
            <w:tcW w:w="3402" w:type="dxa"/>
          </w:tcPr>
          <w:p>
            <w:pPr/>
            <w:r>
              <w:t xml:space="preserve">D8 Logon type and protocol on pilot devices</w:t>
            </w:r>
          </w:p>
        </w:tc>
        <w:tc>
          <w:tcPr>
            <w:tcW w:w="4141" w:type="dxa"/>
          </w:tcPr>
          <w:p>
            <w:pPr/>
            <w:r>
              <w:t xml:space="preserve">Authentication method, service accounts and batch jobs</w:t>
            </w:r>
          </w:p>
        </w:tc>
        <w:tc>
          <w:tcPr>
            <w:tcW w:w="988" w:type="dxa"/>
          </w:tcPr>
          <w:p>
            <w:pPr/>
            <w:r>
              <w:t xml:space="preserve">Not run</w:t>
            </w:r>
          </w:p>
        </w:tc>
        <w:tc>
          <w:tcPr>
            <w:tcW w:w="829" w:type="dxa"/>
          </w:tcPr>
          <w:p>
            <w:pPr/>
          </w:p>
        </w:tc>
      </w:tr>
      <w:tr>
        <w:tc>
          <w:tcPr>
            <w:tcW w:w="3402" w:type="dxa"/>
          </w:tcPr>
          <w:p>
            <w:pPr/>
            <w:r>
              <w:t xml:space="preserve">D9 Defender for Identity protocols, including LDAP cleartext</w:t>
            </w:r>
          </w:p>
        </w:tc>
        <w:tc>
          <w:tcPr>
            <w:tcW w:w="4141" w:type="dxa"/>
          </w:tcPr>
          <w:p>
            <w:pPr/>
            <w:r>
              <w:t xml:space="preserve">Whether LDAP simple binds can be found without domain controller event 2889</w:t>
            </w:r>
          </w:p>
        </w:tc>
        <w:tc>
          <w:tcPr>
            <w:tcW w:w="988" w:type="dxa"/>
          </w:tcPr>
          <w:p>
            <w:pPr/>
            <w:r>
              <w:t xml:space="preserve">Not run</w:t>
            </w:r>
          </w:p>
        </w:tc>
        <w:tc>
          <w:tcPr>
            <w:tcW w:w="829" w:type="dxa"/>
          </w:tcPr>
          <w:p>
            <w:pPr/>
          </w:p>
        </w:tc>
      </w:tr>
      <w:tr>
        <w:tc>
          <w:tcPr>
            <w:tcW w:w="3402" w:type="dxa"/>
          </w:tcPr>
          <w:p>
            <w:pPr/>
            <w:r>
              <w:t xml:space="preserve">D10 Software inventory and end-of-support status</w:t>
            </w:r>
          </w:p>
        </w:tc>
        <w:tc>
          <w:tcPr>
            <w:tcW w:w="4141" w:type="dxa"/>
          </w:tcPr>
          <w:p>
            <w:pPr/>
            <w:r>
              <w:t xml:space="preserve">Whether OS and software support status can be Observed</w:t>
            </w:r>
          </w:p>
        </w:tc>
        <w:tc>
          <w:tcPr>
            <w:tcW w:w="988" w:type="dxa"/>
          </w:tcPr>
          <w:p>
            <w:pPr/>
            <w:r>
              <w:t xml:space="preserve">Not run</w:t>
            </w:r>
          </w:p>
        </w:tc>
        <w:tc>
          <w:tcPr>
            <w:tcW w:w="829" w:type="dxa"/>
          </w:tcPr>
          <w:p>
            <w:pPr/>
          </w:p>
        </w:tc>
      </w:tr>
      <w:tr>
        <w:tc>
          <w:tcPr>
            <w:tcW w:w="3402" w:type="dxa"/>
          </w:tcPr>
          <w:p>
            <w:pPr/>
            <w:r>
              <w:t xml:space="preserve">D11 One flow's daily count against the firewall logs</w:t>
            </w:r>
          </w:p>
        </w:tc>
        <w:tc>
          <w:tcPr>
            <w:tcW w:w="4141" w:type="dxa"/>
          </w:tcPr>
          <w:p>
            <w:pPr/>
            <w:r>
              <w:t xml:space="preserve">Whether Defender counts can be used for volume, or only show that a connection exists</w:t>
            </w:r>
          </w:p>
        </w:tc>
        <w:tc>
          <w:tcPr>
            <w:tcW w:w="988" w:type="dxa"/>
          </w:tcPr>
          <w:p>
            <w:pPr/>
            <w:r>
              <w:t xml:space="preserve">Not run</w:t>
            </w:r>
          </w:p>
        </w:tc>
        <w:tc>
          <w:tcPr>
            <w:tcW w:w="829" w:type="dxa"/>
          </w:tcPr>
          <w:p>
            <w:pPr/>
          </w:p>
        </w:tc>
      </w:tr>
    </w:tbl>
    <w:p>
      <w:pPr>
        <w:pStyle w:val="Heading2"/>
      </w:pPr>
      <w:r>
        <w:t xml:space="preserve">Splunk</w:t>
      </w:r>
    </w:p>
    <w:p>
      <w:pPr/>
      <w:r>
        <w:t xml:space="preserve">Splunk's value depends on what each office forwards and how long it's kept. Firewall logs are the only source here with byte counts and enough history to catch period-end jobs, but they only see traffic that crosses a firewall. Traffic inside an office's own network usually doesn't.</w:t>
      </w:r>
    </w:p>
    <w:p>
      <w:pPr/>
      <w:r>
        <w:rPr>
          <w:b/>
        </w:rPr>
        <w:t xml:space="preserve">What it should give:</w:t>
      </w:r>
      <w:r>
        <w:t xml:space="preserve"> Dependencies rows (source, destination, port, volume) including from devices without the Defender agent; Volume per day; scheduled and period-end patterns over a long window; FQDNs and hard-coded-IP evidence from DNS logs; authentication method and LDAP signing events from the domain controllers; ZIA and ZPA logs, if Zscaler streams them here.</w:t>
      </w:r>
    </w:p>
    <w:p>
      <w:pPr/>
      <w:r>
        <w:rPr>
          <w:b/>
        </w:rPr>
        <w:t xml:space="preserve">Method:</w:t>
      </w:r>
      <w:r>
        <w:t xml:space="preserve"> SPL in Search &amp; Reporting, from </w:t>
      </w:r>
      <w:r>
        <w:rPr>
          <w:rStyle w:val="CodeChar"/>
        </w:rPr>
        <w:t xml:space="preserve">05_splunk_tests.spl</w:t>
      </w:r>
      <w:r>
        <w:t xml:space="preserve">. Start with S1, which runs over All time and costs little because it reads index metadata only. It gives the real index and sourcetype names to put in place of the placeholders. Then run S3 on each candidate sourcetype to confirm field names before the targeted searches. To filter on the pilot office, paste the </w:t>
      </w:r>
      <w:r>
        <w:rPr>
          <w:rStyle w:val="CodeChar"/>
        </w:rPr>
        <w:t xml:space="preserve">cidrmatch()</w:t>
      </w:r>
      <w:r>
        <w:t xml:space="preserve"> clause from </w:t>
      </w:r>
      <w:r>
        <w:rPr>
          <w:rStyle w:val="CodeChar"/>
        </w:rPr>
        <w:t xml:space="preserve">output\netbox\pilot_spl_cidr.txt</w:t>
      </w:r>
      <w:r>
        <w:t xml:space="preserve">. To cover every office at once, load </w:t>
      </w:r>
      <w:r>
        <w:rPr>
          <w:rStyle w:val="CodeChar"/>
        </w:rPr>
        <w:t xml:space="preserve">site_prefixes.csv</w:t>
      </w:r>
      <w:r>
        <w:t xml:space="preserve"> as a CIDR lookup; the file header explains how.</w:t>
      </w:r>
    </w:p>
    <w:tbl>
      <w:tblPr>
        <w:tblStyle w:val="TableGrid"/>
        <w:tblW w:w="0" w:type="auto"/>
        <w:tblLayout w:type="fixed"/>
        <w:tblLook w:val="04A0" w:firstRow="1" w:lastRow="0" w:firstColumn="0" w:lastColumn="0" w:noHBand="0" w:noVBand="1"/>
      </w:tblPr>
      <w:tblGrid>
        <w:gridCol w:w="3249"/>
        <w:gridCol w:w="4294"/>
        <w:gridCol w:w="988"/>
        <w:gridCol w:w="829"/>
      </w:tblGrid>
      <w:tr>
        <w:trPr>
          <w:tblHeader/>
        </w:trPr>
        <w:tc>
          <w:tcPr>
            <w:tcW w:w="3249" w:type="dxa"/>
            <w:shd w:val="clear" w:color="auto" w:fill="F2F2F2"/>
          </w:tcPr>
          <w:p>
            <w:pPr/>
            <w:r>
              <w:t xml:space="preserve">Check</w:t>
            </w:r>
          </w:p>
        </w:tc>
        <w:tc>
          <w:tcPr>
            <w:tcW w:w="4294" w:type="dxa"/>
            <w:shd w:val="clear" w:color="auto" w:fill="F2F2F2"/>
          </w:tcPr>
          <w:p>
            <w:pPr/>
            <w:r>
              <w:t xml:space="preserve">What it tells you</w:t>
            </w:r>
          </w:p>
        </w:tc>
        <w:tc>
          <w:tcPr>
            <w:tcW w:w="988" w:type="dxa"/>
            <w:shd w:val="clear" w:color="auto" w:fill="F2F2F2"/>
          </w:tcPr>
          <w:p>
            <w:pPr/>
            <w:r>
              <w:t xml:space="preserve">Result</w:t>
            </w:r>
          </w:p>
        </w:tc>
        <w:tc>
          <w:tcPr>
            <w:tcW w:w="829" w:type="dxa"/>
            <w:shd w:val="clear" w:color="auto" w:fill="F2F2F2"/>
          </w:tcPr>
          <w:p>
            <w:pPr/>
            <w:r>
              <w:t xml:space="preserve">Notes</w:t>
            </w:r>
          </w:p>
        </w:tc>
      </w:tr>
      <w:tr>
        <w:tc>
          <w:tcPr>
            <w:tcW w:w="3249" w:type="dxa"/>
          </w:tcPr>
          <w:p>
            <w:pPr/>
            <w:r>
              <w:t xml:space="preserve">S1 Index and sourcetype inventory, with earliest and latest events</w:t>
            </w:r>
          </w:p>
        </w:tc>
        <w:tc>
          <w:tcPr>
            <w:tcW w:w="4294" w:type="dxa"/>
          </w:tcPr>
          <w:p>
            <w:pPr/>
            <w:r>
              <w:t xml:space="preserve">Which log types exist, and real retention for each</w:t>
            </w:r>
          </w:p>
        </w:tc>
        <w:tc>
          <w:tcPr>
            <w:tcW w:w="988" w:type="dxa"/>
          </w:tcPr>
          <w:p>
            <w:pPr/>
            <w:r>
              <w:t xml:space="preserve">Not run</w:t>
            </w:r>
          </w:p>
        </w:tc>
        <w:tc>
          <w:tcPr>
            <w:tcW w:w="829" w:type="dxa"/>
          </w:tcPr>
          <w:p>
            <w:pPr/>
          </w:p>
        </w:tc>
      </w:tr>
      <w:tr>
        <w:tc>
          <w:tcPr>
            <w:tcW w:w="3249" w:type="dxa"/>
          </w:tcPr>
          <w:p>
            <w:pPr/>
            <w:r>
              <w:t xml:space="preserve">S2 Configured retention per index</w:t>
            </w:r>
          </w:p>
        </w:tc>
        <w:tc>
          <w:tcPr>
            <w:tcW w:w="4294" w:type="dxa"/>
          </w:tcPr>
          <w:p>
            <w:pPr/>
            <w:r>
              <w:t xml:space="preserve">Whether retention reaches a year-end; if </w:t>
            </w:r>
            <w:r>
              <w:rPr>
                <w:rStyle w:val="CodeChar"/>
              </w:rPr>
              <w:t xml:space="preserve">rest</w:t>
            </w:r>
            <w:r>
              <w:t xml:space="preserve"> is refused, ask the Splunk admin</w:t>
            </w:r>
          </w:p>
        </w:tc>
        <w:tc>
          <w:tcPr>
            <w:tcW w:w="988" w:type="dxa"/>
          </w:tcPr>
          <w:p>
            <w:pPr/>
            <w:r>
              <w:t xml:space="preserve">Not run</w:t>
            </w:r>
          </w:p>
        </w:tc>
        <w:tc>
          <w:tcPr>
            <w:tcW w:w="829" w:type="dxa"/>
          </w:tcPr>
          <w:p>
            <w:pPr/>
          </w:p>
        </w:tc>
      </w:tr>
      <w:tr>
        <w:tc>
          <w:tcPr>
            <w:tcW w:w="3249" w:type="dxa"/>
          </w:tcPr>
          <w:p>
            <w:pPr/>
            <w:r>
              <w:t xml:space="preserve">S3 Field discovery per sourcetype</w:t>
            </w:r>
          </w:p>
        </w:tc>
        <w:tc>
          <w:tcPr>
            <w:tcW w:w="4294" w:type="dxa"/>
          </w:tcPr>
          <w:p>
            <w:pPr/>
            <w:r>
              <w:t xml:space="preserve">Which CIM fields exist (src, dest, dest_port, bytes, user, query) and how often they're filled</w:t>
            </w:r>
          </w:p>
        </w:tc>
        <w:tc>
          <w:tcPr>
            <w:tcW w:w="988" w:type="dxa"/>
          </w:tcPr>
          <w:p>
            <w:pPr/>
            <w:r>
              <w:t xml:space="preserve">Not run</w:t>
            </w:r>
          </w:p>
        </w:tc>
        <w:tc>
          <w:tcPr>
            <w:tcW w:w="829" w:type="dxa"/>
          </w:tcPr>
          <w:p>
            <w:pPr/>
          </w:p>
        </w:tc>
      </w:tr>
      <w:tr>
        <w:tc>
          <w:tcPr>
            <w:tcW w:w="3249" w:type="dxa"/>
          </w:tcPr>
          <w:p>
            <w:pPr/>
            <w:r>
              <w:t xml:space="preserve">S4 Pilot office source IPs appear in firewall logs, with bytes</w:t>
            </w:r>
          </w:p>
        </w:tc>
        <w:tc>
          <w:tcPr>
            <w:tcW w:w="4294" w:type="dxa"/>
          </w:tcPr>
          <w:p>
            <w:pPr/>
            <w:r>
              <w:t xml:space="preserve">Whether the office's traffic is logged at all, and whether volume can be Observed</w:t>
            </w:r>
          </w:p>
        </w:tc>
        <w:tc>
          <w:tcPr>
            <w:tcW w:w="988" w:type="dxa"/>
          </w:tcPr>
          <w:p>
            <w:pPr/>
            <w:r>
              <w:t xml:space="preserve">Not run</w:t>
            </w:r>
          </w:p>
        </w:tc>
        <w:tc>
          <w:tcPr>
            <w:tcW w:w="829" w:type="dxa"/>
          </w:tcPr>
          <w:p>
            <w:pPr/>
          </w:p>
        </w:tc>
      </w:tr>
      <w:tr>
        <w:tc>
          <w:tcPr>
            <w:tcW w:w="3249" w:type="dxa"/>
          </w:tcPr>
          <w:p>
            <w:pPr/>
            <w:r>
              <w:t xml:space="preserve">S5 Pilot office flows by source, destination and port</w:t>
            </w:r>
          </w:p>
        </w:tc>
        <w:tc>
          <w:tcPr>
            <w:tcW w:w="4294" w:type="dxa"/>
          </w:tcPr>
          <w:p>
            <w:pPr/>
            <w:r>
              <w:t xml:space="preserve">Whether the Dependencies tab can be filled from firewall logs</w:t>
            </w:r>
          </w:p>
        </w:tc>
        <w:tc>
          <w:tcPr>
            <w:tcW w:w="988" w:type="dxa"/>
          </w:tcPr>
          <w:p>
            <w:pPr/>
            <w:r>
              <w:t xml:space="preserve">Not run</w:t>
            </w:r>
          </w:p>
        </w:tc>
        <w:tc>
          <w:tcPr>
            <w:tcW w:w="829" w:type="dxa"/>
          </w:tcPr>
          <w:p>
            <w:pPr/>
          </w:p>
        </w:tc>
      </w:tr>
      <w:tr>
        <w:tc>
          <w:tcPr>
            <w:tcW w:w="3249" w:type="dxa"/>
          </w:tcPr>
          <w:p>
            <w:pPr/>
            <w:r>
              <w:t xml:space="preserve">S6 One server's daily events over the full retention</w:t>
            </w:r>
          </w:p>
        </w:tc>
        <w:tc>
          <w:tcPr>
            <w:tcW w:w="4294" w:type="dxa"/>
          </w:tcPr>
          <w:p>
            <w:pPr/>
            <w:r>
              <w:t xml:space="preserve">Whether monthly, quarterly and year-end activity can be seen</w:t>
            </w:r>
          </w:p>
        </w:tc>
        <w:tc>
          <w:tcPr>
            <w:tcW w:w="988" w:type="dxa"/>
          </w:tcPr>
          <w:p>
            <w:pPr/>
            <w:r>
              <w:t xml:space="preserve">Not run</w:t>
            </w:r>
          </w:p>
        </w:tc>
        <w:tc>
          <w:tcPr>
            <w:tcW w:w="829" w:type="dxa"/>
          </w:tcPr>
          <w:p>
            <w:pPr/>
          </w:p>
        </w:tc>
      </w:tr>
      <w:tr>
        <w:tc>
          <w:tcPr>
            <w:tcW w:w="3249" w:type="dxa"/>
          </w:tcPr>
          <w:p>
            <w:pPr/>
            <w:r>
              <w:t xml:space="preserve">S7 DNS query logs with client IP, query and answer at the pilot office</w:t>
            </w:r>
          </w:p>
        </w:tc>
        <w:tc>
          <w:tcPr>
            <w:tcW w:w="4294" w:type="dxa"/>
          </w:tcPr>
          <w:p>
            <w:pPr/>
            <w:r>
              <w:t xml:space="preserve">Whether FQDNs and hard-coded-IP evidence can be Observed</w:t>
            </w:r>
          </w:p>
        </w:tc>
        <w:tc>
          <w:tcPr>
            <w:tcW w:w="988" w:type="dxa"/>
          </w:tcPr>
          <w:p>
            <w:pPr/>
            <w:r>
              <w:t xml:space="preserve">Not run</w:t>
            </w:r>
          </w:p>
        </w:tc>
        <w:tc>
          <w:tcPr>
            <w:tcW w:w="829" w:type="dxa"/>
          </w:tcPr>
          <w:p>
            <w:pPr/>
          </w:p>
        </w:tc>
      </w:tr>
      <w:tr>
        <w:tc>
          <w:tcPr>
            <w:tcW w:w="3249" w:type="dxa"/>
          </w:tcPr>
          <w:p>
            <w:pPr/>
            <w:r>
              <w:t xml:space="preserve">S8 Every pilot domain controller forwards its Security log, with authentication package and logon type</w:t>
            </w:r>
          </w:p>
        </w:tc>
        <w:tc>
          <w:tcPr>
            <w:tcW w:w="4294" w:type="dxa"/>
          </w:tcPr>
          <w:p>
            <w:pPr/>
            <w:r>
              <w:t xml:space="preserve">Whether NTLM, Kerberos and logon types can be Observed from the controllers</w:t>
            </w:r>
          </w:p>
        </w:tc>
        <w:tc>
          <w:tcPr>
            <w:tcW w:w="988" w:type="dxa"/>
          </w:tcPr>
          <w:p>
            <w:pPr/>
            <w:r>
              <w:t xml:space="preserve">Not run</w:t>
            </w:r>
          </w:p>
        </w:tc>
        <w:tc>
          <w:tcPr>
            <w:tcW w:w="829" w:type="dxa"/>
          </w:tcPr>
          <w:p>
            <w:pPr/>
          </w:p>
        </w:tc>
      </w:tr>
      <w:tr>
        <w:tc>
          <w:tcPr>
            <w:tcW w:w="3249" w:type="dxa"/>
          </w:tcPr>
          <w:p>
            <w:pPr/>
            <w:r>
              <w:t xml:space="preserve">S9 Directory Service events 2887 and 2889</w:t>
            </w:r>
          </w:p>
        </w:tc>
        <w:tc>
          <w:tcPr>
            <w:tcW w:w="4294" w:type="dxa"/>
          </w:tcPr>
          <w:p>
            <w:pPr/>
            <w:r>
              <w:t xml:space="preserve">Whether unsigned and cleartext LDAP binds can be traced to clients. Event 2889 needs diagnostic logging on the controller</w:t>
            </w:r>
          </w:p>
        </w:tc>
        <w:tc>
          <w:tcPr>
            <w:tcW w:w="988" w:type="dxa"/>
          </w:tcPr>
          <w:p>
            <w:pPr/>
            <w:r>
              <w:t xml:space="preserve">Not run</w:t>
            </w:r>
          </w:p>
        </w:tc>
        <w:tc>
          <w:tcPr>
            <w:tcW w:w="829" w:type="dxa"/>
          </w:tcPr>
          <w:p>
            <w:pPr/>
          </w:p>
        </w:tc>
      </w:tr>
      <w:tr>
        <w:tc>
          <w:tcPr>
            <w:tcW w:w="3249" w:type="dxa"/>
          </w:tcPr>
          <w:p>
            <w:pPr/>
            <w:r>
              <w:t xml:space="preserve">S10 Zscaler sourcetypes present, and how far back they go</w:t>
            </w:r>
          </w:p>
        </w:tc>
        <w:tc>
          <w:tcPr>
            <w:tcW w:w="4294" w:type="dxa"/>
          </w:tcPr>
          <w:p>
            <w:pPr/>
            <w:r>
              <w:t xml:space="preserve">Whether ZIA and ZPA tests can run in Splunk rather than the Zscaler portals</w:t>
            </w:r>
          </w:p>
        </w:tc>
        <w:tc>
          <w:tcPr>
            <w:tcW w:w="988" w:type="dxa"/>
          </w:tcPr>
          <w:p>
            <w:pPr/>
            <w:r>
              <w:t xml:space="preserve">Not run</w:t>
            </w:r>
          </w:p>
        </w:tc>
        <w:tc>
          <w:tcPr>
            <w:tcW w:w="829" w:type="dxa"/>
          </w:tcPr>
          <w:p>
            <w:pPr/>
          </w:p>
        </w:tc>
      </w:tr>
    </w:tbl>
    <w:p>
      <w:pPr>
        <w:pStyle w:val="Heading2"/>
      </w:pPr>
      <w:r>
        <w:t xml:space="preserve">Zscaler ZIA</w:t>
      </w:r>
    </w:p>
    <w:p>
      <w:pPr/>
      <w:r>
        <w:t xml:space="preserve">ZIA shows SaaS and internet use by user and office. Its blind spots are traffic that skips it: PAC file and Client Connector bypasses, direct internet exits, and servers that don't send traffic through ZIA.</w:t>
      </w:r>
    </w:p>
    <w:p>
      <w:pPr/>
      <w:r>
        <w:rPr>
          <w:b/>
        </w:rPr>
        <w:t xml:space="preserve">What it should give:</w:t>
      </w:r>
      <w:r>
        <w:t xml:space="preserve"> Consumption rows for SaaS apps (users and transactions per office), the map from office to ZIA location, each office's egress IPs (the addresses SaaS and partner allowlists are likely keyed on), and the list of bypassed destinations.</w:t>
      </w:r>
    </w:p>
    <w:p>
      <w:pPr/>
      <w:r>
        <w:rPr>
          <w:b/>
        </w:rPr>
        <w:t xml:space="preserve">Method:</w:t>
      </w:r>
      <w:r>
        <w:t xml:space="preserve"> Use three routes.</w:t>
      </w:r>
    </w:p>
    <w:p>
      <w:pPr>
        <w:pStyle w:val="ListParagraph"/>
        <w:numPr>
          <w:ilvl w:val="0"/>
          <w:numId w:val="5"/>
        </w:numPr>
      </w:pPr>
      <w:r>
        <w:rPr>
          <w:rStyle w:val="CodeChar"/>
        </w:rPr>
        <w:t xml:space="preserve">06_zia_locations.py</w:t>
      </w:r>
      <w:r>
        <w:t xml:space="preserve"> exports locations through the Zscaler SDK, using an API client with a read-only ZIA role.</w:t>
      </w:r>
    </w:p>
    <w:p>
      <w:pPr>
        <w:pStyle w:val="ListParagraph"/>
        <w:numPr>
          <w:ilvl w:val="0"/>
          <w:numId w:val="5"/>
        </w:numPr>
      </w:pPr>
      <w:r>
        <w:t xml:space="preserve">If NSS streams web logs to Splunk, run S10 and S11 in </w:t>
      </w:r>
      <w:r>
        <w:rPr>
          <w:rStyle w:val="CodeChar"/>
        </w:rPr>
        <w:t xml:space="preserve">05_splunk_tests.spl</w:t>
      </w:r>
      <w:r>
        <w:t xml:space="preserve">. If not, use ZIA Admin &gt; Analytics &gt; Web Insights &gt; Logs, filtered to the pilot location. The portal caps export size, so use it to test which fields exist, not to collect.</w:t>
      </w:r>
    </w:p>
    <w:p>
      <w:pPr>
        <w:pStyle w:val="ListParagraph"/>
        <w:numPr>
          <w:ilvl w:val="0"/>
          <w:numId w:val="5"/>
        </w:numPr>
      </w:pPr>
      <w:r>
        <w:t xml:space="preserve">Review the bypass configuration by hand. That means the hosted PAC files (Administration &gt; Hosted PAC Files) and the Client Connector forwarding and app profiles, which list destinations that never reach ZIA.</w:t>
      </w:r>
    </w:p>
    <w:tbl>
      <w:tblPr>
        <w:tblStyle w:val="TableGrid"/>
        <w:tblW w:w="0" w:type="auto"/>
        <w:tblLayout w:type="fixed"/>
        <w:tblLook w:val="04A0" w:firstRow="1" w:lastRow="0" w:firstColumn="0" w:lastColumn="0" w:noHBand="0" w:noVBand="1"/>
      </w:tblPr>
      <w:tblGrid>
        <w:gridCol w:w="3695"/>
        <w:gridCol w:w="3848"/>
        <w:gridCol w:w="988"/>
        <w:gridCol w:w="829"/>
      </w:tblGrid>
      <w:tr>
        <w:trPr>
          <w:tblHeader/>
        </w:trPr>
        <w:tc>
          <w:tcPr>
            <w:tcW w:w="3695" w:type="dxa"/>
            <w:shd w:val="clear" w:color="auto" w:fill="F2F2F2"/>
          </w:tcPr>
          <w:p>
            <w:pPr/>
            <w:r>
              <w:t xml:space="preserve">Check</w:t>
            </w:r>
          </w:p>
        </w:tc>
        <w:tc>
          <w:tcPr>
            <w:tcW w:w="3848" w:type="dxa"/>
            <w:shd w:val="clear" w:color="auto" w:fill="F2F2F2"/>
          </w:tcPr>
          <w:p>
            <w:pPr/>
            <w:r>
              <w:t xml:space="preserve">What it tells you</w:t>
            </w:r>
          </w:p>
        </w:tc>
        <w:tc>
          <w:tcPr>
            <w:tcW w:w="988" w:type="dxa"/>
            <w:shd w:val="clear" w:color="auto" w:fill="F2F2F2"/>
          </w:tcPr>
          <w:p>
            <w:pPr/>
            <w:r>
              <w:t xml:space="preserve">Result</w:t>
            </w:r>
          </w:p>
        </w:tc>
        <w:tc>
          <w:tcPr>
            <w:tcW w:w="829" w:type="dxa"/>
            <w:shd w:val="clear" w:color="auto" w:fill="F2F2F2"/>
          </w:tcPr>
          <w:p>
            <w:pPr/>
            <w:r>
              <w:t xml:space="preserve">Notes</w:t>
            </w:r>
          </w:p>
        </w:tc>
      </w:tr>
      <w:tr>
        <w:tc>
          <w:tcPr>
            <w:tcW w:w="3695" w:type="dxa"/>
          </w:tcPr>
          <w:p>
            <w:pPr/>
            <w:r>
              <w:t xml:space="preserve">Z1 Locations export works with a read-only API client</w:t>
            </w:r>
          </w:p>
        </w:tc>
        <w:tc>
          <w:tcPr>
            <w:tcW w:w="3848" w:type="dxa"/>
          </w:tcPr>
          <w:p>
            <w:pPr/>
            <w:r>
              <w:t xml:space="preserve">Whether the office-to-location map can be built and repeated</w:t>
            </w:r>
          </w:p>
        </w:tc>
        <w:tc>
          <w:tcPr>
            <w:tcW w:w="988" w:type="dxa"/>
          </w:tcPr>
          <w:p>
            <w:pPr/>
            <w:r>
              <w:t xml:space="preserve">Not run</w:t>
            </w:r>
          </w:p>
        </w:tc>
        <w:tc>
          <w:tcPr>
            <w:tcW w:w="829" w:type="dxa"/>
          </w:tcPr>
          <w:p>
            <w:pPr/>
          </w:p>
        </w:tc>
      </w:tr>
      <w:tr>
        <w:tc>
          <w:tcPr>
            <w:tcW w:w="3695" w:type="dxa"/>
          </w:tcPr>
          <w:p>
            <w:pPr/>
            <w:r>
              <w:t xml:space="preserve">Z2 Every office maps to a ZIA location with egress IPs or tunnels recorded</w:t>
            </w:r>
          </w:p>
        </w:tc>
        <w:tc>
          <w:tcPr>
            <w:tcW w:w="3848" w:type="dxa"/>
          </w:tcPr>
          <w:p>
            <w:pPr/>
            <w:r>
              <w:t xml:space="preserve">Whether office egress IPs can be listed for the allowlist checks</w:t>
            </w:r>
          </w:p>
        </w:tc>
        <w:tc>
          <w:tcPr>
            <w:tcW w:w="988" w:type="dxa"/>
          </w:tcPr>
          <w:p>
            <w:pPr/>
            <w:r>
              <w:t xml:space="preserve">Not run</w:t>
            </w:r>
          </w:p>
        </w:tc>
        <w:tc>
          <w:tcPr>
            <w:tcW w:w="829" w:type="dxa"/>
          </w:tcPr>
          <w:p>
            <w:pPr/>
          </w:p>
        </w:tc>
      </w:tr>
      <w:tr>
        <w:tc>
          <w:tcPr>
            <w:tcW w:w="3695" w:type="dxa"/>
          </w:tcPr>
          <w:p>
            <w:pPr/>
            <w:r>
              <w:t xml:space="preserve">Z3 Web logs record location, user, app and bytes</w:t>
            </w:r>
          </w:p>
        </w:tc>
        <w:tc>
          <w:tcPr>
            <w:tcW w:w="3848" w:type="dxa"/>
          </w:tcPr>
          <w:p>
            <w:pPr/>
            <w:r>
              <w:t xml:space="preserve">Whether SaaS consumption per office can be Observed</w:t>
            </w:r>
          </w:p>
        </w:tc>
        <w:tc>
          <w:tcPr>
            <w:tcW w:w="988" w:type="dxa"/>
          </w:tcPr>
          <w:p>
            <w:pPr/>
            <w:r>
              <w:t xml:space="preserve">Not run</w:t>
            </w:r>
          </w:p>
        </w:tc>
        <w:tc>
          <w:tcPr>
            <w:tcW w:w="829" w:type="dxa"/>
          </w:tcPr>
          <w:p>
            <w:pPr/>
          </w:p>
        </w:tc>
      </w:tr>
      <w:tr>
        <w:tc>
          <w:tcPr>
            <w:tcW w:w="3695" w:type="dxa"/>
          </w:tcPr>
          <w:p>
            <w:pPr/>
            <w:r>
              <w:t xml:space="preserve">Z4 Web log retention, from S10 or the NSS feed configuration</w:t>
            </w:r>
          </w:p>
        </w:tc>
        <w:tc>
          <w:tcPr>
            <w:tcW w:w="3848" w:type="dxa"/>
          </w:tcPr>
          <w:p>
            <w:pPr/>
            <w:r>
              <w:t xml:space="preserve">Whether monthly and year-end SaaS use can be seen</w:t>
            </w:r>
          </w:p>
        </w:tc>
        <w:tc>
          <w:tcPr>
            <w:tcW w:w="988" w:type="dxa"/>
          </w:tcPr>
          <w:p>
            <w:pPr/>
            <w:r>
              <w:t xml:space="preserve">Not run</w:t>
            </w:r>
          </w:p>
        </w:tc>
        <w:tc>
          <w:tcPr>
            <w:tcW w:w="829" w:type="dxa"/>
          </w:tcPr>
          <w:p>
            <w:pPr/>
          </w:p>
        </w:tc>
      </w:tr>
      <w:tr>
        <w:tc>
          <w:tcPr>
            <w:tcW w:w="3695" w:type="dxa"/>
          </w:tcPr>
          <w:p>
            <w:pPr/>
            <w:r>
              <w:t xml:space="preserve">Z5 Pilot office server subnets appear in ZIA logs</w:t>
            </w:r>
          </w:p>
        </w:tc>
        <w:tc>
          <w:tcPr>
            <w:tcW w:w="3848" w:type="dxa"/>
          </w:tcPr>
          <w:p>
            <w:pPr/>
            <w:r>
              <w:t xml:space="preserve">Whether server-to-SaaS integrations show in ZIA, or only in firewall logs</w:t>
            </w:r>
          </w:p>
        </w:tc>
        <w:tc>
          <w:tcPr>
            <w:tcW w:w="988" w:type="dxa"/>
          </w:tcPr>
          <w:p>
            <w:pPr/>
            <w:r>
              <w:t xml:space="preserve">Not run</w:t>
            </w:r>
          </w:p>
        </w:tc>
        <w:tc>
          <w:tcPr>
            <w:tcW w:w="829" w:type="dxa"/>
          </w:tcPr>
          <w:p>
            <w:pPr/>
          </w:p>
        </w:tc>
      </w:tr>
      <w:tr>
        <w:tc>
          <w:tcPr>
            <w:tcW w:w="3695" w:type="dxa"/>
          </w:tcPr>
          <w:p>
            <w:pPr/>
            <w:r>
              <w:t xml:space="preserve">Z6 Bypassed destinations listed from PAC files and Client Connector profiles</w:t>
            </w:r>
          </w:p>
        </w:tc>
        <w:tc>
          <w:tcPr>
            <w:tcW w:w="3848" w:type="dxa"/>
          </w:tcPr>
          <w:p>
            <w:pPr/>
            <w:r>
              <w:t xml:space="preserve">What ZIA can't see, so those flows come from firewall logs instead</w:t>
            </w:r>
          </w:p>
        </w:tc>
        <w:tc>
          <w:tcPr>
            <w:tcW w:w="988" w:type="dxa"/>
          </w:tcPr>
          <w:p>
            <w:pPr/>
            <w:r>
              <w:t xml:space="preserve">Not run</w:t>
            </w:r>
          </w:p>
        </w:tc>
        <w:tc>
          <w:tcPr>
            <w:tcW w:w="829" w:type="dxa"/>
          </w:tcPr>
          <w:p>
            <w:pPr/>
          </w:p>
        </w:tc>
      </w:tr>
    </w:tbl>
    <w:p>
      <w:pPr>
        <w:pStyle w:val="Heading2"/>
      </w:pPr>
      <w:r>
        <w:t xml:space="preserve">Zscaler ZPA</w:t>
      </w:r>
    </w:p>
    <w:p>
      <w:pPr/>
      <w:r>
        <w:t xml:space="preserve">ZPA has two kinds of data, and they mean different things. Application segments record intent: what someone published. User activity logs record behaviour, but only for users already on ZPA, so while the rollout is under way they are a sample, not a census.</w:t>
      </w:r>
    </w:p>
    <w:p>
      <w:pPr/>
      <w:r>
        <w:rPr>
          <w:b/>
        </w:rPr>
        <w:t xml:space="preserve">What it should give:</w:t>
      </w:r>
      <w:r>
        <w:t xml:space="preserve"> private apps already defined (domains or IPs, and ports) to match against App IDs. Segments defined by IP rather than FQDN are hard-coded addresses in the target access model. Also, per app, which users reach it and from where, for the users already enrolled. The segment definitions also become the target state: the analysis output defines them, and ZPA logs check them after migration.</w:t>
      </w:r>
    </w:p>
    <w:p>
      <w:pPr/>
      <w:r>
        <w:rPr>
          <w:b/>
        </w:rPr>
        <w:t xml:space="preserve">Method:</w:t>
      </w:r>
      <w:r>
        <w:t xml:space="preserve"> </w:t>
      </w:r>
      <w:r>
        <w:rPr>
          <w:rStyle w:val="CodeChar"/>
        </w:rPr>
        <w:t xml:space="preserve">07_zpa_segments.py --site &lt;pilot slug&gt;</w:t>
      </w:r>
      <w:r>
        <w:t xml:space="preserve"> exports segments through the Zscaler SDK, using an API client with a read-only ZPA role. It counts IP against FQDN entries and flags segments with IPs at the pilot office. If LSS streams user activity to Splunk, run S10 and S12 in </w:t>
      </w:r>
      <w:r>
        <w:rPr>
          <w:rStyle w:val="CodeChar"/>
        </w:rPr>
        <w:t xml:space="preserve">05_splunk_tests.spl</w:t>
      </w:r>
      <w:r>
        <w:t xml:space="preserve">; otherwise check the user activity view in the ZPA admin portal for the fields it holds.</w:t>
      </w:r>
    </w:p>
    <w:tbl>
      <w:tblPr>
        <w:tblStyle w:val="TableGrid"/>
        <w:tblW w:w="0" w:type="auto"/>
        <w:tblLayout w:type="fixed"/>
        <w:tblLook w:val="04A0" w:firstRow="1" w:lastRow="0" w:firstColumn="0" w:lastColumn="0" w:noHBand="0" w:noVBand="1"/>
      </w:tblPr>
      <w:tblGrid>
        <w:gridCol w:w="3911"/>
        <w:gridCol w:w="3631"/>
        <w:gridCol w:w="988"/>
        <w:gridCol w:w="829"/>
      </w:tblGrid>
      <w:tr>
        <w:trPr>
          <w:tblHeader/>
        </w:trPr>
        <w:tc>
          <w:tcPr>
            <w:tcW w:w="3911" w:type="dxa"/>
            <w:shd w:val="clear" w:color="auto" w:fill="F2F2F2"/>
          </w:tcPr>
          <w:p>
            <w:pPr/>
            <w:r>
              <w:t xml:space="preserve">Check</w:t>
            </w:r>
          </w:p>
        </w:tc>
        <w:tc>
          <w:tcPr>
            <w:tcW w:w="3631" w:type="dxa"/>
            <w:shd w:val="clear" w:color="auto" w:fill="F2F2F2"/>
          </w:tcPr>
          <w:p>
            <w:pPr/>
            <w:r>
              <w:t xml:space="preserve">What it tells you</w:t>
            </w:r>
          </w:p>
        </w:tc>
        <w:tc>
          <w:tcPr>
            <w:tcW w:w="988" w:type="dxa"/>
            <w:shd w:val="clear" w:color="auto" w:fill="F2F2F2"/>
          </w:tcPr>
          <w:p>
            <w:pPr/>
            <w:r>
              <w:t xml:space="preserve">Result</w:t>
            </w:r>
          </w:p>
        </w:tc>
        <w:tc>
          <w:tcPr>
            <w:tcW w:w="829" w:type="dxa"/>
            <w:shd w:val="clear" w:color="auto" w:fill="F2F2F2"/>
          </w:tcPr>
          <w:p>
            <w:pPr/>
            <w:r>
              <w:t xml:space="preserve">Notes</w:t>
            </w:r>
          </w:p>
        </w:tc>
      </w:tr>
      <w:tr>
        <w:tc>
          <w:tcPr>
            <w:tcW w:w="3911" w:type="dxa"/>
          </w:tcPr>
          <w:p>
            <w:pPr/>
            <w:r>
              <w:t xml:space="preserve">P1 Segment export works with a read-only API client</w:t>
            </w:r>
          </w:p>
        </w:tc>
        <w:tc>
          <w:tcPr>
            <w:tcW w:w="3631" w:type="dxa"/>
          </w:tcPr>
          <w:p>
            <w:pPr/>
            <w:r>
              <w:t xml:space="preserve">Whether existing ZPA definitions can be matched to App IDs</w:t>
            </w:r>
          </w:p>
        </w:tc>
        <w:tc>
          <w:tcPr>
            <w:tcW w:w="988" w:type="dxa"/>
          </w:tcPr>
          <w:p>
            <w:pPr/>
            <w:r>
              <w:t xml:space="preserve">Not run</w:t>
            </w:r>
          </w:p>
        </w:tc>
        <w:tc>
          <w:tcPr>
            <w:tcW w:w="829" w:type="dxa"/>
          </w:tcPr>
          <w:p>
            <w:pPr/>
          </w:p>
        </w:tc>
      </w:tr>
      <w:tr>
        <w:tc>
          <w:tcPr>
            <w:tcW w:w="3911" w:type="dxa"/>
          </w:tcPr>
          <w:p>
            <w:pPr/>
            <w:r>
              <w:t xml:space="preserve">P2 Segment entries split into FQDN, wildcard, IP and CIDR</w:t>
            </w:r>
          </w:p>
        </w:tc>
        <w:tc>
          <w:tcPr>
            <w:tcW w:w="3631" w:type="dxa"/>
          </w:tcPr>
          <w:p>
            <w:pPr/>
            <w:r>
              <w:t xml:space="preserve">How much of the current ZPA setup already depends on hard-coded addresses</w:t>
            </w:r>
          </w:p>
        </w:tc>
        <w:tc>
          <w:tcPr>
            <w:tcW w:w="988" w:type="dxa"/>
          </w:tcPr>
          <w:p>
            <w:pPr/>
            <w:r>
              <w:t xml:space="preserve">Not run</w:t>
            </w:r>
          </w:p>
        </w:tc>
        <w:tc>
          <w:tcPr>
            <w:tcW w:w="829" w:type="dxa"/>
          </w:tcPr>
          <w:p>
            <w:pPr/>
          </w:p>
        </w:tc>
      </w:tr>
      <w:tr>
        <w:tc>
          <w:tcPr>
            <w:tcW w:w="3911" w:type="dxa"/>
          </w:tcPr>
          <w:p>
            <w:pPr/>
            <w:r>
              <w:t xml:space="preserve">P3 Segments include IPs inside the pilot office's prefixes</w:t>
            </w:r>
          </w:p>
        </w:tc>
        <w:tc>
          <w:tcPr>
            <w:tcW w:w="3631" w:type="dxa"/>
          </w:tcPr>
          <w:p>
            <w:pPr/>
            <w:r>
              <w:t xml:space="preserve">Which office-hosted apps are already published through ZPA</w:t>
            </w:r>
          </w:p>
        </w:tc>
        <w:tc>
          <w:tcPr>
            <w:tcW w:w="988" w:type="dxa"/>
          </w:tcPr>
          <w:p>
            <w:pPr/>
            <w:r>
              <w:t xml:space="preserve">Not run</w:t>
            </w:r>
          </w:p>
        </w:tc>
        <w:tc>
          <w:tcPr>
            <w:tcW w:w="829" w:type="dxa"/>
          </w:tcPr>
          <w:p>
            <w:pPr/>
          </w:p>
        </w:tc>
      </w:tr>
      <w:tr>
        <w:tc>
          <w:tcPr>
            <w:tcW w:w="3911" w:type="dxa"/>
          </w:tcPr>
          <w:p>
            <w:pPr/>
            <w:r>
              <w:t xml:space="preserve">P4 User activity logs record user, application, segment and server IP</w:t>
            </w:r>
          </w:p>
        </w:tc>
        <w:tc>
          <w:tcPr>
            <w:tcW w:w="3631" w:type="dxa"/>
          </w:tcPr>
          <w:p>
            <w:pPr/>
            <w:r>
              <w:t xml:space="preserve">Whether app use can be Observed for users already on ZPA</w:t>
            </w:r>
          </w:p>
        </w:tc>
        <w:tc>
          <w:tcPr>
            <w:tcW w:w="988" w:type="dxa"/>
          </w:tcPr>
          <w:p>
            <w:pPr/>
            <w:r>
              <w:t xml:space="preserve">Not run</w:t>
            </w:r>
          </w:p>
        </w:tc>
        <w:tc>
          <w:tcPr>
            <w:tcW w:w="829" w:type="dxa"/>
          </w:tcPr>
          <w:p>
            <w:pPr/>
          </w:p>
        </w:tc>
      </w:tr>
      <w:tr>
        <w:tc>
          <w:tcPr>
            <w:tcW w:w="3911" w:type="dxa"/>
          </w:tcPr>
          <w:p>
            <w:pPr/>
            <w:r>
              <w:t xml:space="preserve">P5 Share of pilot office users who appear in ZPA logs, against users seen in Defender logons (D8)</w:t>
            </w:r>
          </w:p>
        </w:tc>
        <w:tc>
          <w:tcPr>
            <w:tcW w:w="3631" w:type="dxa"/>
          </w:tcPr>
          <w:p>
            <w:pPr/>
            <w:r>
              <w:t xml:space="preserve">How representative ZPA data is at this office</w:t>
            </w:r>
          </w:p>
        </w:tc>
        <w:tc>
          <w:tcPr>
            <w:tcW w:w="988" w:type="dxa"/>
          </w:tcPr>
          <w:p>
            <w:pPr/>
            <w:r>
              <w:t xml:space="preserve">Not run</w:t>
            </w:r>
          </w:p>
        </w:tc>
        <w:tc>
          <w:tcPr>
            <w:tcW w:w="829" w:type="dxa"/>
          </w:tcPr>
          <w:p>
            <w:pPr/>
          </w:p>
        </w:tc>
      </w:tr>
    </w:tbl>
    <w:p>
      <w:pPr>
        <w:pStyle w:val="Heading2"/>
      </w:pPr>
      <w:r>
        <w:t xml:space="preserve">App inventory spreadsheet</w:t>
      </w:r>
    </w:p>
    <w:p>
      <w:pPr/>
      <w:r>
        <w:t xml:space="preserve">The inventory is the list everything else is reconciled against, so its App IDs need to be unique and complete even if every other column is thin. It records what people intended, so treat anything beyond the ID and owner as a lead to check, not as evidence.</w:t>
      </w:r>
    </w:p>
    <w:p>
      <w:pPr/>
      <w:r>
        <w:rPr>
          <w:b/>
        </w:rPr>
        <w:t xml:space="preserve">What it should give:</w:t>
      </w:r>
      <w:r>
        <w:t xml:space="preserve"> App ID, name and owner on the Applications tab, plus whatever criticality, vendor, hosting or access columns exist, as starting values for owners to validate.</w:t>
      </w:r>
    </w:p>
    <w:p>
      <w:pPr/>
      <w:r>
        <w:rPr>
          <w:b/>
        </w:rPr>
        <w:t xml:space="preserve">Method:</w:t>
      </w:r>
      <w:r>
        <w:t xml:space="preserve"> </w:t>
      </w:r>
      <w:r>
        <w:rPr>
          <w:rStyle w:val="CodeChar"/>
        </w:rPr>
        <w:t xml:space="preserve">08_inventory_profile.py "&lt;copy of inventory&gt;.xlsx" --id-column "&lt;App ID column&gt;"</w:t>
      </w:r>
      <w:r>
        <w:t xml:space="preserve">, run on a copy. It profiles every column, lists blank and duplicate App IDs, and writes a mapping template from the workbook's Applications fields to inventory columns, for you to fill in by hand.</w:t>
      </w:r>
    </w:p>
    <w:tbl>
      <w:tblPr>
        <w:tblStyle w:val="TableGrid"/>
        <w:tblW w:w="0" w:type="auto"/>
        <w:tblLayout w:type="fixed"/>
        <w:tblLook w:val="04A0" w:firstRow="1" w:lastRow="0" w:firstColumn="0" w:lastColumn="0" w:noHBand="0" w:noVBand="1"/>
      </w:tblPr>
      <w:tblGrid>
        <w:gridCol w:w="3815"/>
        <w:gridCol w:w="3727"/>
        <w:gridCol w:w="988"/>
        <w:gridCol w:w="829"/>
      </w:tblGrid>
      <w:tr>
        <w:trPr>
          <w:tblHeader/>
        </w:trPr>
        <w:tc>
          <w:tcPr>
            <w:tcW w:w="3815" w:type="dxa"/>
            <w:shd w:val="clear" w:color="auto" w:fill="F2F2F2"/>
          </w:tcPr>
          <w:p>
            <w:pPr/>
            <w:r>
              <w:t xml:space="preserve">Check</w:t>
            </w:r>
          </w:p>
        </w:tc>
        <w:tc>
          <w:tcPr>
            <w:tcW w:w="3727" w:type="dxa"/>
            <w:shd w:val="clear" w:color="auto" w:fill="F2F2F2"/>
          </w:tcPr>
          <w:p>
            <w:pPr/>
            <w:r>
              <w:t xml:space="preserve">What it tells you</w:t>
            </w:r>
          </w:p>
        </w:tc>
        <w:tc>
          <w:tcPr>
            <w:tcW w:w="988" w:type="dxa"/>
            <w:shd w:val="clear" w:color="auto" w:fill="F2F2F2"/>
          </w:tcPr>
          <w:p>
            <w:pPr/>
            <w:r>
              <w:t xml:space="preserve">Result</w:t>
            </w:r>
          </w:p>
        </w:tc>
        <w:tc>
          <w:tcPr>
            <w:tcW w:w="829" w:type="dxa"/>
            <w:shd w:val="clear" w:color="auto" w:fill="F2F2F2"/>
          </w:tcPr>
          <w:p>
            <w:pPr/>
            <w:r>
              <w:t xml:space="preserve">Notes</w:t>
            </w:r>
          </w:p>
        </w:tc>
      </w:tr>
      <w:tr>
        <w:tc>
          <w:tcPr>
            <w:tcW w:w="3815" w:type="dxa"/>
          </w:tcPr>
          <w:p>
            <w:pPr/>
            <w:r>
              <w:t xml:space="preserve">I1 App IDs are filled and unique</w:t>
            </w:r>
          </w:p>
        </w:tc>
        <w:tc>
          <w:tcPr>
            <w:tcW w:w="3727" w:type="dxa"/>
          </w:tcPr>
          <w:p>
            <w:pPr/>
            <w:r>
              <w:t xml:space="preserve">Whether the inventory can be the reconciliation key</w:t>
            </w:r>
          </w:p>
        </w:tc>
        <w:tc>
          <w:tcPr>
            <w:tcW w:w="988" w:type="dxa"/>
          </w:tcPr>
          <w:p>
            <w:pPr/>
            <w:r>
              <w:t xml:space="preserve">Not run</w:t>
            </w:r>
          </w:p>
        </w:tc>
        <w:tc>
          <w:tcPr>
            <w:tcW w:w="829" w:type="dxa"/>
          </w:tcPr>
          <w:p>
            <w:pPr/>
          </w:p>
        </w:tc>
      </w:tr>
      <w:tr>
        <w:tc>
          <w:tcPr>
            <w:tcW w:w="3815" w:type="dxa"/>
          </w:tcPr>
          <w:p>
            <w:pPr/>
            <w:r>
              <w:t xml:space="preserve">I2 Share of columns at least 80% filled, against those under 20%</w:t>
            </w:r>
          </w:p>
        </w:tc>
        <w:tc>
          <w:tcPr>
            <w:tcW w:w="3727" w:type="dxa"/>
          </w:tcPr>
          <w:p>
            <w:pPr/>
            <w:r>
              <w:t xml:space="preserve">Which inventory fields are usable starting values and which are empty</w:t>
            </w:r>
          </w:p>
        </w:tc>
        <w:tc>
          <w:tcPr>
            <w:tcW w:w="988" w:type="dxa"/>
          </w:tcPr>
          <w:p>
            <w:pPr/>
            <w:r>
              <w:t xml:space="preserve">Not run</w:t>
            </w:r>
          </w:p>
        </w:tc>
        <w:tc>
          <w:tcPr>
            <w:tcW w:w="829" w:type="dxa"/>
          </w:tcPr>
          <w:p>
            <w:pPr/>
          </w:p>
        </w:tc>
      </w:tr>
      <w:tr>
        <w:tc>
          <w:tcPr>
            <w:tcW w:w="3815" w:type="dxa"/>
          </w:tcPr>
          <w:p>
            <w:pPr/>
            <w:r>
              <w:t xml:space="preserve">I3 Mapping template filled in: each Applications field matched to an inventory column or marked as a gap</w:t>
            </w:r>
          </w:p>
        </w:tc>
        <w:tc>
          <w:tcPr>
            <w:tcW w:w="3727" w:type="dxa"/>
          </w:tcPr>
          <w:p>
            <w:pPr/>
            <w:r>
              <w:t xml:space="preserve">Exactly which workbook fields the inventory can seed</w:t>
            </w:r>
          </w:p>
        </w:tc>
        <w:tc>
          <w:tcPr>
            <w:tcW w:w="988" w:type="dxa"/>
          </w:tcPr>
          <w:p>
            <w:pPr/>
            <w:r>
              <w:t xml:space="preserve">Not run</w:t>
            </w:r>
          </w:p>
        </w:tc>
        <w:tc>
          <w:tcPr>
            <w:tcW w:w="829" w:type="dxa"/>
          </w:tcPr>
          <w:p>
            <w:pPr/>
          </w:p>
        </w:tc>
      </w:tr>
      <w:tr>
        <w:tc>
          <w:tcPr>
            <w:tcW w:w="3815" w:type="dxa"/>
          </w:tcPr>
          <w:p>
            <w:pPr/>
            <w:r>
              <w:t xml:space="preserve">I4 Owner names are current: spot-check 10 against the directory</w:t>
            </w:r>
          </w:p>
        </w:tc>
        <w:tc>
          <w:tcPr>
            <w:tcW w:w="3727" w:type="dxa"/>
          </w:tcPr>
          <w:p>
            <w:pPr/>
            <w:r>
              <w:t xml:space="preserve">Whether owners can be contacted for validation without first finding them</w:t>
            </w:r>
          </w:p>
        </w:tc>
        <w:tc>
          <w:tcPr>
            <w:tcW w:w="988" w:type="dxa"/>
          </w:tcPr>
          <w:p>
            <w:pPr/>
            <w:r>
              <w:t xml:space="preserve">Not run</w:t>
            </w:r>
          </w:p>
        </w:tc>
        <w:tc>
          <w:tcPr>
            <w:tcW w:w="829" w:type="dxa"/>
          </w:tcPr>
          <w:p>
            <w:pPr/>
          </w:p>
        </w:tc>
      </w:tr>
    </w:tbl>
    <w:p>
      <w:pPr>
        <w:pStyle w:val="Heading2"/>
      </w:pPr>
      <w:r>
        <w:t xml:space="preserve">Sources held by other teams</w:t>
      </w:r>
    </w:p>
    <w:p>
      <w:pPr/>
      <w:r>
        <w:t xml:space="preserve">Several workbook fields can't come from any tool you have access to. These need a request, not a script. Send them now, because answers take longer than the tests.</w:t>
      </w:r>
    </w:p>
    <w:tbl>
      <w:tblPr>
        <w:tblStyle w:val="TableGrid"/>
        <w:tblW w:w="0" w:type="auto"/>
        <w:tblLayout w:type="fixed"/>
        <w:tblLook w:val="04A0" w:firstRow="1" w:lastRow="0" w:firstColumn="0" w:lastColumn="0" w:noHBand="0" w:noVBand="1"/>
      </w:tblPr>
      <w:tblGrid>
        <w:gridCol w:w="1662"/>
        <w:gridCol w:w="1628"/>
        <w:gridCol w:w="4330"/>
        <w:gridCol w:w="1740"/>
      </w:tblGrid>
      <w:tr>
        <w:trPr>
          <w:tblHeader/>
        </w:trPr>
        <w:tc>
          <w:tcPr>
            <w:tcW w:w="1662" w:type="dxa"/>
            <w:shd w:val="clear" w:color="auto" w:fill="F2F2F2"/>
          </w:tcPr>
          <w:p>
            <w:pPr/>
            <w:r>
              <w:t xml:space="preserve">Source</w:t>
            </w:r>
          </w:p>
        </w:tc>
        <w:tc>
          <w:tcPr>
            <w:tcW w:w="1628" w:type="dxa"/>
            <w:shd w:val="clear" w:color="auto" w:fill="F2F2F2"/>
          </w:tcPr>
          <w:p>
            <w:pPr/>
            <w:r>
              <w:t xml:space="preserve">Owner</w:t>
            </w:r>
          </w:p>
        </w:tc>
        <w:tc>
          <w:tcPr>
            <w:tcW w:w="4330" w:type="dxa"/>
            <w:shd w:val="clear" w:color="auto" w:fill="F2F2F2"/>
          </w:tcPr>
          <w:p>
            <w:pPr/>
            <w:r>
              <w:t xml:space="preserve">What to ask for</w:t>
            </w:r>
          </w:p>
        </w:tc>
        <w:tc>
          <w:tcPr>
            <w:tcW w:w="1740" w:type="dxa"/>
            <w:shd w:val="clear" w:color="auto" w:fill="F2F2F2"/>
          </w:tcPr>
          <w:p>
            <w:pPr/>
            <w:r>
              <w:t xml:space="preserve">Workbook fields</w:t>
            </w:r>
          </w:p>
        </w:tc>
      </w:tr>
      <w:tr>
        <w:tc>
          <w:tcPr>
            <w:tcW w:w="1662" w:type="dxa"/>
          </w:tcPr>
          <w:p>
            <w:pPr/>
            <w:r>
              <w:t xml:space="preserve">SD-WAN link analysis</w:t>
            </w:r>
          </w:p>
        </w:tc>
        <w:tc>
          <w:tcPr>
            <w:tcW w:w="1628" w:type="dxa"/>
          </w:tcPr>
          <w:p>
            <w:pPr/>
            <w:r>
              <w:t xml:space="preserve">Network team</w:t>
            </w:r>
          </w:p>
        </w:tc>
        <w:tc>
          <w:tcPr>
            <w:tcW w:w="4330" w:type="dxa"/>
          </w:tcPr>
          <w:p>
            <w:pPr/>
            <w:r>
              <w:t xml:space="preserve">Whether figures are p95 or average, the window measured, loss and jitter, whether the backup circuit was measured, and RTT for every office-to-hub pair an app will cross, not just each office's own hubs</w:t>
            </w:r>
          </w:p>
        </w:tc>
        <w:tc>
          <w:tcPr>
            <w:tcW w:w="1740" w:type="dxa"/>
          </w:tcPr>
          <w:p>
            <w:pPr/>
            <w:r>
              <w:t xml:space="preserve">Hub RTT tab</w:t>
            </w:r>
          </w:p>
        </w:tc>
      </w:tr>
      <w:tr>
        <w:tc>
          <w:tcPr>
            <w:tcW w:w="1662" w:type="dxa"/>
          </w:tcPr>
          <w:p>
            <w:pPr/>
            <w:r>
              <w:t xml:space="preserve">DNS and DHCP dependency analysis</w:t>
            </w:r>
          </w:p>
        </w:tc>
        <w:tc>
          <w:tcPr>
            <w:tcW w:w="1628" w:type="dxa"/>
          </w:tcPr>
          <w:p>
            <w:pPr/>
            <w:r>
              <w:t xml:space="preserve">Infoblox migration team</w:t>
            </w:r>
          </w:p>
        </w:tc>
        <w:tc>
          <w:tcPr>
            <w:tcW w:w="4330" w:type="dxa"/>
          </w:tcPr>
          <w:p>
            <w:pPr/>
            <w:r>
              <w:t xml:space="preserve">The seven questions in D-001: their analysis and method, DHCP options and reservations, whether server IPs are kept, logging after cutover, exports before decommission, cutover dates</w:t>
            </w:r>
          </w:p>
        </w:tc>
        <w:tc>
          <w:tcPr>
            <w:tcW w:w="1740" w:type="dxa"/>
          </w:tcPr>
          <w:p>
            <w:pPr/>
            <w:r>
              <w:t xml:space="preserve">Dependencies, Exceptions, Sites (cutover date)</w:t>
            </w:r>
          </w:p>
        </w:tc>
      </w:tr>
      <w:tr>
        <w:tc>
          <w:tcPr>
            <w:tcW w:w="1662" w:type="dxa"/>
          </w:tcPr>
          <w:p>
            <w:pPr/>
            <w:r>
              <w:t xml:space="preserve">Firewall NAT and publishing rules</w:t>
            </w:r>
          </w:p>
        </w:tc>
        <w:tc>
          <w:tcPr>
            <w:tcW w:w="1628" w:type="dxa"/>
          </w:tcPr>
          <w:p>
            <w:pPr/>
            <w:r>
              <w:t xml:space="preserve">Network team</w:t>
            </w:r>
          </w:p>
        </w:tc>
        <w:tc>
          <w:tcPr>
            <w:tcW w:w="4330" w:type="dxa"/>
          </w:tcPr>
          <w:p>
            <w:pPr/>
            <w:r>
              <w:t xml:space="preserve">Inbound NAT and publishing rules per office</w:t>
            </w:r>
          </w:p>
        </w:tc>
        <w:tc>
          <w:tcPr>
            <w:tcW w:w="1740" w:type="dxa"/>
          </w:tcPr>
          <w:p>
            <w:pPr/>
            <w:r>
              <w:t xml:space="preserve">Components (internet-reachable inbound)</w:t>
            </w:r>
          </w:p>
        </w:tc>
      </w:tr>
      <w:tr>
        <w:tc>
          <w:tcPr>
            <w:tcW w:w="1662" w:type="dxa"/>
          </w:tcPr>
          <w:p>
            <w:pPr/>
            <w:r>
              <w:t xml:space="preserve">PABX configuration and call records</w:t>
            </w:r>
          </w:p>
        </w:tc>
        <w:tc>
          <w:tcPr>
            <w:tcW w:w="1628" w:type="dxa"/>
          </w:tcPr>
          <w:p>
            <w:pPr/>
            <w:r>
              <w:t xml:space="preserve">Telephony vendor; office managers</w:t>
            </w:r>
          </w:p>
        </w:tc>
        <w:tc>
          <w:tcPr>
            <w:tcW w:w="4330" w:type="dxa"/>
          </w:tcPr>
          <w:p>
            <w:pPr/>
            <w:r>
              <w:t xml:space="preserve">Handset and extension counts, trunks, emergency call routing per office, analogue lines and what they serve</w:t>
            </w:r>
          </w:p>
        </w:tc>
        <w:tc>
          <w:tcPr>
            <w:tcW w:w="1740" w:type="dxa"/>
          </w:tcPr>
          <w:p>
            <w:pPr/>
            <w:r>
              <w:t xml:space="preserve">Components, Consumption, Exceptions</w:t>
            </w:r>
          </w:p>
        </w:tc>
      </w:tr>
      <w:tr>
        <w:tc>
          <w:tcPr>
            <w:tcW w:w="1662" w:type="dxa"/>
          </w:tcPr>
          <w:p>
            <w:pPr/>
            <w:r>
              <w:t xml:space="preserve">OT and building systems</w:t>
            </w:r>
          </w:p>
        </w:tc>
        <w:tc>
          <w:tcPr>
            <w:tcW w:w="1628" w:type="dxa"/>
          </w:tcPr>
          <w:p>
            <w:pPr/>
            <w:r>
              <w:t xml:space="preserve">Facilities; vendors</w:t>
            </w:r>
          </w:p>
        </w:tc>
        <w:tc>
          <w:tcPr>
            <w:tcW w:w="4330" w:type="dxa"/>
          </w:tcPr>
          <w:p>
            <w:pPr/>
            <w:r>
              <w:t xml:space="preserve">Controller lists, a vendor statement on moving the server, behaviour during a WAN outage (for example, card cache duration)</w:t>
            </w:r>
          </w:p>
        </w:tc>
        <w:tc>
          <w:tcPr>
            <w:tcW w:w="1740" w:type="dxa"/>
          </w:tcPr>
          <w:p>
            <w:pPr/>
            <w:r>
              <w:t xml:space="preserve">Components, Applications (offline), Assumptions</w:t>
            </w:r>
          </w:p>
        </w:tc>
      </w:tr>
      <w:tr>
        <w:tc>
          <w:tcPr>
            <w:tcW w:w="1662" w:type="dxa"/>
          </w:tcPr>
          <w:p>
            <w:pPr/>
            <w:r>
              <w:t xml:space="preserve">BCP register</w:t>
            </w:r>
          </w:p>
        </w:tc>
        <w:tc>
          <w:tcPr>
            <w:tcW w:w="1628" w:type="dxa"/>
          </w:tcPr>
          <w:p>
            <w:pPr/>
            <w:r>
              <w:t xml:space="preserve">BCP or risk owner</w:t>
            </w:r>
          </w:p>
        </w:tc>
        <w:tc>
          <w:tcPr>
            <w:tcW w:w="4330" w:type="dxa"/>
          </w:tcPr>
          <w:p>
            <w:pPr/>
            <w:r>
              <w:t xml:space="preserve">Criticality tiers, RTO and RPO per application</w:t>
            </w:r>
          </w:p>
        </w:tc>
        <w:tc>
          <w:tcPr>
            <w:tcW w:w="1740" w:type="dxa"/>
          </w:tcPr>
          <w:p>
            <w:pPr/>
            <w:r>
              <w:t xml:space="preserve">Applications</w:t>
            </w:r>
          </w:p>
        </w:tc>
      </w:tr>
      <w:tr>
        <w:tc>
          <w:tcPr>
            <w:tcW w:w="1662" w:type="dxa"/>
          </w:tcPr>
          <w:p>
            <w:pPr/>
            <w:r>
              <w:t xml:space="preserve">Licence agreements</w:t>
            </w:r>
          </w:p>
        </w:tc>
        <w:tc>
          <w:tcPr>
            <w:tcW w:w="1628" w:type="dxa"/>
          </w:tcPr>
          <w:p>
            <w:pPr/>
            <w:r>
              <w:t xml:space="preserve">Procurement; vendor management</w:t>
            </w:r>
          </w:p>
        </w:tc>
        <w:tc>
          <w:tcPr>
            <w:tcW w:w="4330" w:type="dxa"/>
          </w:tcPr>
          <w:p>
            <w:pPr/>
            <w:r>
              <w:t xml:space="preserve">Host, MAC, site or country restrictions for each licence server product</w:t>
            </w:r>
          </w:p>
        </w:tc>
        <w:tc>
          <w:tcPr>
            <w:tcW w:w="1740" w:type="dxa"/>
          </w:tcPr>
          <w:p>
            <w:pPr/>
            <w:r>
              <w:t xml:space="preserve">Exceptions</w:t>
            </w:r>
          </w:p>
        </w:tc>
      </w:tr>
      <w:tr>
        <w:tc>
          <w:tcPr>
            <w:tcW w:w="1662" w:type="dxa"/>
          </w:tcPr>
          <w:p>
            <w:pPr/>
            <w:r>
              <w:t xml:space="preserve">Data classification and residency</w:t>
            </w:r>
          </w:p>
        </w:tc>
        <w:tc>
          <w:tcPr>
            <w:tcW w:w="1628" w:type="dxa"/>
          </w:tcPr>
          <w:p>
            <w:pPr/>
            <w:r>
              <w:t xml:space="preserve">Data governance; legal</w:t>
            </w:r>
          </w:p>
        </w:tc>
        <w:tc>
          <w:tcPr>
            <w:tcW w:w="4330" w:type="dxa"/>
          </w:tcPr>
          <w:p>
            <w:pPr/>
            <w:r>
              <w:t xml:space="preserve">Classification scheme and residency obligations per application or data type</w:t>
            </w:r>
          </w:p>
        </w:tc>
        <w:tc>
          <w:tcPr>
            <w:tcW w:w="1740" w:type="dxa"/>
          </w:tcPr>
          <w:p>
            <w:pPr/>
            <w:r>
              <w:t xml:space="preserve">Applications</w:t>
            </w:r>
          </w:p>
        </w:tc>
      </w:tr>
    </w:tbl>
    <w:p>
      <w:pPr>
        <w:pStyle w:val="Heading2"/>
      </w:pPr>
      <w:r>
        <w:t xml:space="preserve">Results summary</w:t>
      </w:r>
    </w:p>
    <w:p>
      <w:pPr/>
      <w:r>
        <w:t xml:space="preserve">Fill this in as each source is tested. Then carry the results into the capture workbook: the Coverage tab for the pilot office, the Primary source(s) column in the Field dictionary, and an Assumptions entry for every field no source can fill.</w:t>
      </w:r>
    </w:p>
    <w:tbl>
      <w:tblPr>
        <w:tblStyle w:val="TableGrid"/>
        <w:tblW w:w="0" w:type="auto"/>
        <w:tblLayout w:type="fixed"/>
        <w:tblLook w:val="04A0" w:firstRow="1" w:lastRow="0" w:firstColumn="0" w:lastColumn="0" w:noHBand="0" w:noVBand="1"/>
      </w:tblPr>
      <w:tblGrid>
        <w:gridCol w:w="1661"/>
        <w:gridCol w:w="1273"/>
        <w:gridCol w:w="1295"/>
        <w:gridCol w:w="1450"/>
        <w:gridCol w:w="1380"/>
        <w:gridCol w:w="1312"/>
        <w:gridCol w:w="988"/>
      </w:tblGrid>
      <w:tr>
        <w:trPr>
          <w:tblHeader/>
        </w:trPr>
        <w:tc>
          <w:tcPr>
            <w:tcW w:w="1661" w:type="dxa"/>
            <w:shd w:val="clear" w:color="auto" w:fill="F2F2F2"/>
          </w:tcPr>
          <w:p>
            <w:pPr/>
            <w:r>
              <w:t xml:space="preserve">Source</w:t>
            </w:r>
          </w:p>
        </w:tc>
        <w:tc>
          <w:tcPr>
            <w:tcW w:w="1273" w:type="dxa"/>
            <w:shd w:val="clear" w:color="auto" w:fill="F2F2F2"/>
          </w:tcPr>
          <w:p>
            <w:pPr/>
            <w:r>
              <w:t xml:space="preserve">Access confirmed</w:t>
            </w:r>
          </w:p>
        </w:tc>
        <w:tc>
          <w:tcPr>
            <w:tcW w:w="1295" w:type="dxa"/>
            <w:shd w:val="clear" w:color="auto" w:fill="F2F2F2"/>
          </w:tcPr>
          <w:p>
            <w:pPr/>
            <w:r>
              <w:t xml:space="preserve">Pilot office coverage</w:t>
            </w:r>
          </w:p>
        </w:tc>
        <w:tc>
          <w:tcPr>
            <w:tcW w:w="1450" w:type="dxa"/>
            <w:shd w:val="clear" w:color="auto" w:fill="F2F2F2"/>
          </w:tcPr>
          <w:p>
            <w:pPr/>
            <w:r>
              <w:t xml:space="preserve">Retention or window</w:t>
            </w:r>
          </w:p>
        </w:tc>
        <w:tc>
          <w:tcPr>
            <w:tcW w:w="1380" w:type="dxa"/>
            <w:shd w:val="clear" w:color="auto" w:fill="F2F2F2"/>
          </w:tcPr>
          <w:p>
            <w:pPr/>
            <w:r>
              <w:t xml:space="preserve">Workbook fields it can fill</w:t>
            </w:r>
          </w:p>
        </w:tc>
        <w:tc>
          <w:tcPr>
            <w:tcW w:w="1312" w:type="dxa"/>
            <w:shd w:val="clear" w:color="auto" w:fill="F2F2F2"/>
          </w:tcPr>
          <w:p>
            <w:pPr/>
            <w:r>
              <w:t xml:space="preserve">Main gaps</w:t>
            </w:r>
          </w:p>
        </w:tc>
        <w:tc>
          <w:tcPr>
            <w:tcW w:w="988" w:type="dxa"/>
            <w:shd w:val="clear" w:color="auto" w:fill="F2F2F2"/>
          </w:tcPr>
          <w:p>
            <w:pPr/>
            <w:r>
              <w:t xml:space="preserve">Overall</w:t>
            </w:r>
          </w:p>
        </w:tc>
      </w:tr>
      <w:tr>
        <w:tc>
          <w:tcPr>
            <w:tcW w:w="1661" w:type="dxa"/>
          </w:tcPr>
          <w:p>
            <w:pPr/>
            <w:r>
              <w:t xml:space="preserve">Netbox</w:t>
            </w:r>
          </w:p>
        </w:tc>
        <w:tc>
          <w:tcPr>
            <w:tcW w:w="1273" w:type="dxa"/>
          </w:tcPr>
          <w:p>
            <w:pPr/>
          </w:p>
        </w:tc>
        <w:tc>
          <w:tcPr>
            <w:tcW w:w="1295" w:type="dxa"/>
          </w:tcPr>
          <w:p>
            <w:pPr/>
          </w:p>
        </w:tc>
        <w:tc>
          <w:tcPr>
            <w:tcW w:w="1450" w:type="dxa"/>
          </w:tcPr>
          <w:p>
            <w:pPr/>
            <w:r>
              <w:t xml:space="preserve">n/a</w:t>
            </w:r>
          </w:p>
        </w:tc>
        <w:tc>
          <w:tcPr>
            <w:tcW w:w="1380" w:type="dxa"/>
          </w:tcPr>
          <w:p>
            <w:pPr/>
          </w:p>
        </w:tc>
        <w:tc>
          <w:tcPr>
            <w:tcW w:w="1312" w:type="dxa"/>
          </w:tcPr>
          <w:p>
            <w:pPr/>
          </w:p>
        </w:tc>
        <w:tc>
          <w:tcPr>
            <w:tcW w:w="988" w:type="dxa"/>
          </w:tcPr>
          <w:p>
            <w:pPr/>
            <w:r>
              <w:t xml:space="preserve">Not run</w:t>
            </w:r>
          </w:p>
        </w:tc>
      </w:tr>
      <w:tr>
        <w:tc>
          <w:tcPr>
            <w:tcW w:w="1661" w:type="dxa"/>
          </w:tcPr>
          <w:p>
            <w:pPr/>
            <w:r>
              <w:t xml:space="preserve">RunZero</w:t>
            </w:r>
          </w:p>
        </w:tc>
        <w:tc>
          <w:tcPr>
            <w:tcW w:w="1273" w:type="dxa"/>
          </w:tcPr>
          <w:p>
            <w:pPr/>
          </w:p>
        </w:tc>
        <w:tc>
          <w:tcPr>
            <w:tcW w:w="1295" w:type="dxa"/>
          </w:tcPr>
          <w:p>
            <w:pPr/>
          </w:p>
        </w:tc>
        <w:tc>
          <w:tcPr>
            <w:tcW w:w="1450" w:type="dxa"/>
          </w:tcPr>
          <w:p>
            <w:pPr/>
          </w:p>
        </w:tc>
        <w:tc>
          <w:tcPr>
            <w:tcW w:w="1380" w:type="dxa"/>
          </w:tcPr>
          <w:p>
            <w:pPr/>
          </w:p>
        </w:tc>
        <w:tc>
          <w:tcPr>
            <w:tcW w:w="1312" w:type="dxa"/>
          </w:tcPr>
          <w:p>
            <w:pPr/>
          </w:p>
        </w:tc>
        <w:tc>
          <w:tcPr>
            <w:tcW w:w="988" w:type="dxa"/>
          </w:tcPr>
          <w:p>
            <w:pPr/>
            <w:r>
              <w:t xml:space="preserve">Not run</w:t>
            </w:r>
          </w:p>
        </w:tc>
      </w:tr>
      <w:tr>
        <w:tc>
          <w:tcPr>
            <w:tcW w:w="1661" w:type="dxa"/>
          </w:tcPr>
          <w:p>
            <w:pPr/>
            <w:r>
              <w:t xml:space="preserve">VMware</w:t>
            </w:r>
          </w:p>
        </w:tc>
        <w:tc>
          <w:tcPr>
            <w:tcW w:w="1273" w:type="dxa"/>
          </w:tcPr>
          <w:p>
            <w:pPr/>
          </w:p>
        </w:tc>
        <w:tc>
          <w:tcPr>
            <w:tcW w:w="1295" w:type="dxa"/>
          </w:tcPr>
          <w:p>
            <w:pPr/>
          </w:p>
        </w:tc>
        <w:tc>
          <w:tcPr>
            <w:tcW w:w="1450" w:type="dxa"/>
          </w:tcPr>
          <w:p>
            <w:pPr/>
          </w:p>
        </w:tc>
        <w:tc>
          <w:tcPr>
            <w:tcW w:w="1380" w:type="dxa"/>
          </w:tcPr>
          <w:p>
            <w:pPr/>
          </w:p>
        </w:tc>
        <w:tc>
          <w:tcPr>
            <w:tcW w:w="1312" w:type="dxa"/>
          </w:tcPr>
          <w:p>
            <w:pPr/>
          </w:p>
        </w:tc>
        <w:tc>
          <w:tcPr>
            <w:tcW w:w="988" w:type="dxa"/>
          </w:tcPr>
          <w:p>
            <w:pPr/>
            <w:r>
              <w:t xml:space="preserve">Not run</w:t>
            </w:r>
          </w:p>
        </w:tc>
      </w:tr>
      <w:tr>
        <w:tc>
          <w:tcPr>
            <w:tcW w:w="1661" w:type="dxa"/>
          </w:tcPr>
          <w:p>
            <w:pPr/>
            <w:r>
              <w:t xml:space="preserve">Defender</w:t>
            </w:r>
          </w:p>
        </w:tc>
        <w:tc>
          <w:tcPr>
            <w:tcW w:w="1273" w:type="dxa"/>
          </w:tcPr>
          <w:p>
            <w:pPr/>
          </w:p>
        </w:tc>
        <w:tc>
          <w:tcPr>
            <w:tcW w:w="1295" w:type="dxa"/>
          </w:tcPr>
          <w:p>
            <w:pPr/>
          </w:p>
        </w:tc>
        <w:tc>
          <w:tcPr>
            <w:tcW w:w="1450" w:type="dxa"/>
          </w:tcPr>
          <w:p>
            <w:pPr/>
          </w:p>
        </w:tc>
        <w:tc>
          <w:tcPr>
            <w:tcW w:w="1380" w:type="dxa"/>
          </w:tcPr>
          <w:p>
            <w:pPr/>
          </w:p>
        </w:tc>
        <w:tc>
          <w:tcPr>
            <w:tcW w:w="1312" w:type="dxa"/>
          </w:tcPr>
          <w:p>
            <w:pPr/>
          </w:p>
        </w:tc>
        <w:tc>
          <w:tcPr>
            <w:tcW w:w="988" w:type="dxa"/>
          </w:tcPr>
          <w:p>
            <w:pPr/>
            <w:r>
              <w:t xml:space="preserve">Not run</w:t>
            </w:r>
          </w:p>
        </w:tc>
      </w:tr>
      <w:tr>
        <w:tc>
          <w:tcPr>
            <w:tcW w:w="1661" w:type="dxa"/>
          </w:tcPr>
          <w:p>
            <w:pPr/>
            <w:r>
              <w:t xml:space="preserve">Splunk</w:t>
            </w:r>
          </w:p>
        </w:tc>
        <w:tc>
          <w:tcPr>
            <w:tcW w:w="1273" w:type="dxa"/>
          </w:tcPr>
          <w:p>
            <w:pPr/>
          </w:p>
        </w:tc>
        <w:tc>
          <w:tcPr>
            <w:tcW w:w="1295" w:type="dxa"/>
          </w:tcPr>
          <w:p>
            <w:pPr/>
          </w:p>
        </w:tc>
        <w:tc>
          <w:tcPr>
            <w:tcW w:w="1450" w:type="dxa"/>
          </w:tcPr>
          <w:p>
            <w:pPr/>
          </w:p>
        </w:tc>
        <w:tc>
          <w:tcPr>
            <w:tcW w:w="1380" w:type="dxa"/>
          </w:tcPr>
          <w:p>
            <w:pPr/>
          </w:p>
        </w:tc>
        <w:tc>
          <w:tcPr>
            <w:tcW w:w="1312" w:type="dxa"/>
          </w:tcPr>
          <w:p>
            <w:pPr/>
          </w:p>
        </w:tc>
        <w:tc>
          <w:tcPr>
            <w:tcW w:w="988" w:type="dxa"/>
          </w:tcPr>
          <w:p>
            <w:pPr/>
            <w:r>
              <w:t xml:space="preserve">Not run</w:t>
            </w:r>
          </w:p>
        </w:tc>
      </w:tr>
      <w:tr>
        <w:tc>
          <w:tcPr>
            <w:tcW w:w="1661" w:type="dxa"/>
          </w:tcPr>
          <w:p>
            <w:pPr/>
            <w:r>
              <w:t xml:space="preserve">Zscaler ZIA</w:t>
            </w:r>
          </w:p>
        </w:tc>
        <w:tc>
          <w:tcPr>
            <w:tcW w:w="1273" w:type="dxa"/>
          </w:tcPr>
          <w:p>
            <w:pPr/>
          </w:p>
        </w:tc>
        <w:tc>
          <w:tcPr>
            <w:tcW w:w="1295" w:type="dxa"/>
          </w:tcPr>
          <w:p>
            <w:pPr/>
          </w:p>
        </w:tc>
        <w:tc>
          <w:tcPr>
            <w:tcW w:w="1450" w:type="dxa"/>
          </w:tcPr>
          <w:p>
            <w:pPr/>
          </w:p>
        </w:tc>
        <w:tc>
          <w:tcPr>
            <w:tcW w:w="1380" w:type="dxa"/>
          </w:tcPr>
          <w:p>
            <w:pPr/>
          </w:p>
        </w:tc>
        <w:tc>
          <w:tcPr>
            <w:tcW w:w="1312" w:type="dxa"/>
          </w:tcPr>
          <w:p>
            <w:pPr/>
          </w:p>
        </w:tc>
        <w:tc>
          <w:tcPr>
            <w:tcW w:w="988" w:type="dxa"/>
          </w:tcPr>
          <w:p>
            <w:pPr/>
            <w:r>
              <w:t xml:space="preserve">Not run</w:t>
            </w:r>
          </w:p>
        </w:tc>
      </w:tr>
      <w:tr>
        <w:tc>
          <w:tcPr>
            <w:tcW w:w="1661" w:type="dxa"/>
          </w:tcPr>
          <w:p>
            <w:pPr/>
            <w:r>
              <w:t xml:space="preserve">Zscaler ZPA</w:t>
            </w:r>
          </w:p>
        </w:tc>
        <w:tc>
          <w:tcPr>
            <w:tcW w:w="1273" w:type="dxa"/>
          </w:tcPr>
          <w:p>
            <w:pPr/>
          </w:p>
        </w:tc>
        <w:tc>
          <w:tcPr>
            <w:tcW w:w="1295" w:type="dxa"/>
          </w:tcPr>
          <w:p>
            <w:pPr/>
          </w:p>
        </w:tc>
        <w:tc>
          <w:tcPr>
            <w:tcW w:w="1450" w:type="dxa"/>
          </w:tcPr>
          <w:p>
            <w:pPr/>
          </w:p>
        </w:tc>
        <w:tc>
          <w:tcPr>
            <w:tcW w:w="1380" w:type="dxa"/>
          </w:tcPr>
          <w:p>
            <w:pPr/>
          </w:p>
        </w:tc>
        <w:tc>
          <w:tcPr>
            <w:tcW w:w="1312" w:type="dxa"/>
          </w:tcPr>
          <w:p>
            <w:pPr/>
          </w:p>
        </w:tc>
        <w:tc>
          <w:tcPr>
            <w:tcW w:w="988" w:type="dxa"/>
          </w:tcPr>
          <w:p>
            <w:pPr/>
            <w:r>
              <w:t xml:space="preserve">Not run</w:t>
            </w:r>
          </w:p>
        </w:tc>
      </w:tr>
      <w:tr>
        <w:tc>
          <w:tcPr>
            <w:tcW w:w="1661" w:type="dxa"/>
          </w:tcPr>
          <w:p>
            <w:pPr/>
            <w:r>
              <w:t xml:space="preserve">App inventory</w:t>
            </w:r>
          </w:p>
        </w:tc>
        <w:tc>
          <w:tcPr>
            <w:tcW w:w="1273" w:type="dxa"/>
          </w:tcPr>
          <w:p>
            <w:pPr/>
          </w:p>
        </w:tc>
        <w:tc>
          <w:tcPr>
            <w:tcW w:w="1295" w:type="dxa"/>
          </w:tcPr>
          <w:p>
            <w:pPr/>
            <w:r>
              <w:t xml:space="preserve">n/a</w:t>
            </w:r>
          </w:p>
        </w:tc>
        <w:tc>
          <w:tcPr>
            <w:tcW w:w="1450" w:type="dxa"/>
          </w:tcPr>
          <w:p>
            <w:pPr/>
            <w:r>
              <w:t xml:space="preserve">n/a</w:t>
            </w:r>
          </w:p>
        </w:tc>
        <w:tc>
          <w:tcPr>
            <w:tcW w:w="1380" w:type="dxa"/>
          </w:tcPr>
          <w:p>
            <w:pPr/>
          </w:p>
        </w:tc>
        <w:tc>
          <w:tcPr>
            <w:tcW w:w="1312" w:type="dxa"/>
          </w:tcPr>
          <w:p>
            <w:pPr/>
          </w:p>
        </w:tc>
        <w:tc>
          <w:tcPr>
            <w:tcW w:w="988" w:type="dxa"/>
          </w:tcPr>
          <w:p>
            <w:pPr/>
            <w:r>
              <w:t xml:space="preserve">Not run</w:t>
            </w:r>
          </w:p>
        </w:tc>
      </w:tr>
    </w:tbl>
    <w:p>
      <w:pPr>
        <w:pStyle w:val="Heading2"/>
      </w:pPr>
      <w:r>
        <w:t xml:space="preserve">Sources</w:t>
      </w:r>
    </w:p>
    <w:p>
      <w:pPr>
        <w:pStyle w:val="ListParagraph"/>
        <w:numPr>
          <w:ilvl w:val="0"/>
          <w:numId w:val="6"/>
        </w:numPr>
      </w:pPr>
      <w:hyperlink r:id="rId3" w:history="1">
        <w:r>
          <w:rPr>
            <w:rStyle w:val="Hyperlink"/>
          </w:rPr>
          <w:t xml:space="preserve">Advanced hunting overview: 30-day range, row and time limits</w:t>
        </w:r>
      </w:hyperlink>
    </w:p>
    <w:p>
      <w:pPr>
        <w:pStyle w:val="ListParagraph"/>
        <w:numPr>
          <w:ilvl w:val="0"/>
          <w:numId w:val="6"/>
        </w:numPr>
      </w:pPr>
      <w:hyperlink r:id="rId4" w:history="1">
        <w:r>
          <w:rPr>
            <w:rStyle w:val="Hyperlink"/>
          </w:rPr>
          <w:t xml:space="preserve">DeviceLogonEvents table (LogonType, Protocol)</w:t>
        </w:r>
      </w:hyperlink>
    </w:p>
    <w:p>
      <w:pPr>
        <w:pStyle w:val="ListParagraph"/>
        <w:numPr>
          <w:ilvl w:val="0"/>
          <w:numId w:val="6"/>
        </w:numPr>
      </w:pPr>
      <w:hyperlink r:id="rId5" w:history="1">
        <w:r>
          <w:rPr>
            <w:rStyle w:val="Hyperlink"/>
          </w:rPr>
          <w:t xml:space="preserve">IdentityLogonEvents table (LDAP cleartext logon type)</w:t>
        </w:r>
      </w:hyperlink>
    </w:p>
    <w:p>
      <w:pPr>
        <w:pStyle w:val="ListParagraph"/>
        <w:numPr>
          <w:ilvl w:val="0"/>
          <w:numId w:val="6"/>
        </w:numPr>
      </w:pPr>
      <w:hyperlink r:id="rId6" w:history="1">
        <w:r>
          <w:rPr>
            <w:rStyle w:val="Hyperlink"/>
          </w:rPr>
          <w:t xml:space="preserve">Assess discovered devices: ConnectionAttempt and ConnectionAcknowledged</w:t>
        </w:r>
      </w:hyperlink>
    </w:p>
    <w:p>
      <w:pPr>
        <w:pStyle w:val="ListParagraph"/>
        <w:numPr>
          <w:ilvl w:val="0"/>
          <w:numId w:val="6"/>
        </w:numPr>
      </w:pPr>
      <w:hyperlink r:id="rId7" w:history="1">
        <w:r>
          <w:rPr>
            <w:rStyle w:val="Hyperlink"/>
          </w:rPr>
          <w:t xml:space="preserve">ipv4_is_in_any_range() in KQL</w:t>
        </w:r>
      </w:hyperlink>
    </w:p>
    <w:p>
      <w:pPr>
        <w:pStyle w:val="ListParagraph"/>
        <w:numPr>
          <w:ilvl w:val="0"/>
          <w:numId w:val="6"/>
        </w:numPr>
      </w:pPr>
      <w:hyperlink r:id="rId8" w:history="1">
        <w:r>
          <w:rPr>
            <w:rStyle w:val="Hyperlink"/>
          </w:rPr>
          <w:t xml:space="preserve">NetBox 4.2 release notes: prefix site replaced by scope</w:t>
        </w:r>
      </w:hyperlink>
    </w:p>
    <w:p>
      <w:pPr>
        <w:pStyle w:val="ListParagraph"/>
        <w:numPr>
          <w:ilvl w:val="0"/>
          <w:numId w:val="6"/>
        </w:numPr>
      </w:pPr>
      <w:hyperlink r:id="rId9" w:history="1">
        <w:r>
          <w:rPr>
            <w:rStyle w:val="Hyperlink"/>
          </w:rPr>
          <w:t xml:space="preserve">runZero API reference (export endpoints)</w:t>
        </w:r>
      </w:hyperlink>
    </w:p>
    <w:p>
      <w:pPr>
        <w:pStyle w:val="ListParagraph"/>
        <w:numPr>
          <w:ilvl w:val="0"/>
          <w:numId w:val="6"/>
        </w:numPr>
      </w:pPr>
      <w:hyperlink r:id="rId10" w:history="1">
        <w:r>
          <w:rPr>
            <w:rStyle w:val="Hyperlink"/>
          </w:rPr>
          <w:t xml:space="preserve">runZero asset search keywords (net:, site:, last_seen:)</w:t>
        </w:r>
      </w:hyperlink>
    </w:p>
    <w:p>
      <w:pPr>
        <w:pStyle w:val="ListParagraph"/>
        <w:numPr>
          <w:ilvl w:val="0"/>
          <w:numId w:val="6"/>
        </w:numPr>
      </w:pPr>
      <w:hyperlink r:id="rId11" w:history="1">
        <w:r>
          <w:rPr>
            <w:rStyle w:val="Hyperlink"/>
          </w:rPr>
          <w:t xml:space="preserve">Zscaler Python SDK: authentication</w:t>
        </w:r>
      </w:hyperlink>
    </w:p>
    <w:p>
      <w:pPr>
        <w:pStyle w:val="ListParagraph"/>
        <w:numPr>
          <w:ilvl w:val="0"/>
          <w:numId w:val="6"/>
        </w:numPr>
      </w:pPr>
      <w:hyperlink r:id="rId12" w:history="1">
        <w:r>
          <w:rPr>
            <w:rStyle w:val="Hyperlink"/>
          </w:rPr>
          <w:t xml:space="preserve">Zscaler Python SDK: ZIA locations</w:t>
        </w:r>
      </w:hyperlink>
    </w:p>
    <w:p>
      <w:pPr>
        <w:pStyle w:val="ListParagraph"/>
        <w:numPr>
          <w:ilvl w:val="0"/>
          <w:numId w:val="6"/>
        </w:numPr>
      </w:pPr>
      <w:hyperlink r:id="rId13" w:history="1">
        <w:r>
          <w:rPr>
            <w:rStyle w:val="Hyperlink"/>
          </w:rPr>
          <w:t xml:space="preserve">Zscaler Python SDK: ZPA application segments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learn.microsoft.com/defender-xdr/advanced-hunting-overview" TargetMode="External"/><Relationship Id="rId4" Type="http://schemas.openxmlformats.org/officeDocument/2006/relationships/hyperlink" Target="https://learn.microsoft.com/defender-xdr/advanced-hunting-devicelogonevents-table" TargetMode="External"/><Relationship Id="rId5" Type="http://schemas.openxmlformats.org/officeDocument/2006/relationships/hyperlink" Target="https://learn.microsoft.com/defender-xdr/advanced-hunting-identitylogonevents-table" TargetMode="External"/><Relationship Id="rId6" Type="http://schemas.openxmlformats.org/officeDocument/2006/relationships/hyperlink" Target="https://learn.microsoft.com/defender-endpoint/assess-devices" TargetMode="External"/><Relationship Id="rId7" Type="http://schemas.openxmlformats.org/officeDocument/2006/relationships/hyperlink" Target="https://learn.microsoft.com/kusto/query/ipv4-is-in-any-range-function?view=microsoft-fabric" TargetMode="External"/><Relationship Id="rId8" Type="http://schemas.openxmlformats.org/officeDocument/2006/relationships/hyperlink" Target="https://netbox.readthedocs.io/en/stable/release-notes/version-4.2/" TargetMode="External"/><Relationship Id="rId9" Type="http://schemas.openxmlformats.org/officeDocument/2006/relationships/hyperlink" Target="https://help.runzero.com/docs/runzero-api.pdf" TargetMode="External"/><Relationship Id="rId10" Type="http://schemas.openxmlformats.org/officeDocument/2006/relationships/hyperlink" Target="https://help.runzero.com/docs/search-query-assets/" TargetMode="External"/><Relationship Id="rId11" Type="http://schemas.openxmlformats.org/officeDocument/2006/relationships/hyperlink" Target="https://zscaler-sdk-python.readthedocs.io/en/latest/" TargetMode="External"/><Relationship Id="rId12" Type="http://schemas.openxmlformats.org/officeDocument/2006/relationships/hyperlink" Target="https://zscaler-sdk-python.readthedocs.io/en/latest/zs/zia/locations.html" TargetMode="External"/><Relationship Id="rId13" Type="http://schemas.openxmlformats.org/officeDocument/2006/relationships/hyperlink" Target="https://zscaler-sdk-python.readthedocs.io/en/latest/zs/zpa/app_segments.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Data Source Test Plan</dc:title>
  <dc:description>Claude Docs node/013ec1f5-5427@14 docx-w7</dc:description>
  <cp:revision>14</cp:revision>
</cp:coreProperties>
</file>