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Reporting disputes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Articles 189 (3) and (4) of CoK 2010 require parties in the conflict to use ADR by trying to resolve the ma</w:t>
      </w:r>
      <w:bookmarkStart w:id="0" w:name="_GoBack"/>
      <w:bookmarkEnd w:id="0"/>
      <w:r>
        <w:rPr>
          <w:b w:val="0"/>
          <w:bCs w:val="0"/>
          <w:lang w:val="en-US"/>
        </w:rPr>
        <w:t xml:space="preserve">tter amicably before reporting or going to court. This requirement is actualized by IGR act 2012; which requires any party with a dispute that cannot be solved amicably to report the same to summit, CoG or any other intergovernmental relations organ.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2022-03-31T17:41:20Z</dcterms:created>
  <dc:creator>Shi</dc:creator>
  <cp:lastModifiedBy>Shi</cp:lastModifiedBy>
  <dcterms:modified xsi:type="dcterms:W3CDTF">2022-03-31T17:46:48Z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1033-11.20.1</vt:lpwstr>
  </property>
  <property fmtid="{D5CDD505-2E9C-101B-9397-08002B2CF9AE}" pid="3" name="ICV">
    <vt:lpwstr>5AF5FB8B28542E1E90BD4562343DA71B</vt:lpwstr>
  </property>
</Properties>
</file>