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jc w:val="center"/>
      </w:pPr>
      <w:r>
        <w:rPr>
          <w:rFonts w:ascii="Arial" w:cs="Arial" w:eastAsia="Arial" w:hAnsi="Arial"/>
          <w:b/>
          <w:bCs/>
          <w:color w:val="B7600A"/>
          <w:sz w:val="20"/>
          <w:szCs w:val="20"/>
        </w:rPr>
        <w:t xml:space="preserve">MALABAR INSIGHT GROUP</w:t>
      </w:r>
    </w:p>
    <w:p>
      <w:pPr>
        <w:spacing w:after="80"/>
      </w:pPr>
    </w:p>
    <w:p>
      <w:pPr>
        <w:jc w:val="center"/>
      </w:pPr>
      <w:r>
        <w:rPr>
          <w:rFonts w:ascii="Arial" w:cs="Arial" w:eastAsia="Arial" w:hAnsi="Arial"/>
          <w:b/>
          <w:bCs/>
          <w:color w:val="0B5345"/>
          <w:sz w:val="44"/>
          <w:szCs w:val="44"/>
        </w:rPr>
        <w:t xml:space="preserve">BRAND &amp; MARKET INTELLIGENCE REPORT</w:t>
      </w:r>
    </w:p>
    <w:p>
      <w:pPr>
        <w:spacing w:after="60"/>
      </w:pPr>
    </w:p>
    <w:p>
      <w:pPr>
        <w:jc w:val="center"/>
      </w:pPr>
      <w:r>
        <w:rPr>
          <w:rFonts w:ascii="Arial" w:cs="Arial" w:eastAsia="Arial" w:hAnsi="Arial"/>
          <w:b/>
          <w:bCs/>
          <w:color w:val="1A7A68"/>
          <w:sz w:val="32"/>
          <w:szCs w:val="32"/>
        </w:rPr>
        <w:t xml:space="preserve">Nahdi Kuzhimandi Pvt. Ltd.</w:t>
      </w:r>
    </w:p>
    <w:p>
      <w:pPr>
        <w:spacing w:after="40"/>
      </w:pPr>
    </w:p>
    <w:p>
      <w:pPr>
        <w:jc w:val="center"/>
      </w:pPr>
      <w:r>
        <w:rPr>
          <w:rFonts w:ascii="Arial" w:cs="Arial" w:eastAsia="Arial" w:hAnsi="Arial"/>
          <w:i/>
          <w:iCs/>
          <w:color w:val="666666"/>
          <w:sz w:val="22"/>
          <w:szCs w:val="22"/>
        </w:rPr>
        <w:t xml:space="preserve">Consumer Sentiment  |  Brand Equity  |  Competitive Intelligence  |  Market Opportunity</w:t>
      </w:r>
    </w:p>
    <w:p>
      <w:pPr>
        <w:spacing w:after="80"/>
      </w:pPr>
    </w:p>
    <w:p>
      <w:pPr>
        <w:jc w:val="center"/>
      </w:pPr>
      <w:r>
        <w:rPr>
          <w:color w:val="B7600A"/>
          <w:sz w:val="20"/>
          <w:szCs w:val="20"/>
        </w:rPr>
        <w:t xml:space="preserv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8D5CF" w:sz="1"/>
              <w:left w:val="single" w:color="C8D5CF" w:sz="1"/>
              <w:bottom w:val="single" w:color="C8D5CF" w:sz="1"/>
              <w:right w:val="single" w:color="C8D5CF" w:sz="1"/>
            </w:tcBorders>
            <w:shd w:fill="0B5345" w:val="clear"/>
            <w:tcMar>
              <w:top w:type="dxa" w:w="80"/>
              <w:left w:type="dxa" w:w="120"/>
              <w:bottom w:type="dxa" w:w="80"/>
              <w:right w:type="dxa" w:w="120"/>
            </w:tcMar>
          </w:tcPr>
          <w:p>
            <w:pPr>
              <w:jc w:val="left"/>
            </w:pPr>
            <w:r>
              <w:rPr>
                <w:rFonts w:ascii="Arial" w:cs="Arial" w:eastAsia="Arial" w:hAnsi="Arial"/>
                <w:b/>
                <w:bCs/>
                <w:color w:val="1C1C1C"/>
                <w:sz w:val="19"/>
                <w:szCs w:val="19"/>
              </w:rPr>
              <w:t xml:space="preserve">Report Type</w:t>
            </w:r>
          </w:p>
        </w:tc>
        <w:tc>
          <w:tcPr>
            <w:tcW w:type="dxa" w:w="6160"/>
            <w:tcBorders>
              <w:top w:val="single" w:color="C8D5CF" w:sz="1"/>
              <w:left w:val="single" w:color="C8D5CF" w:sz="1"/>
              <w:bottom w:val="single" w:color="C8D5CF" w:sz="1"/>
              <w:right w:val="single" w:color="C8D5CF" w:sz="1"/>
            </w:tcBorders>
            <w:shd w:fill="F0F4F2"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Brand &amp; Market Intelligence — Primary + Secondary Research</w:t>
            </w:r>
          </w:p>
        </w:tc>
      </w:tr>
      <w:tr>
        <w:tc>
          <w:tcPr>
            <w:tcW w:type="dxa" w:w="3200"/>
            <w:tcBorders>
              <w:top w:val="single" w:color="C8D5CF" w:sz="1"/>
              <w:left w:val="single" w:color="C8D5CF" w:sz="1"/>
              <w:bottom w:val="single" w:color="C8D5CF" w:sz="1"/>
              <w:right w:val="single" w:color="C8D5CF" w:sz="1"/>
            </w:tcBorders>
            <w:shd w:fill="0B5345" w:val="clear"/>
            <w:tcMar>
              <w:top w:type="dxa" w:w="80"/>
              <w:left w:type="dxa" w:w="120"/>
              <w:bottom w:type="dxa" w:w="80"/>
              <w:right w:type="dxa" w:w="120"/>
            </w:tcMar>
          </w:tcPr>
          <w:p>
            <w:pPr>
              <w:jc w:val="left"/>
            </w:pPr>
            <w:r>
              <w:rPr>
                <w:rFonts w:ascii="Arial" w:cs="Arial" w:eastAsia="Arial" w:hAnsi="Arial"/>
                <w:b/>
                <w:bCs/>
                <w:color w:val="1C1C1C"/>
                <w:sz w:val="19"/>
                <w:szCs w:val="19"/>
              </w:rPr>
              <w:t xml:space="preserve">Subject Entity</w:t>
            </w:r>
          </w:p>
        </w:tc>
        <w:tc>
          <w:tcPr>
            <w:tcW w:type="dxa" w:w="6160"/>
            <w:tcBorders>
              <w:top w:val="single" w:color="C8D5CF" w:sz="1"/>
              <w:left w:val="single" w:color="C8D5CF" w:sz="1"/>
              <w:bottom w:val="single" w:color="C8D5CF" w:sz="1"/>
              <w:right w:val="single" w:color="C8D5CF"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Nahdi Kuzhimandi Pvt. Ltd.</w:t>
            </w:r>
          </w:p>
        </w:tc>
      </w:tr>
      <w:tr>
        <w:tc>
          <w:tcPr>
            <w:tcW w:type="dxa" w:w="3200"/>
            <w:tcBorders>
              <w:top w:val="single" w:color="C8D5CF" w:sz="1"/>
              <w:left w:val="single" w:color="C8D5CF" w:sz="1"/>
              <w:bottom w:val="single" w:color="C8D5CF" w:sz="1"/>
              <w:right w:val="single" w:color="C8D5CF" w:sz="1"/>
            </w:tcBorders>
            <w:shd w:fill="0B5345" w:val="clear"/>
            <w:tcMar>
              <w:top w:type="dxa" w:w="80"/>
              <w:left w:type="dxa" w:w="120"/>
              <w:bottom w:type="dxa" w:w="80"/>
              <w:right w:type="dxa" w:w="120"/>
            </w:tcMar>
          </w:tcPr>
          <w:p>
            <w:pPr>
              <w:jc w:val="left"/>
            </w:pPr>
            <w:r>
              <w:rPr>
                <w:rFonts w:ascii="Arial" w:cs="Arial" w:eastAsia="Arial" w:hAnsi="Arial"/>
                <w:b/>
                <w:bCs/>
                <w:color w:val="1C1C1C"/>
                <w:sz w:val="19"/>
                <w:szCs w:val="19"/>
              </w:rPr>
              <w:t xml:space="preserve">Research Methodology</w:t>
            </w:r>
          </w:p>
        </w:tc>
        <w:tc>
          <w:tcPr>
            <w:tcW w:type="dxa" w:w="6160"/>
            <w:tcBorders>
              <w:top w:val="single" w:color="C8D5CF" w:sz="1"/>
              <w:left w:val="single" w:color="C8D5CF" w:sz="1"/>
              <w:bottom w:val="single" w:color="C8D5CF" w:sz="1"/>
              <w:right w:val="single" w:color="C8D5CF" w:sz="1"/>
            </w:tcBorders>
            <w:shd w:fill="F0F4F2"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Consumer surveys (n=840), focus groups (n=6), social listening, mystery dining, expert interviews</w:t>
            </w:r>
          </w:p>
        </w:tc>
      </w:tr>
      <w:tr>
        <w:tc>
          <w:tcPr>
            <w:tcW w:type="dxa" w:w="3200"/>
            <w:tcBorders>
              <w:top w:val="single" w:color="C8D5CF" w:sz="1"/>
              <w:left w:val="single" w:color="C8D5CF" w:sz="1"/>
              <w:bottom w:val="single" w:color="C8D5CF" w:sz="1"/>
              <w:right w:val="single" w:color="C8D5CF" w:sz="1"/>
            </w:tcBorders>
            <w:shd w:fill="0B5345" w:val="clear"/>
            <w:tcMar>
              <w:top w:type="dxa" w:w="80"/>
              <w:left w:type="dxa" w:w="120"/>
              <w:bottom w:type="dxa" w:w="80"/>
              <w:right w:type="dxa" w:w="120"/>
            </w:tcMar>
          </w:tcPr>
          <w:p>
            <w:pPr>
              <w:jc w:val="left"/>
            </w:pPr>
            <w:r>
              <w:rPr>
                <w:rFonts w:ascii="Arial" w:cs="Arial" w:eastAsia="Arial" w:hAnsi="Arial"/>
                <w:b/>
                <w:bCs/>
                <w:color w:val="1C1C1C"/>
                <w:sz w:val="19"/>
                <w:szCs w:val="19"/>
              </w:rPr>
              <w:t xml:space="preserve">Geography Covered</w:t>
            </w:r>
          </w:p>
        </w:tc>
        <w:tc>
          <w:tcPr>
            <w:tcW w:type="dxa" w:w="6160"/>
            <w:tcBorders>
              <w:top w:val="single" w:color="C8D5CF" w:sz="1"/>
              <w:left w:val="single" w:color="C8D5CF" w:sz="1"/>
              <w:bottom w:val="single" w:color="C8D5CF" w:sz="1"/>
              <w:right w:val="single" w:color="C8D5CF"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Malappuram, Kozhikode, Thrissur, Palakkad, Kochi (primary); Bangalore diaspora (secondary)</w:t>
            </w:r>
          </w:p>
        </w:tc>
      </w:tr>
      <w:tr>
        <w:tc>
          <w:tcPr>
            <w:tcW w:type="dxa" w:w="3200"/>
            <w:tcBorders>
              <w:top w:val="single" w:color="C8D5CF" w:sz="1"/>
              <w:left w:val="single" w:color="C8D5CF" w:sz="1"/>
              <w:bottom w:val="single" w:color="C8D5CF" w:sz="1"/>
              <w:right w:val="single" w:color="C8D5CF" w:sz="1"/>
            </w:tcBorders>
            <w:shd w:fill="0B5345" w:val="clear"/>
            <w:tcMar>
              <w:top w:type="dxa" w:w="80"/>
              <w:left w:type="dxa" w:w="120"/>
              <w:bottom w:type="dxa" w:w="80"/>
              <w:right w:type="dxa" w:w="120"/>
            </w:tcMar>
          </w:tcPr>
          <w:p>
            <w:pPr>
              <w:jc w:val="left"/>
            </w:pPr>
            <w:r>
              <w:rPr>
                <w:rFonts w:ascii="Arial" w:cs="Arial" w:eastAsia="Arial" w:hAnsi="Arial"/>
                <w:b/>
                <w:bCs/>
                <w:color w:val="1C1C1C"/>
                <w:sz w:val="19"/>
                <w:szCs w:val="19"/>
              </w:rPr>
              <w:t xml:space="preserve">Prepared By</w:t>
            </w:r>
          </w:p>
        </w:tc>
        <w:tc>
          <w:tcPr>
            <w:tcW w:type="dxa" w:w="6160"/>
            <w:tcBorders>
              <w:top w:val="single" w:color="C8D5CF" w:sz="1"/>
              <w:left w:val="single" w:color="C8D5CF" w:sz="1"/>
              <w:bottom w:val="single" w:color="C8D5CF" w:sz="1"/>
              <w:right w:val="single" w:color="C8D5CF" w:sz="1"/>
            </w:tcBorders>
            <w:shd w:fill="F0F4F2"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Malabar Insight Group, Consumer Intelligence Division</w:t>
            </w:r>
          </w:p>
        </w:tc>
      </w:tr>
      <w:tr>
        <w:tc>
          <w:tcPr>
            <w:tcW w:type="dxa" w:w="3200"/>
            <w:tcBorders>
              <w:top w:val="single" w:color="C8D5CF" w:sz="1"/>
              <w:left w:val="single" w:color="C8D5CF" w:sz="1"/>
              <w:bottom w:val="single" w:color="C8D5CF" w:sz="1"/>
              <w:right w:val="single" w:color="C8D5CF" w:sz="1"/>
            </w:tcBorders>
            <w:shd w:fill="0B5345" w:val="clear"/>
            <w:tcMar>
              <w:top w:type="dxa" w:w="80"/>
              <w:left w:type="dxa" w:w="120"/>
              <w:bottom w:type="dxa" w:w="80"/>
              <w:right w:type="dxa" w:w="120"/>
            </w:tcMar>
          </w:tcPr>
          <w:p>
            <w:pPr>
              <w:jc w:val="left"/>
            </w:pPr>
            <w:r>
              <w:rPr>
                <w:rFonts w:ascii="Arial" w:cs="Arial" w:eastAsia="Arial" w:hAnsi="Arial"/>
                <w:b/>
                <w:bCs/>
                <w:color w:val="1C1C1C"/>
                <w:sz w:val="19"/>
                <w:szCs w:val="19"/>
              </w:rPr>
              <w:t xml:space="preserve">Date</w:t>
            </w:r>
          </w:p>
        </w:tc>
        <w:tc>
          <w:tcPr>
            <w:tcW w:type="dxa" w:w="6160"/>
            <w:tcBorders>
              <w:top w:val="single" w:color="C8D5CF" w:sz="1"/>
              <w:left w:val="single" w:color="C8D5CF" w:sz="1"/>
              <w:bottom w:val="single" w:color="C8D5CF" w:sz="1"/>
              <w:right w:val="single" w:color="C8D5CF"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22 February 2024</w:t>
            </w:r>
          </w:p>
        </w:tc>
      </w:tr>
      <w:tr>
        <w:tc>
          <w:tcPr>
            <w:tcW w:type="dxa" w:w="3200"/>
            <w:tcBorders>
              <w:top w:val="single" w:color="C8D5CF" w:sz="1"/>
              <w:left w:val="single" w:color="C8D5CF" w:sz="1"/>
              <w:bottom w:val="single" w:color="C8D5CF" w:sz="1"/>
              <w:right w:val="single" w:color="C8D5CF" w:sz="1"/>
            </w:tcBorders>
            <w:shd w:fill="0B5345" w:val="clear"/>
            <w:tcMar>
              <w:top w:type="dxa" w:w="80"/>
              <w:left w:type="dxa" w:w="120"/>
              <w:bottom w:type="dxa" w:w="80"/>
              <w:right w:type="dxa" w:w="120"/>
            </w:tcMar>
          </w:tcPr>
          <w:p>
            <w:pPr>
              <w:jc w:val="left"/>
            </w:pPr>
            <w:r>
              <w:rPr>
                <w:rFonts w:ascii="Arial" w:cs="Arial" w:eastAsia="Arial" w:hAnsi="Arial"/>
                <w:b/>
                <w:bCs/>
                <w:color w:val="1C1C1C"/>
                <w:sz w:val="19"/>
                <w:szCs w:val="19"/>
              </w:rPr>
              <w:t xml:space="preserve">Classification</w:t>
            </w:r>
          </w:p>
        </w:tc>
        <w:tc>
          <w:tcPr>
            <w:tcW w:type="dxa" w:w="6160"/>
            <w:tcBorders>
              <w:top w:val="single" w:color="C8D5CF" w:sz="1"/>
              <w:left w:val="single" w:color="C8D5CF" w:sz="1"/>
              <w:bottom w:val="single" w:color="C8D5CF" w:sz="1"/>
              <w:right w:val="single" w:color="C8D5CF" w:sz="1"/>
            </w:tcBorders>
            <w:shd w:fill="F0F4F2" w:val="clear"/>
            <w:tcMar>
              <w:top w:type="dxa" w:w="80"/>
              <w:left w:type="dxa" w:w="120"/>
              <w:bottom w:type="dxa" w:w="80"/>
              <w:right w:type="dxa" w:w="120"/>
            </w:tcMar>
          </w:tcPr>
          <w:p>
            <w:pPr>
              <w:jc w:val="left"/>
            </w:pPr>
            <w:r>
              <w:rPr>
                <w:rFonts w:ascii="Arial" w:cs="Arial" w:eastAsia="Arial" w:hAnsi="Arial"/>
                <w:b w:val="false"/>
                <w:bCs w:val="false"/>
                <w:color w:val="C0760A"/>
                <w:sz w:val="19"/>
                <w:szCs w:val="19"/>
              </w:rPr>
              <w:t xml:space="preserve">PROPRIETARY — Strategic use only</w:t>
            </w:r>
          </w:p>
        </w:tc>
      </w:tr>
    </w:tbl>
    <w:p>
      <w:pPr>
        <w:spacing w:after="160"/>
      </w:pPr>
    </w:p>
    <w:p>
      <w:pPr>
        <w:spacing w:after="40" w:before="40"/>
        <w:jc w:val="both"/>
      </w:pPr>
      <w:r>
        <w:rPr>
          <w:rFonts w:ascii="Arial" w:cs="Arial" w:eastAsia="Arial" w:hAnsi="Arial"/>
          <w:i/>
          <w:iCs/>
          <w:color w:val="888888"/>
          <w:sz w:val="16"/>
          <w:szCs w:val="16"/>
        </w:rPr>
        <w:t xml:space="preserve">DISCLAIMER: This report is entirely fictional and prepared for illustrative and educational purposes only. All survey data, consumer sentiment findings, market size estimates, brand scores, and other information contained herein are hypothetical. This document does not represent actual research or data about Nahdi Kuzhimandi or any other entity.</w:t>
      </w:r>
    </w:p>
    <w:p>
      <w:r>
        <w:br w:type="page"/>
      </w:r>
    </w:p>
    <w:p>
      <w:pPr>
        <w:pBdr>
          <w:bottom w:val="single" w:color="B7600A" w:sz="8" w:space="0"/>
        </w:pBdr>
        <w:shd w:fill="0B5345" w:val="clear"/>
        <w:spacing w:after="0" w:before="320"/>
      </w:pPr>
      <w:r>
        <w:rPr>
          <w:rFonts w:ascii="Arial" w:cs="Arial" w:eastAsia="Arial" w:hAnsi="Arial"/>
          <w:b/>
          <w:bCs/>
          <w:color w:val="FFFFFF"/>
          <w:sz w:val="30"/>
          <w:szCs w:val="30"/>
        </w:rPr>
        <w:t xml:space="preserve">  EXECUTIVE SUMMARY</w:t>
      </w:r>
    </w:p>
    <w:p>
      <w:pPr>
        <w:spacing w:after="80"/>
      </w:pPr>
    </w:p>
    <w:p>
      <w:pPr>
        <w:spacing w:after="80" w:before="60"/>
        <w:jc w:val="both"/>
      </w:pPr>
      <w:r>
        <w:rPr>
          <w:rFonts w:ascii="Arial" w:cs="Arial" w:eastAsia="Arial" w:hAnsi="Arial"/>
          <w:color w:val="1C1C1C"/>
          <w:sz w:val="20"/>
          <w:szCs w:val="20"/>
        </w:rPr>
        <w:t xml:space="preserve">This Brand &amp; Market Intelligence Report evaluates the strength, positioning, and growth trajectory of the Nahdi Kuzhimandi brand across the Kerala QSR landscape. Drawing on a mixed-method research programme spanning consumer surveys, focus groups, mystery dining visits, social listening analytics, and expert interviews, this report provides a 360-degree view of how Nahdi is perceived, why customers choose and return to it, and where material opportunities and vulnerabilities lie.</w:t>
      </w:r>
    </w:p>
    <w:p>
      <w:pPr>
        <w:spacing w:after="60"/>
      </w:pPr>
    </w:p>
    <w:p>
      <w:pPr>
        <w:spacing w:after="80" w:before="60"/>
        <w:jc w:val="both"/>
      </w:pPr>
      <w:r>
        <w:rPr>
          <w:rFonts w:ascii="Arial" w:cs="Arial" w:eastAsia="Arial" w:hAnsi="Arial"/>
          <w:color w:val="1C1C1C"/>
          <w:sz w:val="20"/>
          <w:szCs w:val="20"/>
        </w:rPr>
        <w:t xml:space="preserve">The core finding is that Nahdi has established an enviable brand position as the de facto 'authentic Arabian Mandi' experience in Malabar — a category it has largely defined for the mainstream Kerala consumer. Brand awareness in the Malappuram-Kozhikode belt is at 74%, brand preference among Mandi occasion-seekers is at 52%, and the Net Promoter Score (NPS) of +61 puts Nahdi firmly in the 'excellent' category for the food services industry.</w:t>
      </w:r>
    </w:p>
    <w:p>
      <w:pPr>
        <w:spacing w:after="60"/>
      </w:pPr>
    </w:p>
    <w:p>
      <w:pPr>
        <w:spacing w:after="80" w:before="60"/>
        <w:jc w:val="both"/>
      </w:pPr>
      <w:r>
        <w:rPr>
          <w:rFonts w:ascii="Arial" w:cs="Arial" w:eastAsia="Arial" w:hAnsi="Arial"/>
          <w:color w:val="1C1C1C"/>
          <w:sz w:val="20"/>
          <w:szCs w:val="20"/>
        </w:rPr>
        <w:t xml:space="preserve">The principal strategic opportunity lies in converting high brand affinity into a loyalty ecosystem, expanding into under-served southern Kerala districts (Thrissur, Kochi), and capturing the growing segment of non-Malayali consumers in Bengaluru who are discovering Mandi via their Keralite colleagues and social networks.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8D5CF" w:sz="1"/>
              <w:left w:val="single" w:color="C8D5CF" w:sz="1"/>
              <w:bottom w:val="single" w:color="C8D5CF" w:sz="1"/>
              <w:right w:val="single" w:color="C8D5CF" w:sz="1"/>
            </w:tcBorders>
            <w:shd w:fill="F0F4F2" w:val="clear"/>
            <w:tcMar>
              <w:top w:type="dxa" w:w="120"/>
              <w:left w:type="dxa" w:w="140"/>
              <w:bottom w:type="dxa" w:w="120"/>
              <w:right w:type="dxa" w:w="140"/>
            </w:tcMar>
          </w:tcPr>
          <w:p>
            <w:pPr>
              <w:jc w:val="center"/>
            </w:pPr>
            <w:r>
              <w:rPr>
                <w:rFonts w:ascii="Arial" w:cs="Arial" w:eastAsia="Arial" w:hAnsi="Arial"/>
                <w:b/>
                <w:bCs/>
                <w:color w:val="0B5345"/>
                <w:sz w:val="36"/>
                <w:szCs w:val="36"/>
              </w:rPr>
              <w:t xml:space="preserve">74%</w:t>
            </w:r>
          </w:p>
          <w:p>
            <w:pPr>
              <w:jc w:val="center"/>
            </w:pPr>
            <w:r>
              <w:rPr>
                <w:rFonts w:ascii="Arial" w:cs="Arial" w:eastAsia="Arial" w:hAnsi="Arial"/>
                <w:b/>
                <w:bCs/>
                <w:color w:val="444444"/>
                <w:sz w:val="17"/>
                <w:szCs w:val="17"/>
              </w:rPr>
              <w:t xml:space="preserve">Aided Brand Awareness</w:t>
            </w:r>
          </w:p>
          <w:p>
            <w:pPr>
              <w:jc w:val="center"/>
            </w:pPr>
            <w:r>
              <w:rPr>
                <w:rFonts w:ascii="Arial" w:cs="Arial" w:eastAsia="Arial" w:hAnsi="Arial"/>
                <w:i/>
                <w:iCs/>
                <w:color w:val="888888"/>
                <w:sz w:val="15"/>
                <w:szCs w:val="15"/>
              </w:rPr>
              <w:t xml:space="preserve">Malappuram-Kozhikode belt</w:t>
            </w:r>
          </w:p>
        </w:tc>
        <w:tc>
          <w:tcPr>
            <w:tcW w:type="dxa" w:w="2340"/>
            <w:tcBorders>
              <w:top w:val="single" w:color="C8D5CF" w:sz="1"/>
              <w:left w:val="single" w:color="C8D5CF" w:sz="1"/>
              <w:bottom w:val="single" w:color="C8D5CF" w:sz="1"/>
              <w:right w:val="single" w:color="C8D5CF" w:sz="1"/>
            </w:tcBorders>
            <w:shd w:fill="F0F4F2" w:val="clear"/>
            <w:tcMar>
              <w:top w:type="dxa" w:w="120"/>
              <w:left w:type="dxa" w:w="140"/>
              <w:bottom w:type="dxa" w:w="120"/>
              <w:right w:type="dxa" w:w="140"/>
            </w:tcMar>
          </w:tcPr>
          <w:p>
            <w:pPr>
              <w:jc w:val="center"/>
            </w:pPr>
            <w:r>
              <w:rPr>
                <w:rFonts w:ascii="Arial" w:cs="Arial" w:eastAsia="Arial" w:hAnsi="Arial"/>
                <w:b/>
                <w:bCs/>
                <w:color w:val="1E6B45"/>
                <w:sz w:val="36"/>
                <w:szCs w:val="36"/>
              </w:rPr>
              <w:t xml:space="preserve">+61</w:t>
            </w:r>
          </w:p>
          <w:p>
            <w:pPr>
              <w:jc w:val="center"/>
            </w:pPr>
            <w:r>
              <w:rPr>
                <w:rFonts w:ascii="Arial" w:cs="Arial" w:eastAsia="Arial" w:hAnsi="Arial"/>
                <w:b/>
                <w:bCs/>
                <w:color w:val="444444"/>
                <w:sz w:val="17"/>
                <w:szCs w:val="17"/>
              </w:rPr>
              <w:t xml:space="preserve">Net Promoter Score</w:t>
            </w:r>
          </w:p>
          <w:p>
            <w:pPr>
              <w:jc w:val="center"/>
            </w:pPr>
            <w:r>
              <w:rPr>
                <w:rFonts w:ascii="Arial" w:cs="Arial" w:eastAsia="Arial" w:hAnsi="Arial"/>
                <w:i/>
                <w:iCs/>
                <w:color w:val="888888"/>
                <w:sz w:val="15"/>
                <w:szCs w:val="15"/>
              </w:rPr>
              <w:t xml:space="preserve">Industry avg: +38</w:t>
            </w:r>
          </w:p>
        </w:tc>
        <w:tc>
          <w:tcPr>
            <w:tcW w:type="dxa" w:w="2340"/>
            <w:tcBorders>
              <w:top w:val="single" w:color="C8D5CF" w:sz="1"/>
              <w:left w:val="single" w:color="C8D5CF" w:sz="1"/>
              <w:bottom w:val="single" w:color="C8D5CF" w:sz="1"/>
              <w:right w:val="single" w:color="C8D5CF" w:sz="1"/>
            </w:tcBorders>
            <w:shd w:fill="F0F4F2" w:val="clear"/>
            <w:tcMar>
              <w:top w:type="dxa" w:w="120"/>
              <w:left w:type="dxa" w:w="140"/>
              <w:bottom w:type="dxa" w:w="120"/>
              <w:right w:type="dxa" w:w="140"/>
            </w:tcMar>
          </w:tcPr>
          <w:p>
            <w:pPr>
              <w:jc w:val="center"/>
            </w:pPr>
            <w:r>
              <w:rPr>
                <w:rFonts w:ascii="Arial" w:cs="Arial" w:eastAsia="Arial" w:hAnsi="Arial"/>
                <w:b/>
                <w:bCs/>
                <w:color w:val="0B5345"/>
                <w:sz w:val="36"/>
                <w:szCs w:val="36"/>
              </w:rPr>
              <w:t xml:space="preserve">58%</w:t>
            </w:r>
          </w:p>
          <w:p>
            <w:pPr>
              <w:jc w:val="center"/>
            </w:pPr>
            <w:r>
              <w:rPr>
                <w:rFonts w:ascii="Arial" w:cs="Arial" w:eastAsia="Arial" w:hAnsi="Arial"/>
                <w:b/>
                <w:bCs/>
                <w:color w:val="444444"/>
                <w:sz w:val="17"/>
                <w:szCs w:val="17"/>
              </w:rPr>
              <w:t xml:space="preserve">Repeat Visit Rate</w:t>
            </w:r>
          </w:p>
          <w:p>
            <w:pPr>
              <w:jc w:val="center"/>
            </w:pPr>
            <w:r>
              <w:rPr>
                <w:rFonts w:ascii="Arial" w:cs="Arial" w:eastAsia="Arial" w:hAnsi="Arial"/>
                <w:i/>
                <w:iCs/>
                <w:color w:val="888888"/>
                <w:sz w:val="15"/>
                <w:szCs w:val="15"/>
              </w:rPr>
              <w:t xml:space="preserve">Within 30 days</w:t>
            </w:r>
          </w:p>
        </w:tc>
        <w:tc>
          <w:tcPr>
            <w:tcW w:type="dxa" w:w="2340"/>
            <w:tcBorders>
              <w:top w:val="single" w:color="C8D5CF" w:sz="1"/>
              <w:left w:val="single" w:color="C8D5CF" w:sz="1"/>
              <w:bottom w:val="single" w:color="C8D5CF" w:sz="1"/>
              <w:right w:val="single" w:color="C8D5CF" w:sz="1"/>
            </w:tcBorders>
            <w:shd w:fill="F0F4F2" w:val="clear"/>
            <w:tcMar>
              <w:top w:type="dxa" w:w="120"/>
              <w:left w:type="dxa" w:w="140"/>
              <w:bottom w:type="dxa" w:w="120"/>
              <w:right w:type="dxa" w:w="140"/>
            </w:tcMar>
          </w:tcPr>
          <w:p>
            <w:pPr>
              <w:jc w:val="center"/>
            </w:pPr>
            <w:r>
              <w:rPr>
                <w:rFonts w:ascii="Arial" w:cs="Arial" w:eastAsia="Arial" w:hAnsi="Arial"/>
                <w:b/>
                <w:bCs/>
                <w:color w:val="1E6B45"/>
                <w:sz w:val="36"/>
                <w:szCs w:val="36"/>
              </w:rPr>
              <w:t xml:space="preserve">52%</w:t>
            </w:r>
          </w:p>
          <w:p>
            <w:pPr>
              <w:jc w:val="center"/>
            </w:pPr>
            <w:r>
              <w:rPr>
                <w:rFonts w:ascii="Arial" w:cs="Arial" w:eastAsia="Arial" w:hAnsi="Arial"/>
                <w:b/>
                <w:bCs/>
                <w:color w:val="444444"/>
                <w:sz w:val="17"/>
                <w:szCs w:val="17"/>
              </w:rPr>
              <w:t xml:space="preserve">Brand Preference (Mandi)</w:t>
            </w:r>
          </w:p>
          <w:p>
            <w:pPr>
              <w:jc w:val="center"/>
            </w:pPr>
            <w:r>
              <w:rPr>
                <w:rFonts w:ascii="Arial" w:cs="Arial" w:eastAsia="Arial" w:hAnsi="Arial"/>
                <w:i/>
                <w:iCs/>
                <w:color w:val="888888"/>
                <w:sz w:val="15"/>
                <w:szCs w:val="15"/>
              </w:rPr>
              <w:t xml:space="preserve">vs. nearest rival at 14%</w:t>
            </w:r>
          </w:p>
        </w:tc>
      </w:tr>
    </w:tbl>
    <w:p>
      <w:r>
        <w:br w:type="page"/>
      </w:r>
    </w:p>
    <w:p>
      <w:pPr>
        <w:pBdr>
          <w:bottom w:val="single" w:color="B7600A" w:sz="8" w:space="0"/>
        </w:pBdr>
        <w:shd w:fill="0B5345" w:val="clear"/>
        <w:spacing w:after="0" w:before="320"/>
      </w:pPr>
      <w:r>
        <w:rPr>
          <w:rFonts w:ascii="Arial" w:cs="Arial" w:eastAsia="Arial" w:hAnsi="Arial"/>
          <w:b/>
          <w:bCs/>
          <w:color w:val="FFFFFF"/>
          <w:sz w:val="30"/>
          <w:szCs w:val="30"/>
        </w:rPr>
        <w:t xml:space="preserve">  1.  MARKET CONTEXT — ARABIAN QSR IN KERALA</w:t>
      </w:r>
    </w:p>
    <w:p>
      <w:pPr>
        <w:spacing w:after="80"/>
      </w:pPr>
    </w:p>
    <w:p>
      <w:pPr>
        <w:pBdr>
          <w:bottom w:val="single" w:color="B7600A" w:sz="3" w:space="1"/>
        </w:pBdr>
        <w:spacing w:after="80" w:before="180"/>
      </w:pPr>
      <w:r>
        <w:rPr>
          <w:rFonts w:ascii="Arial" w:cs="Arial" w:eastAsia="Arial" w:hAnsi="Arial"/>
          <w:b/>
          <w:bCs/>
          <w:color w:val="0B5345"/>
          <w:sz w:val="22"/>
          <w:szCs w:val="22"/>
        </w:rPr>
        <w:t xml:space="preserve">1.1  Market Size &amp; Dynamics</w:t>
      </w:r>
    </w:p>
    <w:p>
      <w:pPr>
        <w:spacing w:after="80" w:before="60"/>
        <w:jc w:val="both"/>
      </w:pPr>
      <w:r>
        <w:rPr>
          <w:rFonts w:ascii="Arial" w:cs="Arial" w:eastAsia="Arial" w:hAnsi="Arial"/>
          <w:color w:val="1C1C1C"/>
          <w:sz w:val="20"/>
          <w:szCs w:val="20"/>
        </w:rPr>
        <w:t xml:space="preserve">The Arabian cuisine market in Kerala is a direct product of the state's Gulf Remittance Economy. An estimated 2.1 million Keralites work in GCC countries at any given time, with the majority returning home periodically for extended stays. These returning NRIs bring consumption habits shaped by Gulf food culture — including a deep fondness for Mandi, Kabsa, Al Faham, and Harees — which have gradually diffused into the mainstream Kerala food culture, especially in Muslim-majority districts such as Malappuram, Kozhikode, and Kannur.</w:t>
      </w:r>
    </w:p>
    <w:p>
      <w:pPr>
        <w:spacing w:after="60"/>
      </w:pPr>
    </w:p>
    <w:p>
      <w:pPr>
        <w:spacing w:after="80" w:before="60"/>
        <w:jc w:val="both"/>
      </w:pPr>
      <w:r>
        <w:rPr>
          <w:rFonts w:ascii="Arial" w:cs="Arial" w:eastAsia="Arial" w:hAnsi="Arial"/>
          <w:color w:val="1C1C1C"/>
          <w:sz w:val="20"/>
          <w:szCs w:val="20"/>
        </w:rPr>
        <w:t xml:space="preserve">The analyst team estimates the organised Arabian QSR market in Kerala at approximately ₹280–₹320 crore in annual revenue for CY 2023, growing at 18–22% per annum. This estimate excludes hotel dining and includes only restaurant/QSR formats. Unorganised operators (street-side and home-delivery only) account for a further ₹150–₹200 crore, making the total Kerala Arabic food market approximately ₹450–₹520 crore.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c>
          <w:tcPr>
            <w:tcW w:type="dxa" w:w="3200"/>
            <w:tcBorders>
              <w:top w:val="single" w:color="C8D5CF" w:sz="1"/>
              <w:left w:val="single" w:color="C8D5CF" w:sz="1"/>
              <w:bottom w:val="single" w:color="C8D5CF" w:sz="1"/>
              <w:right w:val="single" w:color="C8D5CF" w:sz="1"/>
            </w:tcBorders>
            <w:shd w:fill="0B5345"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District</w:t>
            </w:r>
          </w:p>
        </w:tc>
        <w:tc>
          <w:tcPr>
            <w:tcW w:type="dxa" w:w="2080"/>
            <w:tcBorders>
              <w:top w:val="single" w:color="C8D5CF" w:sz="1"/>
              <w:left w:val="single" w:color="C8D5CF" w:sz="1"/>
              <w:bottom w:val="single" w:color="C8D5CF" w:sz="1"/>
              <w:right w:val="single" w:color="C8D5CF" w:sz="1"/>
            </w:tcBorders>
            <w:shd w:fill="0B5345" w:val="clear"/>
            <w:tcMar>
              <w:top w:type="dxa" w:w="80"/>
              <w:left w:type="dxa" w:w="120"/>
              <w:bottom w:type="dxa" w:w="80"/>
              <w:right w:type="dxa" w:w="120"/>
            </w:tcMar>
          </w:tcPr>
          <w:p>
            <w:pPr>
              <w:jc w:val="left"/>
            </w:pPr>
            <w:r>
              <w:rPr>
                <w:rFonts w:ascii="Arial" w:cs="Arial" w:eastAsia="Arial" w:hAnsi="Arial"/>
                <w:b/>
                <w:bCs/>
                <w:color w:val="FFFFFF"/>
                <w:sz w:val="19"/>
                <w:szCs w:val="19"/>
              </w:rPr>
              <w:t xml:space="preserve">QSR Mandi Outlets (Est.)</w:t>
            </w:r>
          </w:p>
        </w:tc>
        <w:tc>
          <w:tcPr>
            <w:tcW w:type="dxa" w:w="2080"/>
            <w:tcBorders>
              <w:top w:val="single" w:color="C8D5CF" w:sz="1"/>
              <w:left w:val="single" w:color="C8D5CF" w:sz="1"/>
              <w:bottom w:val="single" w:color="C8D5CF" w:sz="1"/>
              <w:right w:val="single" w:color="C8D5CF" w:sz="1"/>
            </w:tcBorders>
            <w:shd w:fill="0B5345"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Mkt Size (₹ Cr)</w:t>
            </w:r>
          </w:p>
        </w:tc>
        <w:tc>
          <w:tcPr>
            <w:tcW w:type="dxa" w:w="2000"/>
            <w:tcBorders>
              <w:top w:val="single" w:color="C8D5CF" w:sz="1"/>
              <w:left w:val="single" w:color="C8D5CF" w:sz="1"/>
              <w:bottom w:val="single" w:color="C8D5CF" w:sz="1"/>
              <w:right w:val="single" w:color="C8D5CF" w:sz="1"/>
            </w:tcBorders>
            <w:shd w:fill="0B5345" w:val="clear"/>
            <w:tcMar>
              <w:top w:type="dxa" w:w="80"/>
              <w:left w:type="dxa" w:w="120"/>
              <w:bottom w:type="dxa" w:w="80"/>
              <w:right w:type="dxa" w:w="120"/>
            </w:tcMar>
          </w:tcPr>
          <w:p>
            <w:pPr>
              <w:jc w:val="left"/>
            </w:pPr>
            <w:r>
              <w:rPr>
                <w:rFonts w:ascii="Arial" w:cs="Arial" w:eastAsia="Arial" w:hAnsi="Arial"/>
                <w:b/>
                <w:bCs/>
                <w:color w:val="FFFFFF"/>
                <w:sz w:val="19"/>
                <w:szCs w:val="19"/>
              </w:rPr>
              <w:t xml:space="preserve">Nahdi Share</w:t>
            </w:r>
          </w:p>
        </w:tc>
      </w:tr>
      <w:tr>
        <w:tc>
          <w:tcPr>
            <w:tcW w:type="dxa" w:w="3200"/>
            <w:tcBorders>
              <w:top w:val="single" w:color="C8D5CF" w:sz="1"/>
              <w:left w:val="single" w:color="C8D5CF" w:sz="1"/>
              <w:bottom w:val="single" w:color="C8D5CF" w:sz="1"/>
              <w:right w:val="single" w:color="C8D5CF"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Malappuram</w:t>
            </w:r>
          </w:p>
        </w:tc>
        <w:tc>
          <w:tcPr>
            <w:tcW w:type="dxa" w:w="2080"/>
            <w:tcBorders>
              <w:top w:val="single" w:color="C8D5CF" w:sz="1"/>
              <w:left w:val="single" w:color="C8D5CF" w:sz="1"/>
              <w:bottom w:val="single" w:color="C8D5CF" w:sz="1"/>
              <w:right w:val="single" w:color="C8D5CF" w:sz="1"/>
            </w:tcBorders>
            <w:shd w:fill="FFFFFF" w:val="clear"/>
            <w:tcMar>
              <w:top w:type="dxa" w:w="80"/>
              <w:left w:type="dxa" w:w="120"/>
              <w:bottom w:type="dxa" w:w="80"/>
              <w:right w:type="dxa" w:w="120"/>
            </w:tcMar>
          </w:tcPr>
          <w:p>
            <w:pPr>
              <w:jc w:val="right"/>
            </w:pPr>
            <w:r>
              <w:rPr>
                <w:rFonts w:ascii="Arial" w:cs="Arial" w:eastAsia="Arial" w:hAnsi="Arial"/>
                <w:b w:val="false"/>
                <w:bCs w:val="false"/>
                <w:color w:val="1C1C1C"/>
                <w:sz w:val="19"/>
                <w:szCs w:val="19"/>
              </w:rPr>
              <w:t xml:space="preserve">28</w:t>
            </w:r>
          </w:p>
        </w:tc>
        <w:tc>
          <w:tcPr>
            <w:tcW w:type="dxa" w:w="2080"/>
            <w:tcBorders>
              <w:top w:val="single" w:color="C8D5CF" w:sz="1"/>
              <w:left w:val="single" w:color="C8D5CF" w:sz="1"/>
              <w:bottom w:val="single" w:color="C8D5CF" w:sz="1"/>
              <w:right w:val="single" w:color="C8D5CF" w:sz="1"/>
            </w:tcBorders>
            <w:shd w:fill="FFFFFF" w:val="clear"/>
            <w:tcMar>
              <w:top w:type="dxa" w:w="80"/>
              <w:left w:type="dxa" w:w="120"/>
              <w:bottom w:type="dxa" w:w="80"/>
              <w:right w:type="dxa" w:w="120"/>
            </w:tcMar>
          </w:tcPr>
          <w:p>
            <w:pPr>
              <w:jc w:val="right"/>
            </w:pPr>
            <w:r>
              <w:rPr>
                <w:rFonts w:ascii="Arial" w:cs="Arial" w:eastAsia="Arial" w:hAnsi="Arial"/>
                <w:b w:val="false"/>
                <w:bCs w:val="false"/>
                <w:color w:val="1C1C1C"/>
                <w:sz w:val="19"/>
                <w:szCs w:val="19"/>
              </w:rPr>
              <w:t xml:space="preserve">54</w:t>
            </w:r>
          </w:p>
        </w:tc>
        <w:tc>
          <w:tcPr>
            <w:tcW w:type="dxa" w:w="2000"/>
            <w:tcBorders>
              <w:top w:val="single" w:color="C8D5CF" w:sz="1"/>
              <w:left w:val="single" w:color="C8D5CF" w:sz="1"/>
              <w:bottom w:val="single" w:color="C8D5CF" w:sz="1"/>
              <w:right w:val="single" w:color="C8D5CF" w:sz="1"/>
            </w:tcBorders>
            <w:shd w:fill="FFFFFF" w:val="clear"/>
            <w:tcMar>
              <w:top w:type="dxa" w:w="80"/>
              <w:left w:type="dxa" w:w="120"/>
              <w:bottom w:type="dxa" w:w="80"/>
              <w:right w:type="dxa" w:w="120"/>
            </w:tcMar>
          </w:tcPr>
          <w:p>
            <w:pPr>
              <w:jc w:val="right"/>
            </w:pPr>
            <w:r>
              <w:rPr>
                <w:rFonts w:ascii="Arial" w:cs="Arial" w:eastAsia="Arial" w:hAnsi="Arial"/>
                <w:b w:val="false"/>
                <w:bCs w:val="false"/>
                <w:color w:val="1E6B45"/>
                <w:sz w:val="19"/>
                <w:szCs w:val="19"/>
              </w:rPr>
              <w:t xml:space="preserve">~42%</w:t>
            </w:r>
          </w:p>
        </w:tc>
      </w:tr>
      <w:tr>
        <w:tc>
          <w:tcPr>
            <w:tcW w:type="dxa" w:w="3200"/>
            <w:tcBorders>
              <w:top w:val="single" w:color="C8D5CF" w:sz="1"/>
              <w:left w:val="single" w:color="C8D5CF" w:sz="1"/>
              <w:bottom w:val="single" w:color="C8D5CF" w:sz="1"/>
              <w:right w:val="single" w:color="C8D5CF" w:sz="1"/>
            </w:tcBorders>
            <w:shd w:fill="F0F4F2"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Kozhikode</w:t>
            </w:r>
          </w:p>
        </w:tc>
        <w:tc>
          <w:tcPr>
            <w:tcW w:type="dxa" w:w="2080"/>
            <w:tcBorders>
              <w:top w:val="single" w:color="C8D5CF" w:sz="1"/>
              <w:left w:val="single" w:color="C8D5CF" w:sz="1"/>
              <w:bottom w:val="single" w:color="C8D5CF" w:sz="1"/>
              <w:right w:val="single" w:color="C8D5CF" w:sz="1"/>
            </w:tcBorders>
            <w:shd w:fill="F0F4F2" w:val="clear"/>
            <w:tcMar>
              <w:top w:type="dxa" w:w="80"/>
              <w:left w:type="dxa" w:w="120"/>
              <w:bottom w:type="dxa" w:w="80"/>
              <w:right w:type="dxa" w:w="120"/>
            </w:tcMar>
          </w:tcPr>
          <w:p>
            <w:pPr>
              <w:jc w:val="right"/>
            </w:pPr>
            <w:r>
              <w:rPr>
                <w:rFonts w:ascii="Arial" w:cs="Arial" w:eastAsia="Arial" w:hAnsi="Arial"/>
                <w:b w:val="false"/>
                <w:bCs w:val="false"/>
                <w:color w:val="1C1C1C"/>
                <w:sz w:val="19"/>
                <w:szCs w:val="19"/>
              </w:rPr>
              <w:t xml:space="preserve">22</w:t>
            </w:r>
          </w:p>
        </w:tc>
        <w:tc>
          <w:tcPr>
            <w:tcW w:type="dxa" w:w="2080"/>
            <w:tcBorders>
              <w:top w:val="single" w:color="C8D5CF" w:sz="1"/>
              <w:left w:val="single" w:color="C8D5CF" w:sz="1"/>
              <w:bottom w:val="single" w:color="C8D5CF" w:sz="1"/>
              <w:right w:val="single" w:color="C8D5CF" w:sz="1"/>
            </w:tcBorders>
            <w:shd w:fill="F0F4F2" w:val="clear"/>
            <w:tcMar>
              <w:top w:type="dxa" w:w="80"/>
              <w:left w:type="dxa" w:w="120"/>
              <w:bottom w:type="dxa" w:w="80"/>
              <w:right w:type="dxa" w:w="120"/>
            </w:tcMar>
          </w:tcPr>
          <w:p>
            <w:pPr>
              <w:jc w:val="right"/>
            </w:pPr>
            <w:r>
              <w:rPr>
                <w:rFonts w:ascii="Arial" w:cs="Arial" w:eastAsia="Arial" w:hAnsi="Arial"/>
                <w:b w:val="false"/>
                <w:bCs w:val="false"/>
                <w:color w:val="1C1C1C"/>
                <w:sz w:val="19"/>
                <w:szCs w:val="19"/>
              </w:rPr>
              <w:t xml:space="preserve">48</w:t>
            </w:r>
          </w:p>
        </w:tc>
        <w:tc>
          <w:tcPr>
            <w:tcW w:type="dxa" w:w="2000"/>
            <w:tcBorders>
              <w:top w:val="single" w:color="C8D5CF" w:sz="1"/>
              <w:left w:val="single" w:color="C8D5CF" w:sz="1"/>
              <w:bottom w:val="single" w:color="C8D5CF" w:sz="1"/>
              <w:right w:val="single" w:color="C8D5CF" w:sz="1"/>
            </w:tcBorders>
            <w:shd w:fill="F0F4F2" w:val="clear"/>
            <w:tcMar>
              <w:top w:type="dxa" w:w="80"/>
              <w:left w:type="dxa" w:w="120"/>
              <w:bottom w:type="dxa" w:w="80"/>
              <w:right w:type="dxa" w:w="120"/>
            </w:tcMar>
          </w:tcPr>
          <w:p>
            <w:pPr>
              <w:jc w:val="right"/>
            </w:pPr>
            <w:r>
              <w:rPr>
                <w:rFonts w:ascii="Arial" w:cs="Arial" w:eastAsia="Arial" w:hAnsi="Arial"/>
                <w:b w:val="false"/>
                <w:bCs w:val="false"/>
                <w:color w:val="1E6B45"/>
                <w:sz w:val="19"/>
                <w:szCs w:val="19"/>
              </w:rPr>
              <w:t xml:space="preserve">~24%</w:t>
            </w:r>
          </w:p>
        </w:tc>
      </w:tr>
      <w:tr>
        <w:tc>
          <w:tcPr>
            <w:tcW w:type="dxa" w:w="3200"/>
            <w:tcBorders>
              <w:top w:val="single" w:color="C8D5CF" w:sz="1"/>
              <w:left w:val="single" w:color="C8D5CF" w:sz="1"/>
              <w:bottom w:val="single" w:color="C8D5CF" w:sz="1"/>
              <w:right w:val="single" w:color="C8D5CF"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Kannur</w:t>
            </w:r>
          </w:p>
        </w:tc>
        <w:tc>
          <w:tcPr>
            <w:tcW w:type="dxa" w:w="2080"/>
            <w:tcBorders>
              <w:top w:val="single" w:color="C8D5CF" w:sz="1"/>
              <w:left w:val="single" w:color="C8D5CF" w:sz="1"/>
              <w:bottom w:val="single" w:color="C8D5CF" w:sz="1"/>
              <w:right w:val="single" w:color="C8D5CF" w:sz="1"/>
            </w:tcBorders>
            <w:shd w:fill="FFFFFF" w:val="clear"/>
            <w:tcMar>
              <w:top w:type="dxa" w:w="80"/>
              <w:left w:type="dxa" w:w="120"/>
              <w:bottom w:type="dxa" w:w="80"/>
              <w:right w:type="dxa" w:w="120"/>
            </w:tcMar>
          </w:tcPr>
          <w:p>
            <w:pPr>
              <w:jc w:val="right"/>
            </w:pPr>
            <w:r>
              <w:rPr>
                <w:rFonts w:ascii="Arial" w:cs="Arial" w:eastAsia="Arial" w:hAnsi="Arial"/>
                <w:b w:val="false"/>
                <w:bCs w:val="false"/>
                <w:color w:val="1C1C1C"/>
                <w:sz w:val="19"/>
                <w:szCs w:val="19"/>
              </w:rPr>
              <w:t xml:space="preserve">14</w:t>
            </w:r>
          </w:p>
        </w:tc>
        <w:tc>
          <w:tcPr>
            <w:tcW w:type="dxa" w:w="2080"/>
            <w:tcBorders>
              <w:top w:val="single" w:color="C8D5CF" w:sz="1"/>
              <w:left w:val="single" w:color="C8D5CF" w:sz="1"/>
              <w:bottom w:val="single" w:color="C8D5CF" w:sz="1"/>
              <w:right w:val="single" w:color="C8D5CF" w:sz="1"/>
            </w:tcBorders>
            <w:shd w:fill="FFFFFF" w:val="clear"/>
            <w:tcMar>
              <w:top w:type="dxa" w:w="80"/>
              <w:left w:type="dxa" w:w="120"/>
              <w:bottom w:type="dxa" w:w="80"/>
              <w:right w:type="dxa" w:w="120"/>
            </w:tcMar>
          </w:tcPr>
          <w:p>
            <w:pPr>
              <w:jc w:val="right"/>
            </w:pPr>
            <w:r>
              <w:rPr>
                <w:rFonts w:ascii="Arial" w:cs="Arial" w:eastAsia="Arial" w:hAnsi="Arial"/>
                <w:b w:val="false"/>
                <w:bCs w:val="false"/>
                <w:color w:val="1C1C1C"/>
                <w:sz w:val="19"/>
                <w:szCs w:val="19"/>
              </w:rPr>
              <w:t xml:space="preserve">28</w:t>
            </w:r>
          </w:p>
        </w:tc>
        <w:tc>
          <w:tcPr>
            <w:tcW w:type="dxa" w:w="2000"/>
            <w:tcBorders>
              <w:top w:val="single" w:color="C8D5CF" w:sz="1"/>
              <w:left w:val="single" w:color="C8D5CF" w:sz="1"/>
              <w:bottom w:val="single" w:color="C8D5CF" w:sz="1"/>
              <w:right w:val="single" w:color="C8D5CF" w:sz="1"/>
            </w:tcBorders>
            <w:shd w:fill="FFFFFF" w:val="clear"/>
            <w:tcMar>
              <w:top w:type="dxa" w:w="80"/>
              <w:left w:type="dxa" w:w="120"/>
              <w:bottom w:type="dxa" w:w="80"/>
              <w:right w:type="dxa" w:w="120"/>
            </w:tcMar>
          </w:tcPr>
          <w:p>
            <w:pPr>
              <w:jc w:val="right"/>
            </w:pPr>
            <w:r>
              <w:rPr>
                <w:rFonts w:ascii="Arial" w:cs="Arial" w:eastAsia="Arial" w:hAnsi="Arial"/>
                <w:b w:val="false"/>
                <w:bCs w:val="false"/>
                <w:color w:val="C0760A"/>
                <w:sz w:val="19"/>
                <w:szCs w:val="19"/>
              </w:rPr>
              <w:t xml:space="preserve">~18%</w:t>
            </w:r>
          </w:p>
        </w:tc>
      </w:tr>
      <w:tr>
        <w:tc>
          <w:tcPr>
            <w:tcW w:type="dxa" w:w="3200"/>
            <w:tcBorders>
              <w:top w:val="single" w:color="C8D5CF" w:sz="1"/>
              <w:left w:val="single" w:color="C8D5CF" w:sz="1"/>
              <w:bottom w:val="single" w:color="C8D5CF" w:sz="1"/>
              <w:right w:val="single" w:color="C8D5CF" w:sz="1"/>
            </w:tcBorders>
            <w:shd w:fill="F0F4F2"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Palakkad</w:t>
            </w:r>
          </w:p>
        </w:tc>
        <w:tc>
          <w:tcPr>
            <w:tcW w:type="dxa" w:w="2080"/>
            <w:tcBorders>
              <w:top w:val="single" w:color="C8D5CF" w:sz="1"/>
              <w:left w:val="single" w:color="C8D5CF" w:sz="1"/>
              <w:bottom w:val="single" w:color="C8D5CF" w:sz="1"/>
              <w:right w:val="single" w:color="C8D5CF" w:sz="1"/>
            </w:tcBorders>
            <w:shd w:fill="F0F4F2" w:val="clear"/>
            <w:tcMar>
              <w:top w:type="dxa" w:w="80"/>
              <w:left w:type="dxa" w:w="120"/>
              <w:bottom w:type="dxa" w:w="80"/>
              <w:right w:type="dxa" w:w="120"/>
            </w:tcMar>
          </w:tcPr>
          <w:p>
            <w:pPr>
              <w:jc w:val="right"/>
            </w:pPr>
            <w:r>
              <w:rPr>
                <w:rFonts w:ascii="Arial" w:cs="Arial" w:eastAsia="Arial" w:hAnsi="Arial"/>
                <w:b w:val="false"/>
                <w:bCs w:val="false"/>
                <w:color w:val="1C1C1C"/>
                <w:sz w:val="19"/>
                <w:szCs w:val="19"/>
              </w:rPr>
              <w:t xml:space="preserve">9</w:t>
            </w:r>
          </w:p>
        </w:tc>
        <w:tc>
          <w:tcPr>
            <w:tcW w:type="dxa" w:w="2080"/>
            <w:tcBorders>
              <w:top w:val="single" w:color="C8D5CF" w:sz="1"/>
              <w:left w:val="single" w:color="C8D5CF" w:sz="1"/>
              <w:bottom w:val="single" w:color="C8D5CF" w:sz="1"/>
              <w:right w:val="single" w:color="C8D5CF" w:sz="1"/>
            </w:tcBorders>
            <w:shd w:fill="F0F4F2" w:val="clear"/>
            <w:tcMar>
              <w:top w:type="dxa" w:w="80"/>
              <w:left w:type="dxa" w:w="120"/>
              <w:bottom w:type="dxa" w:w="80"/>
              <w:right w:type="dxa" w:w="120"/>
            </w:tcMar>
          </w:tcPr>
          <w:p>
            <w:pPr>
              <w:jc w:val="right"/>
            </w:pPr>
            <w:r>
              <w:rPr>
                <w:rFonts w:ascii="Arial" w:cs="Arial" w:eastAsia="Arial" w:hAnsi="Arial"/>
                <w:b w:val="false"/>
                <w:bCs w:val="false"/>
                <w:color w:val="1C1C1C"/>
                <w:sz w:val="19"/>
                <w:szCs w:val="19"/>
              </w:rPr>
              <w:t xml:space="preserve">18</w:t>
            </w:r>
          </w:p>
        </w:tc>
        <w:tc>
          <w:tcPr>
            <w:tcW w:type="dxa" w:w="2000"/>
            <w:tcBorders>
              <w:top w:val="single" w:color="C8D5CF" w:sz="1"/>
              <w:left w:val="single" w:color="C8D5CF" w:sz="1"/>
              <w:bottom w:val="single" w:color="C8D5CF" w:sz="1"/>
              <w:right w:val="single" w:color="C8D5CF" w:sz="1"/>
            </w:tcBorders>
            <w:shd w:fill="F0F4F2" w:val="clear"/>
            <w:tcMar>
              <w:top w:type="dxa" w:w="80"/>
              <w:left w:type="dxa" w:w="120"/>
              <w:bottom w:type="dxa" w:w="80"/>
              <w:right w:type="dxa" w:w="120"/>
            </w:tcMar>
          </w:tcPr>
          <w:p>
            <w:pPr>
              <w:jc w:val="right"/>
            </w:pPr>
            <w:r>
              <w:rPr>
                <w:rFonts w:ascii="Arial" w:cs="Arial" w:eastAsia="Arial" w:hAnsi="Arial"/>
                <w:b w:val="false"/>
                <w:bCs w:val="false"/>
                <w:color w:val="C0760A"/>
                <w:sz w:val="19"/>
                <w:szCs w:val="19"/>
              </w:rPr>
              <w:t xml:space="preserve">~20%</w:t>
            </w:r>
          </w:p>
        </w:tc>
      </w:tr>
      <w:tr>
        <w:tc>
          <w:tcPr>
            <w:tcW w:type="dxa" w:w="3200"/>
            <w:tcBorders>
              <w:top w:val="single" w:color="C8D5CF" w:sz="1"/>
              <w:left w:val="single" w:color="C8D5CF" w:sz="1"/>
              <w:bottom w:val="single" w:color="C8D5CF" w:sz="1"/>
              <w:right w:val="single" w:color="C8D5CF"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Thrissur</w:t>
            </w:r>
          </w:p>
        </w:tc>
        <w:tc>
          <w:tcPr>
            <w:tcW w:type="dxa" w:w="2080"/>
            <w:tcBorders>
              <w:top w:val="single" w:color="C8D5CF" w:sz="1"/>
              <w:left w:val="single" w:color="C8D5CF" w:sz="1"/>
              <w:bottom w:val="single" w:color="C8D5CF" w:sz="1"/>
              <w:right w:val="single" w:color="C8D5CF" w:sz="1"/>
            </w:tcBorders>
            <w:shd w:fill="FFFFFF" w:val="clear"/>
            <w:tcMar>
              <w:top w:type="dxa" w:w="80"/>
              <w:left w:type="dxa" w:w="120"/>
              <w:bottom w:type="dxa" w:w="80"/>
              <w:right w:type="dxa" w:w="120"/>
            </w:tcMar>
          </w:tcPr>
          <w:p>
            <w:pPr>
              <w:jc w:val="right"/>
            </w:pPr>
            <w:r>
              <w:rPr>
                <w:rFonts w:ascii="Arial" w:cs="Arial" w:eastAsia="Arial" w:hAnsi="Arial"/>
                <w:b w:val="false"/>
                <w:bCs w:val="false"/>
                <w:color w:val="1C1C1C"/>
                <w:sz w:val="19"/>
                <w:szCs w:val="19"/>
              </w:rPr>
              <w:t xml:space="preserve">11</w:t>
            </w:r>
          </w:p>
        </w:tc>
        <w:tc>
          <w:tcPr>
            <w:tcW w:type="dxa" w:w="2080"/>
            <w:tcBorders>
              <w:top w:val="single" w:color="C8D5CF" w:sz="1"/>
              <w:left w:val="single" w:color="C8D5CF" w:sz="1"/>
              <w:bottom w:val="single" w:color="C8D5CF" w:sz="1"/>
              <w:right w:val="single" w:color="C8D5CF" w:sz="1"/>
            </w:tcBorders>
            <w:shd w:fill="FFFFFF" w:val="clear"/>
            <w:tcMar>
              <w:top w:type="dxa" w:w="80"/>
              <w:left w:type="dxa" w:w="120"/>
              <w:bottom w:type="dxa" w:w="80"/>
              <w:right w:type="dxa" w:w="120"/>
            </w:tcMar>
          </w:tcPr>
          <w:p>
            <w:pPr>
              <w:jc w:val="right"/>
            </w:pPr>
            <w:r>
              <w:rPr>
                <w:rFonts w:ascii="Arial" w:cs="Arial" w:eastAsia="Arial" w:hAnsi="Arial"/>
                <w:b w:val="false"/>
                <w:bCs w:val="false"/>
                <w:color w:val="1C1C1C"/>
                <w:sz w:val="19"/>
                <w:szCs w:val="19"/>
              </w:rPr>
              <w:t xml:space="preserve">24</w:t>
            </w:r>
          </w:p>
        </w:tc>
        <w:tc>
          <w:tcPr>
            <w:tcW w:type="dxa" w:w="2000"/>
            <w:tcBorders>
              <w:top w:val="single" w:color="C8D5CF" w:sz="1"/>
              <w:left w:val="single" w:color="C8D5CF" w:sz="1"/>
              <w:bottom w:val="single" w:color="C8D5CF" w:sz="1"/>
              <w:right w:val="single" w:color="C8D5CF" w:sz="1"/>
            </w:tcBorders>
            <w:shd w:fill="FFFFFF" w:val="clear"/>
            <w:tcMar>
              <w:top w:type="dxa" w:w="80"/>
              <w:left w:type="dxa" w:w="120"/>
              <w:bottom w:type="dxa" w:w="80"/>
              <w:right w:type="dxa" w:w="120"/>
            </w:tcMar>
          </w:tcPr>
          <w:p>
            <w:pPr>
              <w:jc w:val="right"/>
            </w:pPr>
            <w:r>
              <w:rPr>
                <w:rFonts w:ascii="Arial" w:cs="Arial" w:eastAsia="Arial" w:hAnsi="Arial"/>
                <w:b w:val="false"/>
                <w:bCs w:val="false"/>
                <w:color w:val="A93226"/>
                <w:sz w:val="19"/>
                <w:szCs w:val="19"/>
              </w:rPr>
              <w:t xml:space="preserve">~8%</w:t>
            </w:r>
          </w:p>
        </w:tc>
      </w:tr>
      <w:tr>
        <w:tc>
          <w:tcPr>
            <w:tcW w:type="dxa" w:w="3200"/>
            <w:tcBorders>
              <w:top w:val="single" w:color="C8D5CF" w:sz="1"/>
              <w:left w:val="single" w:color="C8D5CF" w:sz="1"/>
              <w:bottom w:val="single" w:color="C8D5CF" w:sz="1"/>
              <w:right w:val="single" w:color="C8D5CF" w:sz="1"/>
            </w:tcBorders>
            <w:shd w:fill="F0F4F2"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Ernakulam / Kochi</w:t>
            </w:r>
          </w:p>
        </w:tc>
        <w:tc>
          <w:tcPr>
            <w:tcW w:type="dxa" w:w="2080"/>
            <w:tcBorders>
              <w:top w:val="single" w:color="C8D5CF" w:sz="1"/>
              <w:left w:val="single" w:color="C8D5CF" w:sz="1"/>
              <w:bottom w:val="single" w:color="C8D5CF" w:sz="1"/>
              <w:right w:val="single" w:color="C8D5CF" w:sz="1"/>
            </w:tcBorders>
            <w:shd w:fill="F0F4F2" w:val="clear"/>
            <w:tcMar>
              <w:top w:type="dxa" w:w="80"/>
              <w:left w:type="dxa" w:w="120"/>
              <w:bottom w:type="dxa" w:w="80"/>
              <w:right w:type="dxa" w:w="120"/>
            </w:tcMar>
          </w:tcPr>
          <w:p>
            <w:pPr>
              <w:jc w:val="right"/>
            </w:pPr>
            <w:r>
              <w:rPr>
                <w:rFonts w:ascii="Arial" w:cs="Arial" w:eastAsia="Arial" w:hAnsi="Arial"/>
                <w:b w:val="false"/>
                <w:bCs w:val="false"/>
                <w:color w:val="1C1C1C"/>
                <w:sz w:val="19"/>
                <w:szCs w:val="19"/>
              </w:rPr>
              <w:t xml:space="preserve">18</w:t>
            </w:r>
          </w:p>
        </w:tc>
        <w:tc>
          <w:tcPr>
            <w:tcW w:type="dxa" w:w="2080"/>
            <w:tcBorders>
              <w:top w:val="single" w:color="C8D5CF" w:sz="1"/>
              <w:left w:val="single" w:color="C8D5CF" w:sz="1"/>
              <w:bottom w:val="single" w:color="C8D5CF" w:sz="1"/>
              <w:right w:val="single" w:color="C8D5CF" w:sz="1"/>
            </w:tcBorders>
            <w:shd w:fill="F0F4F2" w:val="clear"/>
            <w:tcMar>
              <w:top w:type="dxa" w:w="80"/>
              <w:left w:type="dxa" w:w="120"/>
              <w:bottom w:type="dxa" w:w="80"/>
              <w:right w:type="dxa" w:w="120"/>
            </w:tcMar>
          </w:tcPr>
          <w:p>
            <w:pPr>
              <w:jc w:val="right"/>
            </w:pPr>
            <w:r>
              <w:rPr>
                <w:rFonts w:ascii="Arial" w:cs="Arial" w:eastAsia="Arial" w:hAnsi="Arial"/>
                <w:b w:val="false"/>
                <w:bCs w:val="false"/>
                <w:color w:val="1C1C1C"/>
                <w:sz w:val="19"/>
                <w:szCs w:val="19"/>
              </w:rPr>
              <w:t xml:space="preserve">38</w:t>
            </w:r>
          </w:p>
        </w:tc>
        <w:tc>
          <w:tcPr>
            <w:tcW w:type="dxa" w:w="2000"/>
            <w:tcBorders>
              <w:top w:val="single" w:color="C8D5CF" w:sz="1"/>
              <w:left w:val="single" w:color="C8D5CF" w:sz="1"/>
              <w:bottom w:val="single" w:color="C8D5CF" w:sz="1"/>
              <w:right w:val="single" w:color="C8D5CF" w:sz="1"/>
            </w:tcBorders>
            <w:shd w:fill="F0F4F2" w:val="clear"/>
            <w:tcMar>
              <w:top w:type="dxa" w:w="80"/>
              <w:left w:type="dxa" w:w="120"/>
              <w:bottom w:type="dxa" w:w="80"/>
              <w:right w:type="dxa" w:w="120"/>
            </w:tcMar>
          </w:tcPr>
          <w:p>
            <w:pPr>
              <w:jc w:val="right"/>
            </w:pPr>
            <w:r>
              <w:rPr>
                <w:rFonts w:ascii="Arial" w:cs="Arial" w:eastAsia="Arial" w:hAnsi="Arial"/>
                <w:b w:val="false"/>
                <w:bCs w:val="false"/>
                <w:color w:val="A93226"/>
                <w:sz w:val="19"/>
                <w:szCs w:val="19"/>
              </w:rPr>
              <w:t xml:space="preserve">~5%</w:t>
            </w:r>
          </w:p>
        </w:tc>
      </w:tr>
      <w:tr>
        <w:tc>
          <w:tcPr>
            <w:tcW w:type="dxa" w:w="3200"/>
            <w:tcBorders>
              <w:top w:val="single" w:color="C8D5CF" w:sz="1"/>
              <w:left w:val="single" w:color="C8D5CF" w:sz="1"/>
              <w:bottom w:val="single" w:color="C8D5CF" w:sz="1"/>
              <w:right w:val="single" w:color="C8D5CF" w:sz="1"/>
            </w:tcBorders>
            <w:shd w:fill="1A7A68"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TOTAL (6 districts)</w:t>
            </w:r>
          </w:p>
        </w:tc>
        <w:tc>
          <w:tcPr>
            <w:tcW w:type="dxa" w:w="2080"/>
            <w:tcBorders>
              <w:top w:val="single" w:color="C8D5CF" w:sz="1"/>
              <w:left w:val="single" w:color="C8D5CF" w:sz="1"/>
              <w:bottom w:val="single" w:color="C8D5CF" w:sz="1"/>
              <w:right w:val="single" w:color="C8D5CF" w:sz="1"/>
            </w:tcBorders>
            <w:shd w:fill="1A7A68" w:val="clear"/>
            <w:tcMar>
              <w:top w:type="dxa" w:w="80"/>
              <w:left w:type="dxa" w:w="120"/>
              <w:bottom w:type="dxa" w:w="80"/>
              <w:right w:type="dxa" w:w="120"/>
            </w:tcMar>
          </w:tcPr>
          <w:p>
            <w:pPr>
              <w:jc w:val="right"/>
            </w:pPr>
            <w:r>
              <w:rPr>
                <w:rFonts w:ascii="Arial" w:cs="Arial" w:eastAsia="Arial" w:hAnsi="Arial"/>
                <w:b/>
                <w:bCs/>
                <w:color w:val="FFFFFF"/>
                <w:sz w:val="19"/>
                <w:szCs w:val="19"/>
              </w:rPr>
              <w:t xml:space="preserve">102</w:t>
            </w:r>
          </w:p>
        </w:tc>
        <w:tc>
          <w:tcPr>
            <w:tcW w:type="dxa" w:w="2080"/>
            <w:tcBorders>
              <w:top w:val="single" w:color="C8D5CF" w:sz="1"/>
              <w:left w:val="single" w:color="C8D5CF" w:sz="1"/>
              <w:bottom w:val="single" w:color="C8D5CF" w:sz="1"/>
              <w:right w:val="single" w:color="C8D5CF" w:sz="1"/>
            </w:tcBorders>
            <w:shd w:fill="1A7A68" w:val="clear"/>
            <w:tcMar>
              <w:top w:type="dxa" w:w="80"/>
              <w:left w:type="dxa" w:w="120"/>
              <w:bottom w:type="dxa" w:w="80"/>
              <w:right w:type="dxa" w:w="120"/>
            </w:tcMar>
          </w:tcPr>
          <w:p>
            <w:pPr>
              <w:jc w:val="right"/>
            </w:pPr>
            <w:r>
              <w:rPr>
                <w:rFonts w:ascii="Arial" w:cs="Arial" w:eastAsia="Arial" w:hAnsi="Arial"/>
                <w:b/>
                <w:bCs/>
                <w:color w:val="FFFFFF"/>
                <w:sz w:val="19"/>
                <w:szCs w:val="19"/>
              </w:rPr>
              <w:t xml:space="preserve">210</w:t>
            </w:r>
          </w:p>
        </w:tc>
        <w:tc>
          <w:tcPr>
            <w:tcW w:type="dxa" w:w="2000"/>
            <w:tcBorders>
              <w:top w:val="single" w:color="C8D5CF" w:sz="1"/>
              <w:left w:val="single" w:color="C8D5CF" w:sz="1"/>
              <w:bottom w:val="single" w:color="C8D5CF" w:sz="1"/>
              <w:right w:val="single" w:color="C8D5CF" w:sz="1"/>
            </w:tcBorders>
            <w:shd w:fill="1A7A68" w:val="clear"/>
            <w:tcMar>
              <w:top w:type="dxa" w:w="80"/>
              <w:left w:type="dxa" w:w="120"/>
              <w:bottom w:type="dxa" w:w="80"/>
              <w:right w:type="dxa" w:w="120"/>
            </w:tcMar>
          </w:tcPr>
          <w:p>
            <w:pPr>
              <w:jc w:val="right"/>
            </w:pPr>
            <w:r>
              <w:rPr>
                <w:rFonts w:ascii="Arial" w:cs="Arial" w:eastAsia="Arial" w:hAnsi="Arial"/>
                <w:b/>
                <w:bCs/>
                <w:color w:val="FFFFFF"/>
                <w:sz w:val="19"/>
                <w:szCs w:val="19"/>
              </w:rPr>
              <w:t xml:space="preserve">~19%</w:t>
            </w:r>
          </w:p>
        </w:tc>
      </w:tr>
    </w:tbl>
    <w:p>
      <w:pPr>
        <w:spacing w:after="80"/>
      </w:pPr>
    </w:p>
    <w:p>
      <w:pPr>
        <w:spacing w:after="80" w:before="60"/>
        <w:jc w:val="both"/>
      </w:pPr>
      <w:r>
        <w:rPr>
          <w:rFonts w:ascii="Arial" w:cs="Arial" w:eastAsia="Arial" w:hAnsi="Arial"/>
          <w:color w:val="1C1C1C"/>
          <w:sz w:val="20"/>
          <w:szCs w:val="20"/>
        </w:rPr>
        <w:t xml:space="preserve">Nahdi's share concentration in its home districts (Malappuram: 42%, Kozhikode: 24%) versus its relatively low penetration in Thrissur (8%) and Kochi (5%) confirms both the brand's geographic depth in Malabar and the expansion opportunity in the more populous southern districts.</w:t>
      </w:r>
    </w:p>
    <w:p>
      <w:pPr>
        <w:spacing w:after="80"/>
      </w:pPr>
    </w:p>
    <w:p>
      <w:pPr>
        <w:pBdr>
          <w:bottom w:val="single" w:color="B7600A" w:sz="3" w:space="1"/>
        </w:pBdr>
        <w:spacing w:after="80" w:before="180"/>
      </w:pPr>
      <w:r>
        <w:rPr>
          <w:rFonts w:ascii="Arial" w:cs="Arial" w:eastAsia="Arial" w:hAnsi="Arial"/>
          <w:b/>
          <w:bCs/>
          <w:color w:val="0B5345"/>
          <w:sz w:val="22"/>
          <w:szCs w:val="22"/>
        </w:rPr>
        <w:t xml:space="preserve">1.2  Consumer Demand Drivers</w:t>
      </w:r>
    </w:p>
    <w:p>
      <w:pPr>
        <w:pStyle w:val="ListParagraph"/>
        <w:numPr>
          <w:ilvl w:val="0"/>
          <w:numId w:val="2"/>
        </w:numPr>
        <w:spacing w:after="50" w:before="50"/>
      </w:pPr>
      <w:r>
        <w:rPr>
          <w:rFonts w:ascii="Arial" w:cs="Arial" w:eastAsia="Arial" w:hAnsi="Arial"/>
          <w:b/>
          <w:bCs/>
          <w:color w:val="1C1C1C"/>
          <w:sz w:val="20"/>
          <w:szCs w:val="20"/>
        </w:rPr>
        <w:t xml:space="preserve">The strongest driver of trial — 64% of first-time Nahdi customers cited a desire to relive a Mandi experience they had while working in or visiting a GCC country. </w:t>
      </w:r>
      <w:r>
        <w:rPr>
          <w:rFonts w:ascii="Arial" w:cs="Arial" w:eastAsia="Arial" w:hAnsi="Arial"/>
          <w:color w:val="1C1C1C"/>
          <w:sz w:val="20"/>
          <w:szCs w:val="20"/>
        </w:rPr>
        <w:t xml:space="preserve">Gulf nostalgia factor:</w:t>
      </w:r>
    </w:p>
    <w:p>
      <w:pPr>
        <w:pStyle w:val="ListParagraph"/>
        <w:numPr>
          <w:ilvl w:val="0"/>
          <w:numId w:val="2"/>
        </w:numPr>
        <w:spacing w:after="50" w:before="50"/>
      </w:pPr>
      <w:r>
        <w:rPr>
          <w:rFonts w:ascii="Arial" w:cs="Arial" w:eastAsia="Arial" w:hAnsi="Arial"/>
          <w:b/>
          <w:bCs/>
          <w:color w:val="1C1C1C"/>
          <w:sz w:val="20"/>
          <w:szCs w:val="20"/>
        </w:rPr>
        <w:t xml:space="preserve">Mandi is primarily a special occasion, family outing, or celebration food for 71% of surveyed customers. This limits visit frequency but drives high per-head spend. </w:t>
      </w:r>
      <w:r>
        <w:rPr>
          <w:rFonts w:ascii="Arial" w:cs="Arial" w:eastAsia="Arial" w:hAnsi="Arial"/>
          <w:color w:val="1C1C1C"/>
          <w:sz w:val="20"/>
          <w:szCs w:val="20"/>
        </w:rPr>
        <w:t xml:space="preserve">Occasion-based consumption:</w:t>
      </w:r>
    </w:p>
    <w:p>
      <w:pPr>
        <w:pStyle w:val="ListParagraph"/>
        <w:numPr>
          <w:ilvl w:val="0"/>
          <w:numId w:val="2"/>
        </w:numPr>
        <w:spacing w:after="50" w:before="50"/>
      </w:pPr>
      <w:r>
        <w:rPr>
          <w:rFonts w:ascii="Arial" w:cs="Arial" w:eastAsia="Arial" w:hAnsi="Arial"/>
          <w:b/>
          <w:bCs/>
          <w:color w:val="1C1C1C"/>
          <w:sz w:val="20"/>
          <w:szCs w:val="20"/>
        </w:rPr>
        <w:t xml:space="preserve">38% of respondents under 30 said they first learned about Nahdi via Instagram Reels or YouTube food vlogs — confirming the brand's organic digital reach. </w:t>
      </w:r>
      <w:r>
        <w:rPr>
          <w:rFonts w:ascii="Arial" w:cs="Arial" w:eastAsia="Arial" w:hAnsi="Arial"/>
          <w:color w:val="1C1C1C"/>
          <w:sz w:val="20"/>
          <w:szCs w:val="20"/>
        </w:rPr>
        <w:t xml:space="preserve">Social media discovery:</w:t>
      </w:r>
    </w:p>
    <w:p>
      <w:pPr>
        <w:pStyle w:val="ListParagraph"/>
        <w:numPr>
          <w:ilvl w:val="0"/>
          <w:numId w:val="2"/>
        </w:numPr>
        <w:spacing w:after="50" w:before="50"/>
      </w:pPr>
      <w:r>
        <w:rPr>
          <w:rFonts w:ascii="Arial" w:cs="Arial" w:eastAsia="Arial" w:hAnsi="Arial"/>
          <w:b/>
          <w:bCs/>
          <w:color w:val="1C1C1C"/>
          <w:sz w:val="20"/>
          <w:szCs w:val="20"/>
        </w:rPr>
        <w:t xml:space="preserve">For the core Malabar Muslim consumer segment, halal certification and trust are non-negotiable. Nahdi's long-standing community reputation provides strong assurance. </w:t>
      </w:r>
      <w:r>
        <w:rPr>
          <w:rFonts w:ascii="Arial" w:cs="Arial" w:eastAsia="Arial" w:hAnsi="Arial"/>
          <w:color w:val="1C1C1C"/>
          <w:sz w:val="20"/>
          <w:szCs w:val="20"/>
        </w:rPr>
        <w:t xml:space="preserve">Halal assurance:</w:t>
      </w:r>
    </w:p>
    <w:p>
      <w:pPr>
        <w:pStyle w:val="ListParagraph"/>
        <w:numPr>
          <w:ilvl w:val="0"/>
          <w:numId w:val="2"/>
        </w:numPr>
        <w:spacing w:after="50" w:before="50"/>
      </w:pPr>
      <w:r>
        <w:rPr>
          <w:rFonts w:ascii="Arial" w:cs="Arial" w:eastAsia="Arial" w:hAnsi="Arial"/>
          <w:b/>
          <w:bCs/>
          <w:color w:val="1C1C1C"/>
          <w:sz w:val="20"/>
          <w:szCs w:val="20"/>
        </w:rPr>
        <w:t xml:space="preserve">A growing segment (particularly urban Kochi and Bangalore diaspora) is drawn by the novelty of pit-cooking and the premium positioning relative to standard biryani outlets. </w:t>
      </w:r>
      <w:r>
        <w:rPr>
          <w:rFonts w:ascii="Arial" w:cs="Arial" w:eastAsia="Arial" w:hAnsi="Arial"/>
          <w:color w:val="1C1C1C"/>
          <w:sz w:val="20"/>
          <w:szCs w:val="20"/>
        </w:rPr>
        <w:t xml:space="preserve">Novelty and premiumisation:</w:t>
      </w:r>
    </w:p>
    <w:p>
      <w:r>
        <w:br w:type="page"/>
      </w:r>
    </w:p>
    <w:p>
      <w:pPr>
        <w:pBdr>
          <w:bottom w:val="single" w:color="B7600A" w:sz="8" w:space="0"/>
        </w:pBdr>
        <w:shd w:fill="0B5345" w:val="clear"/>
        <w:spacing w:after="0" w:before="320"/>
      </w:pPr>
      <w:r>
        <w:rPr>
          <w:rFonts w:ascii="Arial" w:cs="Arial" w:eastAsia="Arial" w:hAnsi="Arial"/>
          <w:b/>
          <w:bCs/>
          <w:color w:val="FFFFFF"/>
          <w:sz w:val="30"/>
          <w:szCs w:val="30"/>
        </w:rPr>
        <w:t xml:space="preserve">  2.  BRAND EQUITY ASSESSMENT</w:t>
      </w:r>
    </w:p>
    <w:p>
      <w:pPr>
        <w:spacing w:after="80"/>
      </w:pPr>
    </w:p>
    <w:p>
      <w:pPr>
        <w:pBdr>
          <w:bottom w:val="single" w:color="B7600A" w:sz="3" w:space="1"/>
        </w:pBdr>
        <w:spacing w:after="80" w:before="180"/>
      </w:pPr>
      <w:r>
        <w:rPr>
          <w:rFonts w:ascii="Arial" w:cs="Arial" w:eastAsia="Arial" w:hAnsi="Arial"/>
          <w:b/>
          <w:bCs/>
          <w:color w:val="0B5345"/>
          <w:sz w:val="22"/>
          <w:szCs w:val="22"/>
        </w:rPr>
        <w:t xml:space="preserve">2.1  Brand Awareness Funnel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8D5CF" w:sz="1"/>
              <w:left w:val="single" w:color="C8D5CF" w:sz="1"/>
              <w:bottom w:val="single" w:color="C8D5CF" w:sz="1"/>
              <w:right w:val="single" w:color="C8D5CF" w:sz="1"/>
            </w:tcBorders>
            <w:shd w:fill="0B5345" w:val="clear"/>
            <w:tcMar>
              <w:top w:type="dxa" w:w="80"/>
              <w:left w:type="dxa" w:w="120"/>
              <w:bottom w:type="dxa" w:w="80"/>
              <w:right w:type="dxa" w:w="120"/>
            </w:tcMar>
          </w:tcPr>
          <w:p>
            <w:pPr>
              <w:jc w:val="left"/>
            </w:pPr>
            <w:r>
              <w:rPr>
                <w:rFonts w:ascii="Arial" w:cs="Arial" w:eastAsia="Arial" w:hAnsi="Arial"/>
                <w:b/>
                <w:bCs/>
                <w:color w:val="FFFFFF"/>
                <w:sz w:val="19"/>
                <w:szCs w:val="19"/>
              </w:rPr>
              <w:t xml:space="preserve">Funnel Stage</w:t>
            </w:r>
          </w:p>
        </w:tc>
        <w:tc>
          <w:tcPr>
            <w:tcW w:type="dxa" w:w="2680"/>
            <w:tcBorders>
              <w:top w:val="single" w:color="C8D5CF" w:sz="1"/>
              <w:left w:val="single" w:color="C8D5CF" w:sz="1"/>
              <w:bottom w:val="single" w:color="C8D5CF" w:sz="1"/>
              <w:right w:val="single" w:color="C8D5CF" w:sz="1"/>
            </w:tcBorders>
            <w:shd w:fill="0B5345" w:val="clear"/>
            <w:tcMar>
              <w:top w:type="dxa" w:w="80"/>
              <w:left w:type="dxa" w:w="120"/>
              <w:bottom w:type="dxa" w:w="80"/>
              <w:right w:type="dxa" w:w="120"/>
            </w:tcMar>
          </w:tcPr>
          <w:p>
            <w:pPr>
              <w:jc w:val="right"/>
            </w:pPr>
            <w:r>
              <w:rPr>
                <w:rFonts w:ascii="Arial" w:cs="Arial" w:eastAsia="Arial" w:hAnsi="Arial"/>
                <w:b/>
                <w:bCs/>
                <w:color w:val="FFFFFF"/>
                <w:sz w:val="19"/>
                <w:szCs w:val="19"/>
              </w:rPr>
              <w:t xml:space="preserve">Nahdi</w:t>
            </w:r>
          </w:p>
        </w:tc>
        <w:tc>
          <w:tcPr>
            <w:tcW w:type="dxa" w:w="2680"/>
            <w:tcBorders>
              <w:top w:val="single" w:color="C8D5CF" w:sz="1"/>
              <w:left w:val="single" w:color="C8D5CF" w:sz="1"/>
              <w:bottom w:val="single" w:color="C8D5CF" w:sz="1"/>
              <w:right w:val="single" w:color="C8D5CF" w:sz="1"/>
            </w:tcBorders>
            <w:shd w:fill="0B5345" w:val="clear"/>
            <w:tcMar>
              <w:top w:type="dxa" w:w="80"/>
              <w:left w:type="dxa" w:w="120"/>
              <w:bottom w:type="dxa" w:w="80"/>
              <w:right w:type="dxa" w:w="120"/>
            </w:tcMar>
          </w:tcPr>
          <w:p>
            <w:pPr>
              <w:jc w:val="right"/>
            </w:pPr>
            <w:r>
              <w:rPr>
                <w:rFonts w:ascii="Arial" w:cs="Arial" w:eastAsia="Arial" w:hAnsi="Arial"/>
                <w:b/>
                <w:bCs/>
                <w:color w:val="FFFFFF"/>
                <w:sz w:val="19"/>
                <w:szCs w:val="19"/>
              </w:rPr>
              <w:t xml:space="preserve">Category Avg.</w:t>
            </w:r>
          </w:p>
        </w:tc>
      </w:tr>
      <w:tr>
        <w:tc>
          <w:tcPr>
            <w:tcW w:type="dxa" w:w="4000"/>
            <w:tcBorders>
              <w:top w:val="single" w:color="C8D5CF" w:sz="1"/>
              <w:left w:val="single" w:color="C8D5CF" w:sz="1"/>
              <w:bottom w:val="single" w:color="C8D5CF" w:sz="1"/>
              <w:right w:val="single" w:color="C8D5CF"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Aided Awareness (recognise brand name)</w:t>
            </w:r>
          </w:p>
        </w:tc>
        <w:tc>
          <w:tcPr>
            <w:tcW w:type="dxa" w:w="2680"/>
            <w:tcBorders>
              <w:top w:val="single" w:color="C8D5CF" w:sz="1"/>
              <w:left w:val="single" w:color="C8D5CF" w:sz="1"/>
              <w:bottom w:val="single" w:color="C8D5CF" w:sz="1"/>
              <w:right w:val="single" w:color="C8D5CF" w:sz="1"/>
            </w:tcBorders>
            <w:shd w:fill="FFFFFF" w:val="clear"/>
            <w:tcMar>
              <w:top w:type="dxa" w:w="80"/>
              <w:left w:type="dxa" w:w="120"/>
              <w:bottom w:type="dxa" w:w="80"/>
              <w:right w:type="dxa" w:w="120"/>
            </w:tcMar>
          </w:tcPr>
          <w:p>
            <w:pPr>
              <w:jc w:val="right"/>
            </w:pPr>
            <w:r>
              <w:rPr>
                <w:rFonts w:ascii="Arial" w:cs="Arial" w:eastAsia="Arial" w:hAnsi="Arial"/>
                <w:b w:val="false"/>
                <w:bCs w:val="false"/>
                <w:color w:val="1E6B45"/>
                <w:sz w:val="19"/>
                <w:szCs w:val="19"/>
              </w:rPr>
              <w:t xml:space="preserve">74%</w:t>
            </w:r>
          </w:p>
        </w:tc>
        <w:tc>
          <w:tcPr>
            <w:tcW w:type="dxa" w:w="2680"/>
            <w:tcBorders>
              <w:top w:val="single" w:color="C8D5CF" w:sz="1"/>
              <w:left w:val="single" w:color="C8D5CF" w:sz="1"/>
              <w:bottom w:val="single" w:color="C8D5CF" w:sz="1"/>
              <w:right w:val="single" w:color="C8D5CF" w:sz="1"/>
            </w:tcBorders>
            <w:shd w:fill="FFFFFF" w:val="clear"/>
            <w:tcMar>
              <w:top w:type="dxa" w:w="80"/>
              <w:left w:type="dxa" w:w="120"/>
              <w:bottom w:type="dxa" w:w="80"/>
              <w:right w:type="dxa" w:w="120"/>
            </w:tcMar>
          </w:tcPr>
          <w:p>
            <w:pPr>
              <w:jc w:val="right"/>
            </w:pPr>
            <w:r>
              <w:rPr>
                <w:rFonts w:ascii="Arial" w:cs="Arial" w:eastAsia="Arial" w:hAnsi="Arial"/>
                <w:b w:val="false"/>
                <w:bCs w:val="false"/>
                <w:color w:val="1C1C1C"/>
                <w:sz w:val="19"/>
                <w:szCs w:val="19"/>
              </w:rPr>
              <w:t xml:space="preserve">38%</w:t>
            </w:r>
          </w:p>
        </w:tc>
      </w:tr>
      <w:tr>
        <w:tc>
          <w:tcPr>
            <w:tcW w:type="dxa" w:w="4000"/>
            <w:tcBorders>
              <w:top w:val="single" w:color="C8D5CF" w:sz="1"/>
              <w:left w:val="single" w:color="C8D5CF" w:sz="1"/>
              <w:bottom w:val="single" w:color="C8D5CF" w:sz="1"/>
              <w:right w:val="single" w:color="C8D5CF" w:sz="1"/>
            </w:tcBorders>
            <w:shd w:fill="F0F4F2"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Unaided Awareness (first brand recalled)</w:t>
            </w:r>
          </w:p>
        </w:tc>
        <w:tc>
          <w:tcPr>
            <w:tcW w:type="dxa" w:w="2680"/>
            <w:tcBorders>
              <w:top w:val="single" w:color="C8D5CF" w:sz="1"/>
              <w:left w:val="single" w:color="C8D5CF" w:sz="1"/>
              <w:bottom w:val="single" w:color="C8D5CF" w:sz="1"/>
              <w:right w:val="single" w:color="C8D5CF" w:sz="1"/>
            </w:tcBorders>
            <w:shd w:fill="F0F4F2" w:val="clear"/>
            <w:tcMar>
              <w:top w:type="dxa" w:w="80"/>
              <w:left w:type="dxa" w:w="120"/>
              <w:bottom w:type="dxa" w:w="80"/>
              <w:right w:type="dxa" w:w="120"/>
            </w:tcMar>
          </w:tcPr>
          <w:p>
            <w:pPr>
              <w:jc w:val="right"/>
            </w:pPr>
            <w:r>
              <w:rPr>
                <w:rFonts w:ascii="Arial" w:cs="Arial" w:eastAsia="Arial" w:hAnsi="Arial"/>
                <w:b w:val="false"/>
                <w:bCs w:val="false"/>
                <w:color w:val="1E6B45"/>
                <w:sz w:val="19"/>
                <w:szCs w:val="19"/>
              </w:rPr>
              <w:t xml:space="preserve">41%</w:t>
            </w:r>
          </w:p>
        </w:tc>
        <w:tc>
          <w:tcPr>
            <w:tcW w:type="dxa" w:w="2680"/>
            <w:tcBorders>
              <w:top w:val="single" w:color="C8D5CF" w:sz="1"/>
              <w:left w:val="single" w:color="C8D5CF" w:sz="1"/>
              <w:bottom w:val="single" w:color="C8D5CF" w:sz="1"/>
              <w:right w:val="single" w:color="C8D5CF" w:sz="1"/>
            </w:tcBorders>
            <w:shd w:fill="F0F4F2" w:val="clear"/>
            <w:tcMar>
              <w:top w:type="dxa" w:w="80"/>
              <w:left w:type="dxa" w:w="120"/>
              <w:bottom w:type="dxa" w:w="80"/>
              <w:right w:type="dxa" w:w="120"/>
            </w:tcMar>
          </w:tcPr>
          <w:p>
            <w:pPr>
              <w:jc w:val="right"/>
            </w:pPr>
            <w:r>
              <w:rPr>
                <w:rFonts w:ascii="Arial" w:cs="Arial" w:eastAsia="Arial" w:hAnsi="Arial"/>
                <w:b w:val="false"/>
                <w:bCs w:val="false"/>
                <w:color w:val="1C1C1C"/>
                <w:sz w:val="19"/>
                <w:szCs w:val="19"/>
              </w:rPr>
              <w:t xml:space="preserve">12%</w:t>
            </w:r>
          </w:p>
        </w:tc>
      </w:tr>
      <w:tr>
        <w:tc>
          <w:tcPr>
            <w:tcW w:type="dxa" w:w="4000"/>
            <w:tcBorders>
              <w:top w:val="single" w:color="C8D5CF" w:sz="1"/>
              <w:left w:val="single" w:color="C8D5CF" w:sz="1"/>
              <w:bottom w:val="single" w:color="C8D5CF" w:sz="1"/>
              <w:right w:val="single" w:color="C8D5CF"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Ever Tried (Trial Rate)</w:t>
            </w:r>
          </w:p>
        </w:tc>
        <w:tc>
          <w:tcPr>
            <w:tcW w:type="dxa" w:w="2680"/>
            <w:tcBorders>
              <w:top w:val="single" w:color="C8D5CF" w:sz="1"/>
              <w:left w:val="single" w:color="C8D5CF" w:sz="1"/>
              <w:bottom w:val="single" w:color="C8D5CF" w:sz="1"/>
              <w:right w:val="single" w:color="C8D5CF" w:sz="1"/>
            </w:tcBorders>
            <w:shd w:fill="FFFFFF" w:val="clear"/>
            <w:tcMar>
              <w:top w:type="dxa" w:w="80"/>
              <w:left w:type="dxa" w:w="120"/>
              <w:bottom w:type="dxa" w:w="80"/>
              <w:right w:type="dxa" w:w="120"/>
            </w:tcMar>
          </w:tcPr>
          <w:p>
            <w:pPr>
              <w:jc w:val="right"/>
            </w:pPr>
            <w:r>
              <w:rPr>
                <w:rFonts w:ascii="Arial" w:cs="Arial" w:eastAsia="Arial" w:hAnsi="Arial"/>
                <w:b w:val="false"/>
                <w:bCs w:val="false"/>
                <w:color w:val="1E6B45"/>
                <w:sz w:val="19"/>
                <w:szCs w:val="19"/>
              </w:rPr>
              <w:t xml:space="preserve">56%</w:t>
            </w:r>
          </w:p>
        </w:tc>
        <w:tc>
          <w:tcPr>
            <w:tcW w:type="dxa" w:w="2680"/>
            <w:tcBorders>
              <w:top w:val="single" w:color="C8D5CF" w:sz="1"/>
              <w:left w:val="single" w:color="C8D5CF" w:sz="1"/>
              <w:bottom w:val="single" w:color="C8D5CF" w:sz="1"/>
              <w:right w:val="single" w:color="C8D5CF" w:sz="1"/>
            </w:tcBorders>
            <w:shd w:fill="FFFFFF" w:val="clear"/>
            <w:tcMar>
              <w:top w:type="dxa" w:w="80"/>
              <w:left w:type="dxa" w:w="120"/>
              <w:bottom w:type="dxa" w:w="80"/>
              <w:right w:type="dxa" w:w="120"/>
            </w:tcMar>
          </w:tcPr>
          <w:p>
            <w:pPr>
              <w:jc w:val="right"/>
            </w:pPr>
            <w:r>
              <w:rPr>
                <w:rFonts w:ascii="Arial" w:cs="Arial" w:eastAsia="Arial" w:hAnsi="Arial"/>
                <w:b w:val="false"/>
                <w:bCs w:val="false"/>
                <w:color w:val="1C1C1C"/>
                <w:sz w:val="19"/>
                <w:szCs w:val="19"/>
              </w:rPr>
              <w:t xml:space="preserve">28%</w:t>
            </w:r>
          </w:p>
        </w:tc>
      </w:tr>
      <w:tr>
        <w:tc>
          <w:tcPr>
            <w:tcW w:type="dxa" w:w="4000"/>
            <w:tcBorders>
              <w:top w:val="single" w:color="C8D5CF" w:sz="1"/>
              <w:left w:val="single" w:color="C8D5CF" w:sz="1"/>
              <w:bottom w:val="single" w:color="C8D5CF" w:sz="1"/>
              <w:right w:val="single" w:color="C8D5CF" w:sz="1"/>
            </w:tcBorders>
            <w:shd w:fill="F0F4F2"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Repeat Purchase (2+ visits past 6 months)</w:t>
            </w:r>
          </w:p>
        </w:tc>
        <w:tc>
          <w:tcPr>
            <w:tcW w:type="dxa" w:w="2680"/>
            <w:tcBorders>
              <w:top w:val="single" w:color="C8D5CF" w:sz="1"/>
              <w:left w:val="single" w:color="C8D5CF" w:sz="1"/>
              <w:bottom w:val="single" w:color="C8D5CF" w:sz="1"/>
              <w:right w:val="single" w:color="C8D5CF" w:sz="1"/>
            </w:tcBorders>
            <w:shd w:fill="F0F4F2" w:val="clear"/>
            <w:tcMar>
              <w:top w:type="dxa" w:w="80"/>
              <w:left w:type="dxa" w:w="120"/>
              <w:bottom w:type="dxa" w:w="80"/>
              <w:right w:type="dxa" w:w="120"/>
            </w:tcMar>
          </w:tcPr>
          <w:p>
            <w:pPr>
              <w:jc w:val="right"/>
            </w:pPr>
            <w:r>
              <w:rPr>
                <w:rFonts w:ascii="Arial" w:cs="Arial" w:eastAsia="Arial" w:hAnsi="Arial"/>
                <w:b w:val="false"/>
                <w:bCs w:val="false"/>
                <w:color w:val="1E6B45"/>
                <w:sz w:val="19"/>
                <w:szCs w:val="19"/>
              </w:rPr>
              <w:t xml:space="preserve">58%</w:t>
            </w:r>
          </w:p>
        </w:tc>
        <w:tc>
          <w:tcPr>
            <w:tcW w:type="dxa" w:w="2680"/>
            <w:tcBorders>
              <w:top w:val="single" w:color="C8D5CF" w:sz="1"/>
              <w:left w:val="single" w:color="C8D5CF" w:sz="1"/>
              <w:bottom w:val="single" w:color="C8D5CF" w:sz="1"/>
              <w:right w:val="single" w:color="C8D5CF" w:sz="1"/>
            </w:tcBorders>
            <w:shd w:fill="F0F4F2" w:val="clear"/>
            <w:tcMar>
              <w:top w:type="dxa" w:w="80"/>
              <w:left w:type="dxa" w:w="120"/>
              <w:bottom w:type="dxa" w:w="80"/>
              <w:right w:type="dxa" w:w="120"/>
            </w:tcMar>
          </w:tcPr>
          <w:p>
            <w:pPr>
              <w:jc w:val="right"/>
            </w:pPr>
            <w:r>
              <w:rPr>
                <w:rFonts w:ascii="Arial" w:cs="Arial" w:eastAsia="Arial" w:hAnsi="Arial"/>
                <w:b w:val="false"/>
                <w:bCs w:val="false"/>
                <w:color w:val="1C1C1C"/>
                <w:sz w:val="19"/>
                <w:szCs w:val="19"/>
              </w:rPr>
              <w:t xml:space="preserve">34%</w:t>
            </w:r>
          </w:p>
        </w:tc>
      </w:tr>
      <w:tr>
        <w:tc>
          <w:tcPr>
            <w:tcW w:type="dxa" w:w="4000"/>
            <w:tcBorders>
              <w:top w:val="single" w:color="C8D5CF" w:sz="1"/>
              <w:left w:val="single" w:color="C8D5CF" w:sz="1"/>
              <w:bottom w:val="single" w:color="C8D5CF" w:sz="1"/>
              <w:right w:val="single" w:color="C8D5CF"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Brand Preference (first choice for Mandi)</w:t>
            </w:r>
          </w:p>
        </w:tc>
        <w:tc>
          <w:tcPr>
            <w:tcW w:type="dxa" w:w="2680"/>
            <w:tcBorders>
              <w:top w:val="single" w:color="C8D5CF" w:sz="1"/>
              <w:left w:val="single" w:color="C8D5CF" w:sz="1"/>
              <w:bottom w:val="single" w:color="C8D5CF" w:sz="1"/>
              <w:right w:val="single" w:color="C8D5CF" w:sz="1"/>
            </w:tcBorders>
            <w:shd w:fill="FFFFFF" w:val="clear"/>
            <w:tcMar>
              <w:top w:type="dxa" w:w="80"/>
              <w:left w:type="dxa" w:w="120"/>
              <w:bottom w:type="dxa" w:w="80"/>
              <w:right w:type="dxa" w:w="120"/>
            </w:tcMar>
          </w:tcPr>
          <w:p>
            <w:pPr>
              <w:jc w:val="right"/>
            </w:pPr>
            <w:r>
              <w:rPr>
                <w:rFonts w:ascii="Arial" w:cs="Arial" w:eastAsia="Arial" w:hAnsi="Arial"/>
                <w:b w:val="false"/>
                <w:bCs w:val="false"/>
                <w:color w:val="1E6B45"/>
                <w:sz w:val="19"/>
                <w:szCs w:val="19"/>
              </w:rPr>
              <w:t xml:space="preserve">52%</w:t>
            </w:r>
          </w:p>
        </w:tc>
        <w:tc>
          <w:tcPr>
            <w:tcW w:type="dxa" w:w="2680"/>
            <w:tcBorders>
              <w:top w:val="single" w:color="C8D5CF" w:sz="1"/>
              <w:left w:val="single" w:color="C8D5CF" w:sz="1"/>
              <w:bottom w:val="single" w:color="C8D5CF" w:sz="1"/>
              <w:right w:val="single" w:color="C8D5CF" w:sz="1"/>
            </w:tcBorders>
            <w:shd w:fill="FFFFFF" w:val="clear"/>
            <w:tcMar>
              <w:top w:type="dxa" w:w="80"/>
              <w:left w:type="dxa" w:w="120"/>
              <w:bottom w:type="dxa" w:w="80"/>
              <w:right w:type="dxa" w:w="120"/>
            </w:tcMar>
          </w:tcPr>
          <w:p>
            <w:pPr>
              <w:jc w:val="right"/>
            </w:pPr>
            <w:r>
              <w:rPr>
                <w:rFonts w:ascii="Arial" w:cs="Arial" w:eastAsia="Arial" w:hAnsi="Arial"/>
                <w:b w:val="false"/>
                <w:bCs w:val="false"/>
                <w:color w:val="1C1C1C"/>
                <w:sz w:val="19"/>
                <w:szCs w:val="19"/>
              </w:rPr>
              <w:t xml:space="preserve">—</w:t>
            </w:r>
          </w:p>
        </w:tc>
      </w:tr>
      <w:tr>
        <w:tc>
          <w:tcPr>
            <w:tcW w:type="dxa" w:w="4000"/>
            <w:tcBorders>
              <w:top w:val="single" w:color="C8D5CF" w:sz="1"/>
              <w:left w:val="single" w:color="C8D5CF" w:sz="1"/>
              <w:bottom w:val="single" w:color="C8D5CF" w:sz="1"/>
              <w:right w:val="single" w:color="C8D5CF" w:sz="1"/>
            </w:tcBorders>
            <w:shd w:fill="F0F4F2"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Net Promoter Score (NPS)</w:t>
            </w:r>
          </w:p>
        </w:tc>
        <w:tc>
          <w:tcPr>
            <w:tcW w:type="dxa" w:w="2680"/>
            <w:tcBorders>
              <w:top w:val="single" w:color="C8D5CF" w:sz="1"/>
              <w:left w:val="single" w:color="C8D5CF" w:sz="1"/>
              <w:bottom w:val="single" w:color="C8D5CF" w:sz="1"/>
              <w:right w:val="single" w:color="C8D5CF" w:sz="1"/>
            </w:tcBorders>
            <w:shd w:fill="F0F4F2" w:val="clear"/>
            <w:tcMar>
              <w:top w:type="dxa" w:w="80"/>
              <w:left w:type="dxa" w:w="120"/>
              <w:bottom w:type="dxa" w:w="80"/>
              <w:right w:type="dxa" w:w="120"/>
            </w:tcMar>
          </w:tcPr>
          <w:p>
            <w:pPr>
              <w:jc w:val="right"/>
            </w:pPr>
            <w:r>
              <w:rPr>
                <w:rFonts w:ascii="Arial" w:cs="Arial" w:eastAsia="Arial" w:hAnsi="Arial"/>
                <w:b w:val="false"/>
                <w:bCs w:val="false"/>
                <w:color w:val="1E6B45"/>
                <w:sz w:val="19"/>
                <w:szCs w:val="19"/>
              </w:rPr>
              <w:t xml:space="preserve">+61</w:t>
            </w:r>
          </w:p>
        </w:tc>
        <w:tc>
          <w:tcPr>
            <w:tcW w:type="dxa" w:w="2680"/>
            <w:tcBorders>
              <w:top w:val="single" w:color="C8D5CF" w:sz="1"/>
              <w:left w:val="single" w:color="C8D5CF" w:sz="1"/>
              <w:bottom w:val="single" w:color="C8D5CF" w:sz="1"/>
              <w:right w:val="single" w:color="C8D5CF" w:sz="1"/>
            </w:tcBorders>
            <w:shd w:fill="F0F4F2" w:val="clear"/>
            <w:tcMar>
              <w:top w:type="dxa" w:w="80"/>
              <w:left w:type="dxa" w:w="120"/>
              <w:bottom w:type="dxa" w:w="80"/>
              <w:right w:type="dxa" w:w="120"/>
            </w:tcMar>
          </w:tcPr>
          <w:p>
            <w:pPr>
              <w:jc w:val="right"/>
            </w:pPr>
            <w:r>
              <w:rPr>
                <w:rFonts w:ascii="Arial" w:cs="Arial" w:eastAsia="Arial" w:hAnsi="Arial"/>
                <w:b w:val="false"/>
                <w:bCs w:val="false"/>
                <w:color w:val="1C1C1C"/>
                <w:sz w:val="19"/>
                <w:szCs w:val="19"/>
              </w:rPr>
              <w:t xml:space="preserve">+38</w:t>
            </w:r>
          </w:p>
        </w:tc>
      </w:tr>
    </w:tbl>
    <w:p>
      <w:pPr>
        <w:spacing w:after="100"/>
      </w:pPr>
    </w:p>
    <w:p>
      <w:pPr>
        <w:pBdr>
          <w:bottom w:val="single" w:color="B7600A" w:sz="3" w:space="1"/>
        </w:pBdr>
        <w:spacing w:after="80" w:before="180"/>
      </w:pPr>
      <w:r>
        <w:rPr>
          <w:rFonts w:ascii="Arial" w:cs="Arial" w:eastAsia="Arial" w:hAnsi="Arial"/>
          <w:b/>
          <w:bCs/>
          <w:color w:val="0B5345"/>
          <w:sz w:val="22"/>
          <w:szCs w:val="22"/>
        </w:rPr>
        <w:t xml:space="preserve">2.2  Brand Dimension Scorecard</w:t>
      </w:r>
    </w:p>
    <w:p>
      <w:pPr>
        <w:spacing w:after="80" w:before="60"/>
        <w:jc w:val="both"/>
      </w:pPr>
      <w:r>
        <w:rPr>
          <w:rFonts w:ascii="Arial" w:cs="Arial" w:eastAsia="Arial" w:hAnsi="Arial"/>
          <w:color w:val="1C1C1C"/>
          <w:sz w:val="20"/>
          <w:szCs w:val="20"/>
        </w:rPr>
        <w:t xml:space="preserve">Six brand dimensions were rated by respondents on a 10-point scale. The combined profile reveals a brand with extraordinary authenticity and food quality credentials, partially offset by less developed convenience and service consistency scores.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C8D5CF" w:sz="1"/>
              <w:left w:val="single" w:color="C8D5CF" w:sz="1"/>
              <w:bottom w:val="single" w:color="C8D5CF" w:sz="1"/>
              <w:right w:val="single" w:color="C8D5CF" w:sz="1"/>
            </w:tcBorders>
            <w:shd w:fill="0B5345" w:val="clear"/>
            <w:tcMar>
              <w:top w:type="dxa" w:w="80"/>
              <w:left w:type="dxa" w:w="120"/>
              <w:bottom w:type="dxa" w:w="80"/>
              <w:right w:type="dxa" w:w="120"/>
            </w:tcMar>
          </w:tcPr>
          <w:p>
            <w:pPr>
              <w:jc w:val="left"/>
            </w:pPr>
            <w:r>
              <w:rPr>
                <w:rFonts w:ascii="Arial" w:cs="Arial" w:eastAsia="Arial" w:hAnsi="Arial"/>
                <w:b/>
                <w:bCs/>
                <w:color w:val="FFFFFF"/>
                <w:sz w:val="19"/>
                <w:szCs w:val="19"/>
              </w:rPr>
              <w:t xml:space="preserve">Brand Dimension</w:t>
            </w:r>
          </w:p>
        </w:tc>
        <w:tc>
          <w:tcPr>
            <w:tcW w:type="dxa" w:w="4360"/>
            <w:tcBorders>
              <w:top w:val="single" w:color="C8D5CF" w:sz="1"/>
              <w:left w:val="single" w:color="C8D5CF" w:sz="1"/>
              <w:bottom w:val="single" w:color="C8D5CF" w:sz="1"/>
              <w:right w:val="single" w:color="C8D5CF" w:sz="1"/>
            </w:tcBorders>
            <w:shd w:fill="0B5345" w:val="clear"/>
            <w:tcMar>
              <w:top w:type="dxa" w:w="80"/>
              <w:left w:type="dxa" w:w="120"/>
              <w:bottom w:type="dxa" w:w="80"/>
              <w:right w:type="dxa" w:w="120"/>
            </w:tcMar>
          </w:tcPr>
          <w:p>
            <w:pPr>
              <w:jc w:val="left"/>
            </w:pPr>
            <w:r>
              <w:rPr>
                <w:rFonts w:ascii="Arial" w:cs="Arial" w:eastAsia="Arial" w:hAnsi="Arial"/>
                <w:b/>
                <w:bCs/>
                <w:color w:val="FFFFFF"/>
                <w:sz w:val="19"/>
                <w:szCs w:val="19"/>
              </w:rPr>
              <w:t xml:space="preserve">What Respondents Said</w:t>
            </w:r>
          </w:p>
        </w:tc>
        <w:tc>
          <w:tcPr>
            <w:tcW w:type="dxa" w:w="2200"/>
            <w:tcBorders>
              <w:top w:val="single" w:color="C8D5CF" w:sz="1"/>
              <w:left w:val="single" w:color="C8D5CF" w:sz="1"/>
              <w:bottom w:val="single" w:color="C8D5CF" w:sz="1"/>
              <w:right w:val="single" w:color="C8D5CF" w:sz="1"/>
            </w:tcBorders>
            <w:shd w:fill="0B5345" w:val="clear"/>
            <w:tcMar>
              <w:top w:type="dxa" w:w="80"/>
              <w:left w:type="dxa" w:w="120"/>
              <w:bottom w:type="dxa" w:w="80"/>
              <w:right w:type="dxa" w:w="120"/>
            </w:tcMar>
          </w:tcPr>
          <w:p>
            <w:pPr>
              <w:jc w:val="left"/>
            </w:pPr>
            <w:r>
              <w:rPr>
                <w:rFonts w:ascii="Arial" w:cs="Arial" w:eastAsia="Arial" w:hAnsi="Arial"/>
                <w:b/>
                <w:bCs/>
                <w:color w:val="FFFFFF"/>
                <w:sz w:val="19"/>
                <w:szCs w:val="19"/>
              </w:rPr>
              <w:t xml:space="preserve">Score</w:t>
            </w:r>
          </w:p>
        </w:tc>
      </w:tr>
      <w:tr>
        <w:tc>
          <w:tcPr>
            <w:tcW w:type="dxa" w:w="2800"/>
            <w:tcBorders>
              <w:top w:val="single" w:color="C8D5CF" w:sz="1"/>
              <w:left w:val="single" w:color="C8D5CF" w:sz="1"/>
              <w:bottom w:val="single" w:color="C8D5CF" w:sz="1"/>
              <w:right w:val="single" w:color="C8D5CF"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Food Authenticity</w:t>
            </w:r>
          </w:p>
        </w:tc>
        <w:tc>
          <w:tcPr>
            <w:tcW w:type="dxa" w:w="4360"/>
            <w:tcBorders>
              <w:top w:val="single" w:color="C8D5CF" w:sz="1"/>
              <w:left w:val="single" w:color="C8D5CF" w:sz="1"/>
              <w:bottom w:val="single" w:color="C8D5CF" w:sz="1"/>
              <w:right w:val="single" w:color="C8D5CF"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Pit-cook method seen as genuinely authentic vs. rivals</w:t>
            </w:r>
          </w:p>
        </w:tc>
        <w:tc>
          <w:tcPr>
            <w:tcW w:type="dxa" w:w="2200"/>
            <w:tcBorders>
              <w:top w:val="single" w:color="C8D5CF" w:sz="1"/>
              <w:left w:val="single" w:color="C8D5CF" w:sz="1"/>
              <w:bottom w:val="single" w:color="C8D5CF" w:sz="1"/>
              <w:right w:val="single" w:color="C8D5CF" w:sz="1"/>
            </w:tcBorders>
            <w:shd w:fill="FFFFFF" w:val="clear"/>
            <w:tcMar>
              <w:top w:type="dxa" w:w="80"/>
              <w:left w:type="dxa" w:w="120"/>
              <w:bottom w:type="dxa" w:w="80"/>
              <w:right w:type="dxa" w:w="120"/>
            </w:tcMar>
          </w:tcPr>
          <w:p>
            <w:pPr>
              <w:jc w:val="left"/>
            </w:pPr>
            <w:r>
              <w:rPr>
                <w:rFonts w:ascii="Courier New" w:cs="Courier New" w:eastAsia="Courier New" w:hAnsi="Courier New"/>
                <w:color w:val="0B5345"/>
                <w:sz w:val="16"/>
                <w:szCs w:val="16"/>
              </w:rPr>
              <w:t xml:space="preserve">█████████░ 9/10</w:t>
            </w:r>
          </w:p>
        </w:tc>
      </w:tr>
      <w:tr>
        <w:tc>
          <w:tcPr>
            <w:tcW w:type="dxa" w:w="2800"/>
            <w:tcBorders>
              <w:top w:val="single" w:color="C8D5CF" w:sz="1"/>
              <w:left w:val="single" w:color="C8D5CF" w:sz="1"/>
              <w:bottom w:val="single" w:color="C8D5CF" w:sz="1"/>
              <w:right w:val="single" w:color="C8D5CF" w:sz="1"/>
            </w:tcBorders>
            <w:shd w:fill="F0F4F2" w:val="clear"/>
            <w:tcMar>
              <w:top w:type="dxa" w:w="80"/>
              <w:left w:type="dxa" w:w="120"/>
              <w:bottom w:type="dxa" w:w="80"/>
              <w:right w:type="dxa" w:w="120"/>
            </w:tcMar>
          </w:tcPr>
          <w:p>
            <w:r>
              <w:rPr>
                <w:rFonts w:ascii="Arial" w:cs="Arial" w:eastAsia="Arial" w:hAnsi="Arial"/>
                <w:b/>
                <w:bCs/>
                <w:color w:val="1C1C1C"/>
                <w:sz w:val="19"/>
                <w:szCs w:val="19"/>
              </w:rPr>
              <w:t xml:space="preserve">Food Quality</w:t>
            </w:r>
          </w:p>
        </w:tc>
        <w:tc>
          <w:tcPr>
            <w:tcW w:type="dxa" w:w="4360"/>
            <w:tcBorders>
              <w:top w:val="single" w:color="C8D5CF" w:sz="1"/>
              <w:left w:val="single" w:color="C8D5CF" w:sz="1"/>
              <w:bottom w:val="single" w:color="C8D5CF" w:sz="1"/>
              <w:right w:val="single" w:color="C8D5CF" w:sz="1"/>
            </w:tcBorders>
            <w:shd w:fill="F0F4F2" w:val="clear"/>
            <w:tcMar>
              <w:top w:type="dxa" w:w="80"/>
              <w:left w:type="dxa" w:w="120"/>
              <w:bottom w:type="dxa" w:w="80"/>
              <w:right w:type="dxa" w:w="120"/>
            </w:tcMar>
          </w:tcPr>
          <w:p>
            <w:r>
              <w:rPr>
                <w:rFonts w:ascii="Arial" w:cs="Arial" w:eastAsia="Arial" w:hAnsi="Arial"/>
                <w:color w:val="1C1C1C"/>
                <w:sz w:val="19"/>
                <w:szCs w:val="19"/>
              </w:rPr>
              <w:t xml:space="preserve">Meat tenderness and rice flavour consistently praised</w:t>
            </w:r>
          </w:p>
        </w:tc>
        <w:tc>
          <w:tcPr>
            <w:tcW w:type="dxa" w:w="2200"/>
            <w:tcBorders>
              <w:top w:val="single" w:color="C8D5CF" w:sz="1"/>
              <w:left w:val="single" w:color="C8D5CF" w:sz="1"/>
              <w:bottom w:val="single" w:color="C8D5CF" w:sz="1"/>
              <w:right w:val="single" w:color="C8D5CF" w:sz="1"/>
            </w:tcBorders>
            <w:shd w:fill="F0F4F2" w:val="clear"/>
            <w:tcMar>
              <w:top w:type="dxa" w:w="80"/>
              <w:left w:type="dxa" w:w="120"/>
              <w:bottom w:type="dxa" w:w="80"/>
              <w:right w:type="dxa" w:w="120"/>
            </w:tcMar>
          </w:tcPr>
          <w:p>
            <w:pPr>
              <w:jc w:val="left"/>
            </w:pPr>
            <w:r>
              <w:rPr>
                <w:rFonts w:ascii="Courier New" w:cs="Courier New" w:eastAsia="Courier New" w:hAnsi="Courier New"/>
                <w:color w:val="0B5345"/>
                <w:sz w:val="16"/>
                <w:szCs w:val="16"/>
              </w:rPr>
              <w:t xml:space="preserve">█████████░ 9/10</w:t>
            </w:r>
          </w:p>
        </w:tc>
      </w:tr>
      <w:tr>
        <w:tc>
          <w:tcPr>
            <w:tcW w:type="dxa" w:w="2800"/>
            <w:tcBorders>
              <w:top w:val="single" w:color="C8D5CF" w:sz="1"/>
              <w:left w:val="single" w:color="C8D5CF" w:sz="1"/>
              <w:bottom w:val="single" w:color="C8D5CF" w:sz="1"/>
              <w:right w:val="single" w:color="C8D5CF"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Value for Money</w:t>
            </w:r>
          </w:p>
        </w:tc>
        <w:tc>
          <w:tcPr>
            <w:tcW w:type="dxa" w:w="4360"/>
            <w:tcBorders>
              <w:top w:val="single" w:color="C8D5CF" w:sz="1"/>
              <w:left w:val="single" w:color="C8D5CF" w:sz="1"/>
              <w:bottom w:val="single" w:color="C8D5CF" w:sz="1"/>
              <w:right w:val="single" w:color="C8D5CF"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Unlimited rice seen as excellent value; families feel well-served</w:t>
            </w:r>
          </w:p>
        </w:tc>
        <w:tc>
          <w:tcPr>
            <w:tcW w:type="dxa" w:w="2200"/>
            <w:tcBorders>
              <w:top w:val="single" w:color="C8D5CF" w:sz="1"/>
              <w:left w:val="single" w:color="C8D5CF" w:sz="1"/>
              <w:bottom w:val="single" w:color="C8D5CF" w:sz="1"/>
              <w:right w:val="single" w:color="C8D5CF" w:sz="1"/>
            </w:tcBorders>
            <w:shd w:fill="FFFFFF" w:val="clear"/>
            <w:tcMar>
              <w:top w:type="dxa" w:w="80"/>
              <w:left w:type="dxa" w:w="120"/>
              <w:bottom w:type="dxa" w:w="80"/>
              <w:right w:type="dxa" w:w="120"/>
            </w:tcMar>
          </w:tcPr>
          <w:p>
            <w:pPr>
              <w:jc w:val="left"/>
            </w:pPr>
            <w:r>
              <w:rPr>
                <w:rFonts w:ascii="Courier New" w:cs="Courier New" w:eastAsia="Courier New" w:hAnsi="Courier New"/>
                <w:color w:val="0B5345"/>
                <w:sz w:val="16"/>
                <w:szCs w:val="16"/>
              </w:rPr>
              <w:t xml:space="preserve">████████░░ 8/10</w:t>
            </w:r>
          </w:p>
        </w:tc>
      </w:tr>
      <w:tr>
        <w:tc>
          <w:tcPr>
            <w:tcW w:type="dxa" w:w="2800"/>
            <w:tcBorders>
              <w:top w:val="single" w:color="C8D5CF" w:sz="1"/>
              <w:left w:val="single" w:color="C8D5CF" w:sz="1"/>
              <w:bottom w:val="single" w:color="C8D5CF" w:sz="1"/>
              <w:right w:val="single" w:color="C8D5CF" w:sz="1"/>
            </w:tcBorders>
            <w:shd w:fill="F0F4F2" w:val="clear"/>
            <w:tcMar>
              <w:top w:type="dxa" w:w="80"/>
              <w:left w:type="dxa" w:w="120"/>
              <w:bottom w:type="dxa" w:w="80"/>
              <w:right w:type="dxa" w:w="120"/>
            </w:tcMar>
          </w:tcPr>
          <w:p>
            <w:r>
              <w:rPr>
                <w:rFonts w:ascii="Arial" w:cs="Arial" w:eastAsia="Arial" w:hAnsi="Arial"/>
                <w:b/>
                <w:bCs/>
                <w:color w:val="1C1C1C"/>
                <w:sz w:val="19"/>
                <w:szCs w:val="19"/>
              </w:rPr>
              <w:t xml:space="preserve">Ambience</w:t>
            </w:r>
          </w:p>
        </w:tc>
        <w:tc>
          <w:tcPr>
            <w:tcW w:type="dxa" w:w="4360"/>
            <w:tcBorders>
              <w:top w:val="single" w:color="C8D5CF" w:sz="1"/>
              <w:left w:val="single" w:color="C8D5CF" w:sz="1"/>
              <w:bottom w:val="single" w:color="C8D5CF" w:sz="1"/>
              <w:right w:val="single" w:color="C8D5CF" w:sz="1"/>
            </w:tcBorders>
            <w:shd w:fill="F0F4F2" w:val="clear"/>
            <w:tcMar>
              <w:top w:type="dxa" w:w="80"/>
              <w:left w:type="dxa" w:w="120"/>
              <w:bottom w:type="dxa" w:w="80"/>
              <w:right w:type="dxa" w:w="120"/>
            </w:tcMar>
          </w:tcPr>
          <w:p>
            <w:r>
              <w:rPr>
                <w:rFonts w:ascii="Arial" w:cs="Arial" w:eastAsia="Arial" w:hAnsi="Arial"/>
                <w:color w:val="1C1C1C"/>
                <w:sz w:val="19"/>
                <w:szCs w:val="19"/>
              </w:rPr>
              <w:t xml:space="preserve">Varies by outlet; newer branches score higher on decor</w:t>
            </w:r>
          </w:p>
        </w:tc>
        <w:tc>
          <w:tcPr>
            <w:tcW w:type="dxa" w:w="2200"/>
            <w:tcBorders>
              <w:top w:val="single" w:color="C8D5CF" w:sz="1"/>
              <w:left w:val="single" w:color="C8D5CF" w:sz="1"/>
              <w:bottom w:val="single" w:color="C8D5CF" w:sz="1"/>
              <w:right w:val="single" w:color="C8D5CF" w:sz="1"/>
            </w:tcBorders>
            <w:shd w:fill="F0F4F2" w:val="clear"/>
            <w:tcMar>
              <w:top w:type="dxa" w:w="80"/>
              <w:left w:type="dxa" w:w="120"/>
              <w:bottom w:type="dxa" w:w="80"/>
              <w:right w:type="dxa" w:w="120"/>
            </w:tcMar>
          </w:tcPr>
          <w:p>
            <w:pPr>
              <w:jc w:val="left"/>
            </w:pPr>
            <w:r>
              <w:rPr>
                <w:rFonts w:ascii="Courier New" w:cs="Courier New" w:eastAsia="Courier New" w:hAnsi="Courier New"/>
                <w:color w:val="0B5345"/>
                <w:sz w:val="16"/>
                <w:szCs w:val="16"/>
              </w:rPr>
              <w:t xml:space="preserve">██████░░░░ 6/10</w:t>
            </w:r>
          </w:p>
        </w:tc>
      </w:tr>
      <w:tr>
        <w:tc>
          <w:tcPr>
            <w:tcW w:type="dxa" w:w="2800"/>
            <w:tcBorders>
              <w:top w:val="single" w:color="C8D5CF" w:sz="1"/>
              <w:left w:val="single" w:color="C8D5CF" w:sz="1"/>
              <w:bottom w:val="single" w:color="C8D5CF" w:sz="1"/>
              <w:right w:val="single" w:color="C8D5CF"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Service Speed</w:t>
            </w:r>
          </w:p>
        </w:tc>
        <w:tc>
          <w:tcPr>
            <w:tcW w:type="dxa" w:w="4360"/>
            <w:tcBorders>
              <w:top w:val="single" w:color="C8D5CF" w:sz="1"/>
              <w:left w:val="single" w:color="C8D5CF" w:sz="1"/>
              <w:bottom w:val="single" w:color="C8D5CF" w:sz="1"/>
              <w:right w:val="single" w:color="C8D5CF"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Long wait times flagged in peak hours at busy outlets</w:t>
            </w:r>
          </w:p>
        </w:tc>
        <w:tc>
          <w:tcPr>
            <w:tcW w:type="dxa" w:w="2200"/>
            <w:tcBorders>
              <w:top w:val="single" w:color="C8D5CF" w:sz="1"/>
              <w:left w:val="single" w:color="C8D5CF" w:sz="1"/>
              <w:bottom w:val="single" w:color="C8D5CF" w:sz="1"/>
              <w:right w:val="single" w:color="C8D5CF" w:sz="1"/>
            </w:tcBorders>
            <w:shd w:fill="FFFFFF" w:val="clear"/>
            <w:tcMar>
              <w:top w:type="dxa" w:w="80"/>
              <w:left w:type="dxa" w:w="120"/>
              <w:bottom w:type="dxa" w:w="80"/>
              <w:right w:type="dxa" w:w="120"/>
            </w:tcMar>
          </w:tcPr>
          <w:p>
            <w:pPr>
              <w:jc w:val="left"/>
            </w:pPr>
            <w:r>
              <w:rPr>
                <w:rFonts w:ascii="Courier New" w:cs="Courier New" w:eastAsia="Courier New" w:hAnsi="Courier New"/>
                <w:color w:val="0B5345"/>
                <w:sz w:val="16"/>
                <w:szCs w:val="16"/>
              </w:rPr>
              <w:t xml:space="preserve">█████░░░░░ 5/10</w:t>
            </w:r>
          </w:p>
        </w:tc>
      </w:tr>
      <w:tr>
        <w:tc>
          <w:tcPr>
            <w:tcW w:type="dxa" w:w="2800"/>
            <w:tcBorders>
              <w:top w:val="single" w:color="C8D5CF" w:sz="1"/>
              <w:left w:val="single" w:color="C8D5CF" w:sz="1"/>
              <w:bottom w:val="single" w:color="C8D5CF" w:sz="1"/>
              <w:right w:val="single" w:color="C8D5CF" w:sz="1"/>
            </w:tcBorders>
            <w:shd w:fill="F0F4F2" w:val="clear"/>
            <w:tcMar>
              <w:top w:type="dxa" w:w="80"/>
              <w:left w:type="dxa" w:w="120"/>
              <w:bottom w:type="dxa" w:w="80"/>
              <w:right w:type="dxa" w:w="120"/>
            </w:tcMar>
          </w:tcPr>
          <w:p>
            <w:r>
              <w:rPr>
                <w:rFonts w:ascii="Arial" w:cs="Arial" w:eastAsia="Arial" w:hAnsi="Arial"/>
                <w:b/>
                <w:bCs/>
                <w:color w:val="1C1C1C"/>
                <w:sz w:val="19"/>
                <w:szCs w:val="19"/>
              </w:rPr>
              <w:t xml:space="preserve">Brand Modernity</w:t>
            </w:r>
          </w:p>
        </w:tc>
        <w:tc>
          <w:tcPr>
            <w:tcW w:type="dxa" w:w="4360"/>
            <w:tcBorders>
              <w:top w:val="single" w:color="C8D5CF" w:sz="1"/>
              <w:left w:val="single" w:color="C8D5CF" w:sz="1"/>
              <w:bottom w:val="single" w:color="C8D5CF" w:sz="1"/>
              <w:right w:val="single" w:color="C8D5CF" w:sz="1"/>
            </w:tcBorders>
            <w:shd w:fill="F0F4F2" w:val="clear"/>
            <w:tcMar>
              <w:top w:type="dxa" w:w="80"/>
              <w:left w:type="dxa" w:w="120"/>
              <w:bottom w:type="dxa" w:w="80"/>
              <w:right w:type="dxa" w:w="120"/>
            </w:tcMar>
          </w:tcPr>
          <w:p>
            <w:r>
              <w:rPr>
                <w:rFonts w:ascii="Arial" w:cs="Arial" w:eastAsia="Arial" w:hAnsi="Arial"/>
                <w:color w:val="1C1C1C"/>
                <w:sz w:val="19"/>
                <w:szCs w:val="19"/>
              </w:rPr>
              <w:t xml:space="preserve">Seen as traditional; limited digital engagement beyond social</w:t>
            </w:r>
          </w:p>
        </w:tc>
        <w:tc>
          <w:tcPr>
            <w:tcW w:type="dxa" w:w="2200"/>
            <w:tcBorders>
              <w:top w:val="single" w:color="C8D5CF" w:sz="1"/>
              <w:left w:val="single" w:color="C8D5CF" w:sz="1"/>
              <w:bottom w:val="single" w:color="C8D5CF" w:sz="1"/>
              <w:right w:val="single" w:color="C8D5CF" w:sz="1"/>
            </w:tcBorders>
            <w:shd w:fill="F0F4F2" w:val="clear"/>
            <w:tcMar>
              <w:top w:type="dxa" w:w="80"/>
              <w:left w:type="dxa" w:w="120"/>
              <w:bottom w:type="dxa" w:w="80"/>
              <w:right w:type="dxa" w:w="120"/>
            </w:tcMar>
          </w:tcPr>
          <w:p>
            <w:pPr>
              <w:jc w:val="left"/>
            </w:pPr>
            <w:r>
              <w:rPr>
                <w:rFonts w:ascii="Courier New" w:cs="Courier New" w:eastAsia="Courier New" w:hAnsi="Courier New"/>
                <w:color w:val="0B5345"/>
                <w:sz w:val="16"/>
                <w:szCs w:val="16"/>
              </w:rPr>
              <w:t xml:space="preserve">██████░░░░ 6/10</w:t>
            </w:r>
          </w:p>
        </w:tc>
      </w:tr>
    </w:tbl>
    <w:p>
      <w:pPr>
        <w:spacing w:after="100"/>
      </w:pPr>
    </w:p>
    <w:p>
      <w:pPr>
        <w:pBdr>
          <w:bottom w:val="single" w:color="B7600A" w:sz="3" w:space="1"/>
        </w:pBdr>
        <w:spacing w:after="80" w:before="180"/>
      </w:pPr>
      <w:r>
        <w:rPr>
          <w:rFonts w:ascii="Arial" w:cs="Arial" w:eastAsia="Arial" w:hAnsi="Arial"/>
          <w:b/>
          <w:bCs/>
          <w:color w:val="0B5345"/>
          <w:sz w:val="22"/>
          <w:szCs w:val="22"/>
        </w:rPr>
        <w:t xml:space="preserve">2.3  Selected Consumer Voices</w:t>
      </w:r>
    </w:p>
    <w:p>
      <w:pPr>
        <w:shd w:fill="F0F4F2" w:val="clear"/>
        <w:spacing w:after="100" w:before="100"/>
        <w:ind w:left="360" w:right="360"/>
      </w:pPr>
      <w:r>
        <w:rPr>
          <w:rFonts w:ascii="Arial" w:cs="Arial" w:eastAsia="Arial" w:hAnsi="Arial"/>
          <w:i/>
          <w:iCs/>
          <w:color w:val="0B5345"/>
          <w:sz w:val="21"/>
          <w:szCs w:val="21"/>
        </w:rPr>
        <w:t xml:space="preserve">“The mutton Mandi at Nahdi is the closest thing to what I had in Riyadh. I've tried five other places and nothing comes close.”</w:t>
      </w:r>
      <w:r>
        <w:rPr>
          <w:rFonts w:ascii="Arial" w:cs="Arial" w:eastAsia="Arial" w:hAnsi="Arial"/>
          <w:color w:val="777777"/>
          <w:sz w:val="18"/>
          <w:szCs w:val="18"/>
        </w:rPr>
        <w:t xml:space="preserve">  — Gulf returnee, Perinthalmanna, aged 38</w:t>
      </w:r>
    </w:p>
    <w:p>
      <w:pPr>
        <w:spacing w:after="60"/>
      </w:pPr>
    </w:p>
    <w:p>
      <w:pPr>
        <w:shd w:fill="F0F4F2" w:val="clear"/>
        <w:spacing w:after="100" w:before="100"/>
        <w:ind w:left="360" w:right="360"/>
      </w:pPr>
      <w:r>
        <w:rPr>
          <w:rFonts w:ascii="Arial" w:cs="Arial" w:eastAsia="Arial" w:hAnsi="Arial"/>
          <w:i/>
          <w:iCs/>
          <w:color w:val="0B5345"/>
          <w:sz w:val="21"/>
          <w:szCs w:val="21"/>
        </w:rPr>
        <w:t xml:space="preserve">“We come here for every family gathering — six of us, the unlimited rice means nobody leaves hungry. Very fair price.”</w:t>
      </w:r>
      <w:r>
        <w:rPr>
          <w:rFonts w:ascii="Arial" w:cs="Arial" w:eastAsia="Arial" w:hAnsi="Arial"/>
          <w:color w:val="777777"/>
          <w:sz w:val="18"/>
          <w:szCs w:val="18"/>
        </w:rPr>
        <w:t xml:space="preserve">  — Homemaker, Malappuram, aged 44</w:t>
      </w:r>
    </w:p>
    <w:p>
      <w:pPr>
        <w:spacing w:after="60"/>
      </w:pPr>
    </w:p>
    <w:p>
      <w:pPr>
        <w:shd w:fill="F0F4F2" w:val="clear"/>
        <w:spacing w:after="100" w:before="100"/>
        <w:ind w:left="360" w:right="360"/>
      </w:pPr>
      <w:r>
        <w:rPr>
          <w:rFonts w:ascii="Arial" w:cs="Arial" w:eastAsia="Arial" w:hAnsi="Arial"/>
          <w:i/>
          <w:iCs/>
          <w:color w:val="0B5345"/>
          <w:sz w:val="21"/>
          <w:szCs w:val="21"/>
        </w:rPr>
        <w:t xml:space="preserve">“My only complaint is the wait. On weekends you can spend 30–40 minutes even with a booking. They need to sort that.”</w:t>
      </w:r>
      <w:r>
        <w:rPr>
          <w:rFonts w:ascii="Arial" w:cs="Arial" w:eastAsia="Arial" w:hAnsi="Arial"/>
          <w:color w:val="777777"/>
          <w:sz w:val="18"/>
          <w:szCs w:val="18"/>
        </w:rPr>
        <w:t xml:space="preserve">  — IT professional, Kozhikode, aged 29</w:t>
      </w:r>
    </w:p>
    <w:p>
      <w:pPr>
        <w:spacing w:after="60"/>
      </w:pPr>
    </w:p>
    <w:p>
      <w:pPr>
        <w:shd w:fill="F0F4F2" w:val="clear"/>
        <w:spacing w:after="100" w:before="100"/>
        <w:ind w:left="360" w:right="360"/>
      </w:pPr>
      <w:r>
        <w:rPr>
          <w:rFonts w:ascii="Arial" w:cs="Arial" w:eastAsia="Arial" w:hAnsi="Arial"/>
          <w:i/>
          <w:iCs/>
          <w:color w:val="0B5345"/>
          <w:sz w:val="21"/>
          <w:szCs w:val="21"/>
        </w:rPr>
        <w:t xml:space="preserve">“I found them on Instagram and drove from Thrissur to try the Peri Peri Al Faham. Absolutely worth it. Wish there was one closer.”</w:t>
      </w:r>
      <w:r>
        <w:rPr>
          <w:rFonts w:ascii="Arial" w:cs="Arial" w:eastAsia="Arial" w:hAnsi="Arial"/>
          <w:color w:val="777777"/>
          <w:sz w:val="18"/>
          <w:szCs w:val="18"/>
        </w:rPr>
        <w:t xml:space="preserve">  — Student, Thrissur, aged 22</w:t>
      </w:r>
    </w:p>
    <w:p>
      <w:r>
        <w:br w:type="page"/>
      </w:r>
    </w:p>
    <w:p>
      <w:pPr>
        <w:pBdr>
          <w:bottom w:val="single" w:color="B7600A" w:sz="8" w:space="0"/>
        </w:pBdr>
        <w:shd w:fill="0B5345" w:val="clear"/>
        <w:spacing w:after="0" w:before="320"/>
      </w:pPr>
      <w:r>
        <w:rPr>
          <w:rFonts w:ascii="Arial" w:cs="Arial" w:eastAsia="Arial" w:hAnsi="Arial"/>
          <w:b/>
          <w:bCs/>
          <w:color w:val="FFFFFF"/>
          <w:sz w:val="30"/>
          <w:szCs w:val="30"/>
        </w:rPr>
        <w:t xml:space="preserve">  3.  COMPETITIVE INTELLIGENCE</w:t>
      </w:r>
    </w:p>
    <w:p>
      <w:pPr>
        <w:spacing w:after="80"/>
      </w:pPr>
    </w:p>
    <w:p>
      <w:pPr>
        <w:pBdr>
          <w:bottom w:val="single" w:color="B7600A" w:sz="3" w:space="1"/>
        </w:pBdr>
        <w:spacing w:after="80" w:before="180"/>
      </w:pPr>
      <w:r>
        <w:rPr>
          <w:rFonts w:ascii="Arial" w:cs="Arial" w:eastAsia="Arial" w:hAnsi="Arial"/>
          <w:b/>
          <w:bCs/>
          <w:color w:val="0B5345"/>
          <w:sz w:val="22"/>
          <w:szCs w:val="22"/>
        </w:rPr>
        <w:t xml:space="preserve">3.1  Perceptual Mapping — Authenticity vs. Accessibility</w:t>
      </w:r>
    </w:p>
    <w:p>
      <w:pPr>
        <w:spacing w:after="80" w:before="60"/>
        <w:jc w:val="both"/>
      </w:pPr>
      <w:r>
        <w:rPr>
          <w:rFonts w:ascii="Arial" w:cs="Arial" w:eastAsia="Arial" w:hAnsi="Arial"/>
          <w:color w:val="1C1C1C"/>
          <w:sz w:val="20"/>
          <w:szCs w:val="20"/>
        </w:rPr>
        <w:t xml:space="preserve">A two-axis perceptual map was constructed from respondent attribute ratings. The X-axis represents Accessibility (convenience, price, locations, delivery speed) and the Y-axis represents Authenticity (genuine cooking method, food quality, cultural credibility). Nahdi occupies the high-authenticity quadrant but sits only at mid-level on accessibility, reflecting its limited delivery penetration and wait-time issues.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C8D5CF" w:sz="1"/>
              <w:left w:val="single" w:color="C8D5CF" w:sz="1"/>
              <w:bottom w:val="single" w:color="C8D5CF" w:sz="1"/>
              <w:right w:val="single" w:color="C8D5CF" w:sz="1"/>
            </w:tcBorders>
            <w:shd w:fill="0B5345" w:val="clear"/>
            <w:tcMar>
              <w:top w:type="dxa" w:w="80"/>
              <w:left w:type="dxa" w:w="120"/>
              <w:bottom w:type="dxa" w:w="80"/>
              <w:right w:type="dxa" w:w="120"/>
            </w:tcMar>
          </w:tcPr>
          <w:p>
            <w:pPr>
              <w:jc w:val="left"/>
            </w:pPr>
            <w:r>
              <w:rPr>
                <w:rFonts w:ascii="Arial" w:cs="Arial" w:eastAsia="Arial" w:hAnsi="Arial"/>
                <w:b/>
                <w:bCs/>
                <w:color w:val="FFFFFF"/>
                <w:sz w:val="19"/>
                <w:szCs w:val="19"/>
              </w:rPr>
              <w:t xml:space="preserve">Competitor</w:t>
            </w:r>
          </w:p>
        </w:tc>
        <w:tc>
          <w:tcPr>
            <w:tcW w:type="dxa" w:w="1640"/>
            <w:tcBorders>
              <w:top w:val="single" w:color="C8D5CF" w:sz="1"/>
              <w:left w:val="single" w:color="C8D5CF" w:sz="1"/>
              <w:bottom w:val="single" w:color="C8D5CF" w:sz="1"/>
              <w:right w:val="single" w:color="C8D5CF" w:sz="1"/>
            </w:tcBorders>
            <w:shd w:fill="0B5345"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Authenticity</w:t>
            </w:r>
          </w:p>
        </w:tc>
        <w:tc>
          <w:tcPr>
            <w:tcW w:type="dxa" w:w="1640"/>
            <w:tcBorders>
              <w:top w:val="single" w:color="C8D5CF" w:sz="1"/>
              <w:left w:val="single" w:color="C8D5CF" w:sz="1"/>
              <w:bottom w:val="single" w:color="C8D5CF" w:sz="1"/>
              <w:right w:val="single" w:color="C8D5CF" w:sz="1"/>
            </w:tcBorders>
            <w:shd w:fill="0B5345"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Accessibility</w:t>
            </w:r>
          </w:p>
        </w:tc>
        <w:tc>
          <w:tcPr>
            <w:tcW w:type="dxa" w:w="1640"/>
            <w:tcBorders>
              <w:top w:val="single" w:color="C8D5CF" w:sz="1"/>
              <w:left w:val="single" w:color="C8D5CF" w:sz="1"/>
              <w:bottom w:val="single" w:color="C8D5CF" w:sz="1"/>
              <w:right w:val="single" w:color="C8D5CF" w:sz="1"/>
            </w:tcBorders>
            <w:shd w:fill="0B5345"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Price Index</w:t>
            </w:r>
          </w:p>
        </w:tc>
        <w:tc>
          <w:tcPr>
            <w:tcW w:type="dxa" w:w="1640"/>
            <w:tcBorders>
              <w:top w:val="single" w:color="C8D5CF" w:sz="1"/>
              <w:left w:val="single" w:color="C8D5CF" w:sz="1"/>
              <w:bottom w:val="single" w:color="C8D5CF" w:sz="1"/>
              <w:right w:val="single" w:color="C8D5CF" w:sz="1"/>
            </w:tcBorders>
            <w:shd w:fill="0B5345"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NPS (Est.)</w:t>
            </w:r>
          </w:p>
        </w:tc>
      </w:tr>
      <w:tr>
        <w:tc>
          <w:tcPr>
            <w:tcW w:type="dxa" w:w="2800"/>
            <w:tcBorders>
              <w:top w:val="single" w:color="C8D5CF" w:sz="1"/>
              <w:left w:val="single" w:color="C8D5CF" w:sz="1"/>
              <w:bottom w:val="single" w:color="C8D5CF" w:sz="1"/>
              <w:right w:val="single" w:color="C8D5CF" w:sz="1"/>
            </w:tcBorders>
            <w:shd w:fill="FFFFFF" w:val="clear"/>
            <w:tcMar>
              <w:top w:type="dxa" w:w="80"/>
              <w:left w:type="dxa" w:w="120"/>
              <w:bottom w:type="dxa" w:w="80"/>
              <w:right w:type="dxa" w:w="120"/>
            </w:tcMar>
          </w:tcPr>
          <w:p>
            <w:pPr>
              <w:jc w:val="left"/>
            </w:pPr>
            <w:r>
              <w:rPr>
                <w:rFonts w:ascii="Arial" w:cs="Arial" w:eastAsia="Arial" w:hAnsi="Arial"/>
                <w:b/>
                <w:bCs/>
                <w:color w:val="B7600A"/>
                <w:sz w:val="19"/>
                <w:szCs w:val="19"/>
              </w:rPr>
              <w:t xml:space="preserve">Nahdi Kuzhimandi</w:t>
            </w:r>
          </w:p>
        </w:tc>
        <w:tc>
          <w:tcPr>
            <w:tcW w:type="dxa" w:w="1640"/>
            <w:tcBorders>
              <w:top w:val="single" w:color="C8D5CF" w:sz="1"/>
              <w:left w:val="single" w:color="C8D5CF" w:sz="1"/>
              <w:bottom w:val="single" w:color="C8D5CF" w:sz="1"/>
              <w:right w:val="single" w:color="C8D5C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6B45"/>
                <w:sz w:val="19"/>
                <w:szCs w:val="19"/>
              </w:rPr>
              <w:t xml:space="preserve">9.1 / 10</w:t>
            </w:r>
          </w:p>
        </w:tc>
        <w:tc>
          <w:tcPr>
            <w:tcW w:type="dxa" w:w="1640"/>
            <w:tcBorders>
              <w:top w:val="single" w:color="C8D5CF" w:sz="1"/>
              <w:left w:val="single" w:color="C8D5CF" w:sz="1"/>
              <w:bottom w:val="single" w:color="C8D5CF" w:sz="1"/>
              <w:right w:val="single" w:color="C8D5C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C0760A"/>
                <w:sz w:val="19"/>
                <w:szCs w:val="19"/>
              </w:rPr>
              <w:t xml:space="preserve">5.8 / 10</w:t>
            </w:r>
          </w:p>
        </w:tc>
        <w:tc>
          <w:tcPr>
            <w:tcW w:type="dxa" w:w="1640"/>
            <w:tcBorders>
              <w:top w:val="single" w:color="C8D5CF" w:sz="1"/>
              <w:left w:val="single" w:color="C8D5CF" w:sz="1"/>
              <w:bottom w:val="single" w:color="C8D5CF" w:sz="1"/>
              <w:right w:val="single" w:color="C8D5C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C1C1C"/>
                <w:sz w:val="19"/>
                <w:szCs w:val="19"/>
              </w:rPr>
              <w:t xml:space="preserve">100 (base)</w:t>
            </w:r>
          </w:p>
        </w:tc>
        <w:tc>
          <w:tcPr>
            <w:tcW w:type="dxa" w:w="1640"/>
            <w:tcBorders>
              <w:top w:val="single" w:color="C8D5CF" w:sz="1"/>
              <w:left w:val="single" w:color="C8D5CF" w:sz="1"/>
              <w:bottom w:val="single" w:color="C8D5CF" w:sz="1"/>
              <w:right w:val="single" w:color="C8D5C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6B45"/>
                <w:sz w:val="19"/>
                <w:szCs w:val="19"/>
              </w:rPr>
              <w:t xml:space="preserve">+61</w:t>
            </w:r>
          </w:p>
        </w:tc>
      </w:tr>
      <w:tr>
        <w:tc>
          <w:tcPr>
            <w:tcW w:type="dxa" w:w="2800"/>
            <w:tcBorders>
              <w:top w:val="single" w:color="C8D5CF" w:sz="1"/>
              <w:left w:val="single" w:color="C8D5CF" w:sz="1"/>
              <w:bottom w:val="single" w:color="C8D5CF" w:sz="1"/>
              <w:right w:val="single" w:color="C8D5CF" w:sz="1"/>
            </w:tcBorders>
            <w:shd w:fill="F0F4F2"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Al Badar Mandi</w:t>
            </w:r>
          </w:p>
        </w:tc>
        <w:tc>
          <w:tcPr>
            <w:tcW w:type="dxa" w:w="1640"/>
            <w:tcBorders>
              <w:top w:val="single" w:color="C8D5CF" w:sz="1"/>
              <w:left w:val="single" w:color="C8D5CF" w:sz="1"/>
              <w:bottom w:val="single" w:color="C8D5CF" w:sz="1"/>
              <w:right w:val="single" w:color="C8D5CF" w:sz="1"/>
            </w:tcBorders>
            <w:shd w:fill="F0F4F2" w:val="clear"/>
            <w:tcMar>
              <w:top w:type="dxa" w:w="80"/>
              <w:left w:type="dxa" w:w="120"/>
              <w:bottom w:type="dxa" w:w="80"/>
              <w:right w:type="dxa" w:w="120"/>
            </w:tcMar>
          </w:tcPr>
          <w:p>
            <w:pPr>
              <w:jc w:val="center"/>
            </w:pPr>
            <w:r>
              <w:rPr>
                <w:rFonts w:ascii="Arial" w:cs="Arial" w:eastAsia="Arial" w:hAnsi="Arial"/>
                <w:b w:val="false"/>
                <w:bCs w:val="false"/>
                <w:color w:val="1C1C1C"/>
                <w:sz w:val="19"/>
                <w:szCs w:val="19"/>
              </w:rPr>
              <w:t xml:space="preserve">7.2</w:t>
            </w:r>
          </w:p>
        </w:tc>
        <w:tc>
          <w:tcPr>
            <w:tcW w:type="dxa" w:w="1640"/>
            <w:tcBorders>
              <w:top w:val="single" w:color="C8D5CF" w:sz="1"/>
              <w:left w:val="single" w:color="C8D5CF" w:sz="1"/>
              <w:bottom w:val="single" w:color="C8D5CF" w:sz="1"/>
              <w:right w:val="single" w:color="C8D5CF" w:sz="1"/>
            </w:tcBorders>
            <w:shd w:fill="F0F4F2" w:val="clear"/>
            <w:tcMar>
              <w:top w:type="dxa" w:w="80"/>
              <w:left w:type="dxa" w:w="120"/>
              <w:bottom w:type="dxa" w:w="80"/>
              <w:right w:type="dxa" w:w="120"/>
            </w:tcMar>
          </w:tcPr>
          <w:p>
            <w:pPr>
              <w:jc w:val="center"/>
            </w:pPr>
            <w:r>
              <w:rPr>
                <w:rFonts w:ascii="Arial" w:cs="Arial" w:eastAsia="Arial" w:hAnsi="Arial"/>
                <w:b w:val="false"/>
                <w:bCs w:val="false"/>
                <w:color w:val="1C1C1C"/>
                <w:sz w:val="19"/>
                <w:szCs w:val="19"/>
              </w:rPr>
              <w:t xml:space="preserve">6.8</w:t>
            </w:r>
          </w:p>
        </w:tc>
        <w:tc>
          <w:tcPr>
            <w:tcW w:type="dxa" w:w="1640"/>
            <w:tcBorders>
              <w:top w:val="single" w:color="C8D5CF" w:sz="1"/>
              <w:left w:val="single" w:color="C8D5CF" w:sz="1"/>
              <w:bottom w:val="single" w:color="C8D5CF" w:sz="1"/>
              <w:right w:val="single" w:color="C8D5CF" w:sz="1"/>
            </w:tcBorders>
            <w:shd w:fill="F0F4F2" w:val="clear"/>
            <w:tcMar>
              <w:top w:type="dxa" w:w="80"/>
              <w:left w:type="dxa" w:w="120"/>
              <w:bottom w:type="dxa" w:w="80"/>
              <w:right w:type="dxa" w:w="120"/>
            </w:tcMar>
          </w:tcPr>
          <w:p>
            <w:pPr>
              <w:jc w:val="center"/>
            </w:pPr>
            <w:r>
              <w:rPr>
                <w:rFonts w:ascii="Arial" w:cs="Arial" w:eastAsia="Arial" w:hAnsi="Arial"/>
                <w:b w:val="false"/>
                <w:bCs w:val="false"/>
                <w:color w:val="1C1C1C"/>
                <w:sz w:val="19"/>
                <w:szCs w:val="19"/>
              </w:rPr>
              <w:t xml:space="preserve">91</w:t>
            </w:r>
          </w:p>
        </w:tc>
        <w:tc>
          <w:tcPr>
            <w:tcW w:type="dxa" w:w="1640"/>
            <w:tcBorders>
              <w:top w:val="single" w:color="C8D5CF" w:sz="1"/>
              <w:left w:val="single" w:color="C8D5CF" w:sz="1"/>
              <w:bottom w:val="single" w:color="C8D5CF" w:sz="1"/>
              <w:right w:val="single" w:color="C8D5CF" w:sz="1"/>
            </w:tcBorders>
            <w:shd w:fill="F0F4F2" w:val="clear"/>
            <w:tcMar>
              <w:top w:type="dxa" w:w="80"/>
              <w:left w:type="dxa" w:w="120"/>
              <w:bottom w:type="dxa" w:w="80"/>
              <w:right w:type="dxa" w:w="120"/>
            </w:tcMar>
          </w:tcPr>
          <w:p>
            <w:pPr>
              <w:jc w:val="center"/>
            </w:pPr>
            <w:r>
              <w:rPr>
                <w:rFonts w:ascii="Arial" w:cs="Arial" w:eastAsia="Arial" w:hAnsi="Arial"/>
                <w:b w:val="false"/>
                <w:bCs w:val="false"/>
                <w:color w:val="1C1C1C"/>
                <w:sz w:val="19"/>
                <w:szCs w:val="19"/>
              </w:rPr>
              <w:t xml:space="preserve">+42</w:t>
            </w:r>
          </w:p>
        </w:tc>
      </w:tr>
      <w:tr>
        <w:tc>
          <w:tcPr>
            <w:tcW w:type="dxa" w:w="2800"/>
            <w:tcBorders>
              <w:top w:val="single" w:color="C8D5CF" w:sz="1"/>
              <w:left w:val="single" w:color="C8D5CF" w:sz="1"/>
              <w:bottom w:val="single" w:color="C8D5CF" w:sz="1"/>
              <w:right w:val="single" w:color="C8D5CF"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Marhaba Mandi</w:t>
            </w:r>
          </w:p>
        </w:tc>
        <w:tc>
          <w:tcPr>
            <w:tcW w:type="dxa" w:w="1640"/>
            <w:tcBorders>
              <w:top w:val="single" w:color="C8D5CF" w:sz="1"/>
              <w:left w:val="single" w:color="C8D5CF" w:sz="1"/>
              <w:bottom w:val="single" w:color="C8D5CF" w:sz="1"/>
              <w:right w:val="single" w:color="C8D5C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C1C1C"/>
                <w:sz w:val="19"/>
                <w:szCs w:val="19"/>
              </w:rPr>
              <w:t xml:space="preserve">5.9</w:t>
            </w:r>
          </w:p>
        </w:tc>
        <w:tc>
          <w:tcPr>
            <w:tcW w:type="dxa" w:w="1640"/>
            <w:tcBorders>
              <w:top w:val="single" w:color="C8D5CF" w:sz="1"/>
              <w:left w:val="single" w:color="C8D5CF" w:sz="1"/>
              <w:bottom w:val="single" w:color="C8D5CF" w:sz="1"/>
              <w:right w:val="single" w:color="C8D5C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6B45"/>
                <w:sz w:val="19"/>
                <w:szCs w:val="19"/>
              </w:rPr>
              <w:t xml:space="preserve">8.1</w:t>
            </w:r>
          </w:p>
        </w:tc>
        <w:tc>
          <w:tcPr>
            <w:tcW w:type="dxa" w:w="1640"/>
            <w:tcBorders>
              <w:top w:val="single" w:color="C8D5CF" w:sz="1"/>
              <w:left w:val="single" w:color="C8D5CF" w:sz="1"/>
              <w:bottom w:val="single" w:color="C8D5CF" w:sz="1"/>
              <w:right w:val="single" w:color="C8D5C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C1C1C"/>
                <w:sz w:val="19"/>
                <w:szCs w:val="19"/>
              </w:rPr>
              <w:t xml:space="preserve">86</w:t>
            </w:r>
          </w:p>
        </w:tc>
        <w:tc>
          <w:tcPr>
            <w:tcW w:type="dxa" w:w="1640"/>
            <w:tcBorders>
              <w:top w:val="single" w:color="C8D5CF" w:sz="1"/>
              <w:left w:val="single" w:color="C8D5CF" w:sz="1"/>
              <w:bottom w:val="single" w:color="C8D5CF" w:sz="1"/>
              <w:right w:val="single" w:color="C8D5C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C1C1C"/>
                <w:sz w:val="19"/>
                <w:szCs w:val="19"/>
              </w:rPr>
              <w:t xml:space="preserve">+29</w:t>
            </w:r>
          </w:p>
        </w:tc>
      </w:tr>
      <w:tr>
        <w:tc>
          <w:tcPr>
            <w:tcW w:type="dxa" w:w="2800"/>
            <w:tcBorders>
              <w:top w:val="single" w:color="C8D5CF" w:sz="1"/>
              <w:left w:val="single" w:color="C8D5CF" w:sz="1"/>
              <w:bottom w:val="single" w:color="C8D5CF" w:sz="1"/>
              <w:right w:val="single" w:color="C8D5CF" w:sz="1"/>
            </w:tcBorders>
            <w:shd w:fill="F0F4F2"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Unbranded Independents</w:t>
            </w:r>
          </w:p>
        </w:tc>
        <w:tc>
          <w:tcPr>
            <w:tcW w:type="dxa" w:w="1640"/>
            <w:tcBorders>
              <w:top w:val="single" w:color="C8D5CF" w:sz="1"/>
              <w:left w:val="single" w:color="C8D5CF" w:sz="1"/>
              <w:bottom w:val="single" w:color="C8D5CF" w:sz="1"/>
              <w:right w:val="single" w:color="C8D5CF" w:sz="1"/>
            </w:tcBorders>
            <w:shd w:fill="F0F4F2" w:val="clear"/>
            <w:tcMar>
              <w:top w:type="dxa" w:w="80"/>
              <w:left w:type="dxa" w:w="120"/>
              <w:bottom w:type="dxa" w:w="80"/>
              <w:right w:type="dxa" w:w="120"/>
            </w:tcMar>
          </w:tcPr>
          <w:p>
            <w:pPr>
              <w:jc w:val="center"/>
            </w:pPr>
            <w:r>
              <w:rPr>
                <w:rFonts w:ascii="Arial" w:cs="Arial" w:eastAsia="Arial" w:hAnsi="Arial"/>
                <w:b w:val="false"/>
                <w:bCs w:val="false"/>
                <w:color w:val="1C1C1C"/>
                <w:sz w:val="19"/>
                <w:szCs w:val="19"/>
              </w:rPr>
              <w:t xml:space="preserve">5.1</w:t>
            </w:r>
          </w:p>
        </w:tc>
        <w:tc>
          <w:tcPr>
            <w:tcW w:type="dxa" w:w="1640"/>
            <w:tcBorders>
              <w:top w:val="single" w:color="C8D5CF" w:sz="1"/>
              <w:left w:val="single" w:color="C8D5CF" w:sz="1"/>
              <w:bottom w:val="single" w:color="C8D5CF" w:sz="1"/>
              <w:right w:val="single" w:color="C8D5CF" w:sz="1"/>
            </w:tcBorders>
            <w:shd w:fill="F0F4F2" w:val="clear"/>
            <w:tcMar>
              <w:top w:type="dxa" w:w="80"/>
              <w:left w:type="dxa" w:w="120"/>
              <w:bottom w:type="dxa" w:w="80"/>
              <w:right w:type="dxa" w:w="120"/>
            </w:tcMar>
          </w:tcPr>
          <w:p>
            <w:pPr>
              <w:jc w:val="center"/>
            </w:pPr>
            <w:r>
              <w:rPr>
                <w:rFonts w:ascii="Arial" w:cs="Arial" w:eastAsia="Arial" w:hAnsi="Arial"/>
                <w:b w:val="false"/>
                <w:bCs w:val="false"/>
                <w:color w:val="1C1C1C"/>
                <w:sz w:val="19"/>
                <w:szCs w:val="19"/>
              </w:rPr>
              <w:t xml:space="preserve">7.5</w:t>
            </w:r>
          </w:p>
        </w:tc>
        <w:tc>
          <w:tcPr>
            <w:tcW w:type="dxa" w:w="1640"/>
            <w:tcBorders>
              <w:top w:val="single" w:color="C8D5CF" w:sz="1"/>
              <w:left w:val="single" w:color="C8D5CF" w:sz="1"/>
              <w:bottom w:val="single" w:color="C8D5CF" w:sz="1"/>
              <w:right w:val="single" w:color="C8D5CF" w:sz="1"/>
            </w:tcBorders>
            <w:shd w:fill="F0F4F2" w:val="clear"/>
            <w:tcMar>
              <w:top w:type="dxa" w:w="80"/>
              <w:left w:type="dxa" w:w="120"/>
              <w:bottom w:type="dxa" w:w="80"/>
              <w:right w:type="dxa" w:w="120"/>
            </w:tcMar>
          </w:tcPr>
          <w:p>
            <w:pPr>
              <w:jc w:val="center"/>
            </w:pPr>
            <w:r>
              <w:rPr>
                <w:rFonts w:ascii="Arial" w:cs="Arial" w:eastAsia="Arial" w:hAnsi="Arial"/>
                <w:b w:val="false"/>
                <w:bCs w:val="false"/>
                <w:color w:val="1C1C1C"/>
                <w:sz w:val="19"/>
                <w:szCs w:val="19"/>
              </w:rPr>
              <w:t xml:space="preserve">74</w:t>
            </w:r>
          </w:p>
        </w:tc>
        <w:tc>
          <w:tcPr>
            <w:tcW w:type="dxa" w:w="1640"/>
            <w:tcBorders>
              <w:top w:val="single" w:color="C8D5CF" w:sz="1"/>
              <w:left w:val="single" w:color="C8D5CF" w:sz="1"/>
              <w:bottom w:val="single" w:color="C8D5CF" w:sz="1"/>
              <w:right w:val="single" w:color="C8D5CF" w:sz="1"/>
            </w:tcBorders>
            <w:shd w:fill="F0F4F2" w:val="clear"/>
            <w:tcMar>
              <w:top w:type="dxa" w:w="80"/>
              <w:left w:type="dxa" w:w="120"/>
              <w:bottom w:type="dxa" w:w="80"/>
              <w:right w:type="dxa" w:w="120"/>
            </w:tcMar>
          </w:tcPr>
          <w:p>
            <w:pPr>
              <w:jc w:val="center"/>
            </w:pPr>
            <w:r>
              <w:rPr>
                <w:rFonts w:ascii="Arial" w:cs="Arial" w:eastAsia="Arial" w:hAnsi="Arial"/>
                <w:b w:val="false"/>
                <w:bCs w:val="false"/>
                <w:color w:val="1C1C1C"/>
                <w:sz w:val="19"/>
                <w:szCs w:val="19"/>
              </w:rPr>
              <w:t xml:space="preserve">+18</w:t>
            </w:r>
          </w:p>
        </w:tc>
      </w:tr>
    </w:tbl>
    <w:p>
      <w:pPr>
        <w:spacing w:after="100"/>
      </w:pPr>
    </w:p>
    <w:p>
      <w:pPr>
        <w:spacing w:after="80" w:before="60"/>
        <w:jc w:val="both"/>
      </w:pPr>
      <w:r>
        <w:rPr>
          <w:rFonts w:ascii="Arial" w:cs="Arial" w:eastAsia="Arial" w:hAnsi="Arial"/>
          <w:color w:val="1C1C1C"/>
          <w:sz w:val="20"/>
          <w:szCs w:val="20"/>
        </w:rPr>
        <w:t xml:space="preserve">The analysis reveals Nahdi's key competitive gap: while it leads dramatically on authenticity and NPS, its accessibility score of 5.8 trails Marhaba Mandi's 8.1. If a competitor were to match Nahdi's food quality while delivering superior convenience, it would represent a serious threat. This gap creates urgency around the direct-delivery app strategy and wait-time reduction investments.</w:t>
      </w:r>
    </w:p>
    <w:p>
      <w:pPr>
        <w:spacing w:after="80"/>
      </w:pPr>
    </w:p>
    <w:p>
      <w:pPr>
        <w:pBdr>
          <w:bottom w:val="single" w:color="B7600A" w:sz="3" w:space="1"/>
        </w:pBdr>
        <w:spacing w:after="80" w:before="180"/>
      </w:pPr>
      <w:r>
        <w:rPr>
          <w:rFonts w:ascii="Arial" w:cs="Arial" w:eastAsia="Arial" w:hAnsi="Arial"/>
          <w:b/>
          <w:bCs/>
          <w:color w:val="0B5345"/>
          <w:sz w:val="22"/>
          <w:szCs w:val="22"/>
        </w:rPr>
        <w:t xml:space="preserve">3.2  Threat Assessment — Potential New Entrants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000"/>
        <w:gridCol w:w="2360"/>
      </w:tblGrid>
      <w:tr>
        <w:tc>
          <w:tcPr>
            <w:tcW w:type="dxa" w:w="2800"/>
            <w:tcBorders>
              <w:top w:val="single" w:color="C8D5CF" w:sz="1"/>
              <w:left w:val="single" w:color="C8D5CF" w:sz="1"/>
              <w:bottom w:val="single" w:color="C8D5CF" w:sz="1"/>
              <w:right w:val="single" w:color="C8D5CF" w:sz="1"/>
            </w:tcBorders>
            <w:shd w:fill="0B5345" w:val="clear"/>
            <w:tcMar>
              <w:top w:type="dxa" w:w="80"/>
              <w:left w:type="dxa" w:w="120"/>
              <w:bottom w:type="dxa" w:w="80"/>
              <w:right w:type="dxa" w:w="120"/>
            </w:tcMar>
          </w:tcPr>
          <w:p>
            <w:pPr>
              <w:jc w:val="left"/>
            </w:pPr>
            <w:r>
              <w:rPr>
                <w:rFonts w:ascii="Arial" w:cs="Arial" w:eastAsia="Arial" w:hAnsi="Arial"/>
                <w:b/>
                <w:bCs/>
                <w:color w:val="FFFFFF"/>
                <w:sz w:val="19"/>
                <w:szCs w:val="19"/>
              </w:rPr>
              <w:t xml:space="preserve">Potential Entrant</w:t>
            </w:r>
          </w:p>
        </w:tc>
        <w:tc>
          <w:tcPr>
            <w:tcW w:type="dxa" w:w="2200"/>
            <w:tcBorders>
              <w:top w:val="single" w:color="C8D5CF" w:sz="1"/>
              <w:left w:val="single" w:color="C8D5CF" w:sz="1"/>
              <w:bottom w:val="single" w:color="C8D5CF" w:sz="1"/>
              <w:right w:val="single" w:color="C8D5CF" w:sz="1"/>
            </w:tcBorders>
            <w:shd w:fill="0B5345" w:val="clear"/>
            <w:tcMar>
              <w:top w:type="dxa" w:w="80"/>
              <w:left w:type="dxa" w:w="120"/>
              <w:bottom w:type="dxa" w:w="80"/>
              <w:right w:type="dxa" w:w="120"/>
            </w:tcMar>
          </w:tcPr>
          <w:p>
            <w:pPr>
              <w:jc w:val="left"/>
            </w:pPr>
            <w:r>
              <w:rPr>
                <w:rFonts w:ascii="Arial" w:cs="Arial" w:eastAsia="Arial" w:hAnsi="Arial"/>
                <w:b/>
                <w:bCs/>
                <w:color w:val="FFFFFF"/>
                <w:sz w:val="19"/>
                <w:szCs w:val="19"/>
              </w:rPr>
              <w:t xml:space="preserve">Entry Mode</w:t>
            </w:r>
          </w:p>
        </w:tc>
        <w:tc>
          <w:tcPr>
            <w:tcW w:type="dxa" w:w="2000"/>
            <w:tcBorders>
              <w:top w:val="single" w:color="C8D5CF" w:sz="1"/>
              <w:left w:val="single" w:color="C8D5CF" w:sz="1"/>
              <w:bottom w:val="single" w:color="C8D5CF" w:sz="1"/>
              <w:right w:val="single" w:color="C8D5CF" w:sz="1"/>
            </w:tcBorders>
            <w:shd w:fill="0B5345"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Threat Level</w:t>
            </w:r>
          </w:p>
        </w:tc>
        <w:tc>
          <w:tcPr>
            <w:tcW w:type="dxa" w:w="2360"/>
            <w:tcBorders>
              <w:top w:val="single" w:color="C8D5CF" w:sz="1"/>
              <w:left w:val="single" w:color="C8D5CF" w:sz="1"/>
              <w:bottom w:val="single" w:color="C8D5CF" w:sz="1"/>
              <w:right w:val="single" w:color="C8D5CF" w:sz="1"/>
            </w:tcBorders>
            <w:shd w:fill="0B5345" w:val="clear"/>
            <w:tcMar>
              <w:top w:type="dxa" w:w="80"/>
              <w:left w:type="dxa" w:w="120"/>
              <w:bottom w:type="dxa" w:w="80"/>
              <w:right w:type="dxa" w:w="120"/>
            </w:tcMar>
          </w:tcPr>
          <w:p>
            <w:pPr>
              <w:jc w:val="left"/>
            </w:pPr>
            <w:r>
              <w:rPr>
                <w:rFonts w:ascii="Arial" w:cs="Arial" w:eastAsia="Arial" w:hAnsi="Arial"/>
                <w:b/>
                <w:bCs/>
                <w:color w:val="FFFFFF"/>
                <w:sz w:val="19"/>
                <w:szCs w:val="19"/>
              </w:rPr>
              <w:t xml:space="preserve">Nahdi's Defensive Moat</w:t>
            </w:r>
          </w:p>
        </w:tc>
      </w:tr>
      <w:tr>
        <w:tc>
          <w:tcPr>
            <w:tcW w:type="dxa" w:w="2800"/>
            <w:tcBorders>
              <w:top w:val="single" w:color="C8D5CF" w:sz="1"/>
              <w:left w:val="single" w:color="C8D5CF" w:sz="1"/>
              <w:bottom w:val="single" w:color="C8D5CF" w:sz="1"/>
              <w:right w:val="single" w:color="C8D5CF"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Gulf-based Mandi brand (e.g., Al Fanar, Madhbi House)</w:t>
            </w:r>
          </w:p>
        </w:tc>
        <w:tc>
          <w:tcPr>
            <w:tcW w:type="dxa" w:w="2200"/>
            <w:tcBorders>
              <w:top w:val="single" w:color="C8D5CF" w:sz="1"/>
              <w:left w:val="single" w:color="C8D5CF" w:sz="1"/>
              <w:bottom w:val="single" w:color="C8D5CF" w:sz="1"/>
              <w:right w:val="single" w:color="C8D5CF"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Direct outlet or franchise</w:t>
            </w:r>
          </w:p>
        </w:tc>
        <w:tc>
          <w:tcPr>
            <w:tcW w:type="dxa" w:w="2000"/>
            <w:tcBorders>
              <w:top w:val="single" w:color="C8D5CF" w:sz="1"/>
              <w:left w:val="single" w:color="C8D5CF" w:sz="1"/>
              <w:bottom w:val="single" w:color="C8D5CF" w:sz="1"/>
              <w:right w:val="single" w:color="C8D5CF" w:sz="1"/>
            </w:tcBorders>
            <w:shd w:fill="FFFFFF" w:val="clear"/>
            <w:tcMar>
              <w:top w:type="dxa" w:w="80"/>
              <w:left w:type="dxa" w:w="120"/>
              <w:bottom w:type="dxa" w:w="80"/>
              <w:right w:type="dxa" w:w="120"/>
            </w:tcMar>
          </w:tcPr>
          <w:p>
            <w:pPr>
              <w:jc w:val="left"/>
            </w:pPr>
            <w:r>
              <w:rPr>
                <w:rFonts w:ascii="Arial" w:cs="Arial" w:eastAsia="Arial" w:hAnsi="Arial"/>
                <w:b w:val="false"/>
                <w:bCs w:val="false"/>
                <w:color w:val="A93226"/>
                <w:sz w:val="19"/>
                <w:szCs w:val="19"/>
              </w:rPr>
              <w:t xml:space="preserve">HIGH</w:t>
            </w:r>
          </w:p>
        </w:tc>
        <w:tc>
          <w:tcPr>
            <w:tcW w:type="dxa" w:w="2360"/>
            <w:tcBorders>
              <w:top w:val="single" w:color="C8D5CF" w:sz="1"/>
              <w:left w:val="single" w:color="C8D5CF" w:sz="1"/>
              <w:bottom w:val="single" w:color="C8D5CF" w:sz="1"/>
              <w:right w:val="single" w:color="C8D5CF"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Local trust, price premium absorption capacity</w:t>
            </w:r>
          </w:p>
        </w:tc>
      </w:tr>
      <w:tr>
        <w:tc>
          <w:tcPr>
            <w:tcW w:type="dxa" w:w="2800"/>
            <w:tcBorders>
              <w:top w:val="single" w:color="C8D5CF" w:sz="1"/>
              <w:left w:val="single" w:color="C8D5CF" w:sz="1"/>
              <w:bottom w:val="single" w:color="C8D5CF" w:sz="1"/>
              <w:right w:val="single" w:color="C8D5CF" w:sz="1"/>
            </w:tcBorders>
            <w:shd w:fill="F0F4F2"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Large Indian QSR chain (e.g., Behrouz Biryani)</w:t>
            </w:r>
          </w:p>
        </w:tc>
        <w:tc>
          <w:tcPr>
            <w:tcW w:type="dxa" w:w="2200"/>
            <w:tcBorders>
              <w:top w:val="single" w:color="C8D5CF" w:sz="1"/>
              <w:left w:val="single" w:color="C8D5CF" w:sz="1"/>
              <w:bottom w:val="single" w:color="C8D5CF" w:sz="1"/>
              <w:right w:val="single" w:color="C8D5CF" w:sz="1"/>
            </w:tcBorders>
            <w:shd w:fill="F0F4F2"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Dark kitchen / delivery-first</w:t>
            </w:r>
          </w:p>
        </w:tc>
        <w:tc>
          <w:tcPr>
            <w:tcW w:type="dxa" w:w="2000"/>
            <w:tcBorders>
              <w:top w:val="single" w:color="C8D5CF" w:sz="1"/>
              <w:left w:val="single" w:color="C8D5CF" w:sz="1"/>
              <w:bottom w:val="single" w:color="C8D5CF" w:sz="1"/>
              <w:right w:val="single" w:color="C8D5CF" w:sz="1"/>
            </w:tcBorders>
            <w:shd w:fill="F0F4F2" w:val="clear"/>
            <w:tcMar>
              <w:top w:type="dxa" w:w="80"/>
              <w:left w:type="dxa" w:w="120"/>
              <w:bottom w:type="dxa" w:w="80"/>
              <w:right w:type="dxa" w:w="120"/>
            </w:tcMar>
          </w:tcPr>
          <w:p>
            <w:pPr>
              <w:jc w:val="left"/>
            </w:pPr>
            <w:r>
              <w:rPr>
                <w:rFonts w:ascii="Arial" w:cs="Arial" w:eastAsia="Arial" w:hAnsi="Arial"/>
                <w:b w:val="false"/>
                <w:bCs w:val="false"/>
                <w:color w:val="C0760A"/>
                <w:sz w:val="19"/>
                <w:szCs w:val="19"/>
              </w:rPr>
              <w:t xml:space="preserve">MEDIUM</w:t>
            </w:r>
          </w:p>
        </w:tc>
        <w:tc>
          <w:tcPr>
            <w:tcW w:type="dxa" w:w="2360"/>
            <w:tcBorders>
              <w:top w:val="single" w:color="C8D5CF" w:sz="1"/>
              <w:left w:val="single" w:color="C8D5CF" w:sz="1"/>
              <w:bottom w:val="single" w:color="C8D5CF" w:sz="1"/>
              <w:right w:val="single" w:color="C8D5CF" w:sz="1"/>
            </w:tcBorders>
            <w:shd w:fill="F0F4F2"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Pit-cook authenticity cannot be replicated in dark kitchen</w:t>
            </w:r>
          </w:p>
        </w:tc>
      </w:tr>
      <w:tr>
        <w:tc>
          <w:tcPr>
            <w:tcW w:type="dxa" w:w="2800"/>
            <w:tcBorders>
              <w:top w:val="single" w:color="C8D5CF" w:sz="1"/>
              <w:left w:val="single" w:color="C8D5CF" w:sz="1"/>
              <w:bottom w:val="single" w:color="C8D5CF" w:sz="1"/>
              <w:right w:val="single" w:color="C8D5CF"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Well-funded Kerala hospitality group</w:t>
            </w:r>
          </w:p>
        </w:tc>
        <w:tc>
          <w:tcPr>
            <w:tcW w:type="dxa" w:w="2200"/>
            <w:tcBorders>
              <w:top w:val="single" w:color="C8D5CF" w:sz="1"/>
              <w:left w:val="single" w:color="C8D5CF" w:sz="1"/>
              <w:bottom w:val="single" w:color="C8D5CF" w:sz="1"/>
              <w:right w:val="single" w:color="C8D5CF"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Branded Mandi sub-brand</w:t>
            </w:r>
          </w:p>
        </w:tc>
        <w:tc>
          <w:tcPr>
            <w:tcW w:type="dxa" w:w="2000"/>
            <w:tcBorders>
              <w:top w:val="single" w:color="C8D5CF" w:sz="1"/>
              <w:left w:val="single" w:color="C8D5CF" w:sz="1"/>
              <w:bottom w:val="single" w:color="C8D5CF" w:sz="1"/>
              <w:right w:val="single" w:color="C8D5CF" w:sz="1"/>
            </w:tcBorders>
            <w:shd w:fill="FFFFFF" w:val="clear"/>
            <w:tcMar>
              <w:top w:type="dxa" w:w="80"/>
              <w:left w:type="dxa" w:w="120"/>
              <w:bottom w:type="dxa" w:w="80"/>
              <w:right w:type="dxa" w:w="120"/>
            </w:tcMar>
          </w:tcPr>
          <w:p>
            <w:pPr>
              <w:jc w:val="left"/>
            </w:pPr>
            <w:r>
              <w:rPr>
                <w:rFonts w:ascii="Arial" w:cs="Arial" w:eastAsia="Arial" w:hAnsi="Arial"/>
                <w:b w:val="false"/>
                <w:bCs w:val="false"/>
                <w:color w:val="C0760A"/>
                <w:sz w:val="19"/>
                <w:szCs w:val="19"/>
              </w:rPr>
              <w:t xml:space="preserve">MEDIUM</w:t>
            </w:r>
          </w:p>
        </w:tc>
        <w:tc>
          <w:tcPr>
            <w:tcW w:type="dxa" w:w="2360"/>
            <w:tcBorders>
              <w:top w:val="single" w:color="C8D5CF" w:sz="1"/>
              <w:left w:val="single" w:color="C8D5CF" w:sz="1"/>
              <w:bottom w:val="single" w:color="C8D5CF" w:sz="1"/>
              <w:right w:val="single" w:color="C8D5CF"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Speed-to-scale and 10-year brand lead</w:t>
            </w:r>
          </w:p>
        </w:tc>
      </w:tr>
      <w:tr>
        <w:tc>
          <w:tcPr>
            <w:tcW w:type="dxa" w:w="2800"/>
            <w:tcBorders>
              <w:top w:val="single" w:color="C8D5CF" w:sz="1"/>
              <w:left w:val="single" w:color="C8D5CF" w:sz="1"/>
              <w:bottom w:val="single" w:color="C8D5CF" w:sz="1"/>
              <w:right w:val="single" w:color="C8D5CF" w:sz="1"/>
            </w:tcBorders>
            <w:shd w:fill="F0F4F2"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Aggregator-owned virtual brand (Swiggy, Zomato)</w:t>
            </w:r>
          </w:p>
        </w:tc>
        <w:tc>
          <w:tcPr>
            <w:tcW w:type="dxa" w:w="2200"/>
            <w:tcBorders>
              <w:top w:val="single" w:color="C8D5CF" w:sz="1"/>
              <w:left w:val="single" w:color="C8D5CF" w:sz="1"/>
              <w:bottom w:val="single" w:color="C8D5CF" w:sz="1"/>
              <w:right w:val="single" w:color="C8D5CF" w:sz="1"/>
            </w:tcBorders>
            <w:shd w:fill="F0F4F2"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Virtual Mandi brand</w:t>
            </w:r>
          </w:p>
        </w:tc>
        <w:tc>
          <w:tcPr>
            <w:tcW w:type="dxa" w:w="2000"/>
            <w:tcBorders>
              <w:top w:val="single" w:color="C8D5CF" w:sz="1"/>
              <w:left w:val="single" w:color="C8D5CF" w:sz="1"/>
              <w:bottom w:val="single" w:color="C8D5CF" w:sz="1"/>
              <w:right w:val="single" w:color="C8D5CF" w:sz="1"/>
            </w:tcBorders>
            <w:shd w:fill="F0F4F2" w:val="clear"/>
            <w:tcMar>
              <w:top w:type="dxa" w:w="80"/>
              <w:left w:type="dxa" w:w="120"/>
              <w:bottom w:type="dxa" w:w="80"/>
              <w:right w:type="dxa" w:w="120"/>
            </w:tcMar>
          </w:tcPr>
          <w:p>
            <w:pPr>
              <w:jc w:val="left"/>
            </w:pPr>
            <w:r>
              <w:rPr>
                <w:rFonts w:ascii="Arial" w:cs="Arial" w:eastAsia="Arial" w:hAnsi="Arial"/>
                <w:b w:val="false"/>
                <w:bCs w:val="false"/>
                <w:color w:val="1E6B45"/>
                <w:sz w:val="19"/>
                <w:szCs w:val="19"/>
              </w:rPr>
              <w:t xml:space="preserve">LOW</w:t>
            </w:r>
          </w:p>
        </w:tc>
        <w:tc>
          <w:tcPr>
            <w:tcW w:type="dxa" w:w="2360"/>
            <w:tcBorders>
              <w:top w:val="single" w:color="C8D5CF" w:sz="1"/>
              <w:left w:val="single" w:color="C8D5CF" w:sz="1"/>
              <w:bottom w:val="single" w:color="C8D5CF" w:sz="1"/>
              <w:right w:val="single" w:color="C8D5CF" w:sz="1"/>
            </w:tcBorders>
            <w:shd w:fill="F0F4F2"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Aggregator brands lack dine-in experience</w:t>
            </w:r>
          </w:p>
        </w:tc>
      </w:tr>
    </w:tbl>
    <w:p>
      <w:r>
        <w:br w:type="page"/>
      </w:r>
    </w:p>
    <w:p>
      <w:pPr>
        <w:pBdr>
          <w:bottom w:val="single" w:color="B7600A" w:sz="8" w:space="0"/>
        </w:pBdr>
        <w:shd w:fill="0B5345" w:val="clear"/>
        <w:spacing w:after="0" w:before="320"/>
      </w:pPr>
      <w:r>
        <w:rPr>
          <w:rFonts w:ascii="Arial" w:cs="Arial" w:eastAsia="Arial" w:hAnsi="Arial"/>
          <w:b/>
          <w:bCs/>
          <w:color w:val="FFFFFF"/>
          <w:sz w:val="30"/>
          <w:szCs w:val="30"/>
        </w:rPr>
        <w:t xml:space="preserve">  4.  SOCIAL &amp; DIGITAL LISTENING ANALYSIS</w:t>
      </w:r>
    </w:p>
    <w:p>
      <w:pPr>
        <w:spacing w:after="80"/>
      </w:pPr>
    </w:p>
    <w:p>
      <w:pPr>
        <w:pBdr>
          <w:bottom w:val="single" w:color="B7600A" w:sz="3" w:space="1"/>
        </w:pBdr>
        <w:spacing w:after="80" w:before="180"/>
      </w:pPr>
      <w:r>
        <w:rPr>
          <w:rFonts w:ascii="Arial" w:cs="Arial" w:eastAsia="Arial" w:hAnsi="Arial"/>
          <w:b/>
          <w:bCs/>
          <w:color w:val="0B5345"/>
          <w:sz w:val="22"/>
          <w:szCs w:val="22"/>
        </w:rPr>
        <w:t xml:space="preserve">4.1  Online Sentiment Overview (Jan 2023 – Jan 2024)</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8D5CF" w:sz="1"/>
              <w:left w:val="single" w:color="C8D5CF" w:sz="1"/>
              <w:bottom w:val="single" w:color="C8D5CF" w:sz="1"/>
              <w:right w:val="single" w:color="C8D5CF" w:sz="1"/>
            </w:tcBorders>
            <w:shd w:fill="F0F4F2" w:val="clear"/>
            <w:tcMar>
              <w:top w:type="dxa" w:w="120"/>
              <w:left w:type="dxa" w:w="140"/>
              <w:bottom w:type="dxa" w:w="120"/>
              <w:right w:type="dxa" w:w="140"/>
            </w:tcMar>
          </w:tcPr>
          <w:p>
            <w:pPr>
              <w:jc w:val="center"/>
            </w:pPr>
            <w:r>
              <w:rPr>
                <w:rFonts w:ascii="Arial" w:cs="Arial" w:eastAsia="Arial" w:hAnsi="Arial"/>
                <w:b/>
                <w:bCs/>
                <w:color w:val="0B5345"/>
                <w:sz w:val="36"/>
                <w:szCs w:val="36"/>
              </w:rPr>
              <w:t xml:space="preserve">12,400+</w:t>
            </w:r>
          </w:p>
          <w:p>
            <w:pPr>
              <w:jc w:val="center"/>
            </w:pPr>
            <w:r>
              <w:rPr>
                <w:rFonts w:ascii="Arial" w:cs="Arial" w:eastAsia="Arial" w:hAnsi="Arial"/>
                <w:b/>
                <w:bCs/>
                <w:color w:val="444444"/>
                <w:sz w:val="17"/>
                <w:szCs w:val="17"/>
              </w:rPr>
              <w:t xml:space="preserve">Total Mentions Analysed</w:t>
            </w:r>
          </w:p>
          <w:p>
            <w:pPr>
              <w:jc w:val="center"/>
            </w:pPr>
            <w:r>
              <w:rPr>
                <w:rFonts w:ascii="Arial" w:cs="Arial" w:eastAsia="Arial" w:hAnsi="Arial"/>
                <w:i/>
                <w:iCs/>
                <w:color w:val="888888"/>
                <w:sz w:val="15"/>
                <w:szCs w:val="15"/>
              </w:rPr>
              <w:t xml:space="preserve">Google, IG, FB, Zomato, YouTube</w:t>
            </w:r>
          </w:p>
        </w:tc>
        <w:tc>
          <w:tcPr>
            <w:tcW w:type="dxa" w:w="2340"/>
            <w:tcBorders>
              <w:top w:val="single" w:color="C8D5CF" w:sz="1"/>
              <w:left w:val="single" w:color="C8D5CF" w:sz="1"/>
              <w:bottom w:val="single" w:color="C8D5CF" w:sz="1"/>
              <w:right w:val="single" w:color="C8D5CF" w:sz="1"/>
            </w:tcBorders>
            <w:shd w:fill="F0F4F2" w:val="clear"/>
            <w:tcMar>
              <w:top w:type="dxa" w:w="120"/>
              <w:left w:type="dxa" w:w="140"/>
              <w:bottom w:type="dxa" w:w="120"/>
              <w:right w:type="dxa" w:w="140"/>
            </w:tcMar>
          </w:tcPr>
          <w:p>
            <w:pPr>
              <w:jc w:val="center"/>
            </w:pPr>
            <w:r>
              <w:rPr>
                <w:rFonts w:ascii="Arial" w:cs="Arial" w:eastAsia="Arial" w:hAnsi="Arial"/>
                <w:b/>
                <w:bCs/>
                <w:color w:val="1E6B45"/>
                <w:sz w:val="36"/>
                <w:szCs w:val="36"/>
              </w:rPr>
              <w:t xml:space="preserve">79%</w:t>
            </w:r>
          </w:p>
          <w:p>
            <w:pPr>
              <w:jc w:val="center"/>
            </w:pPr>
            <w:r>
              <w:rPr>
                <w:rFonts w:ascii="Arial" w:cs="Arial" w:eastAsia="Arial" w:hAnsi="Arial"/>
                <w:b/>
                <w:bCs/>
                <w:color w:val="444444"/>
                <w:sz w:val="17"/>
                <w:szCs w:val="17"/>
              </w:rPr>
              <w:t xml:space="preserve">Positive Sentiment</w:t>
            </w:r>
          </w:p>
          <w:p>
            <w:pPr>
              <w:jc w:val="center"/>
            </w:pPr>
            <w:r>
              <w:rPr>
                <w:rFonts w:ascii="Arial" w:cs="Arial" w:eastAsia="Arial" w:hAnsi="Arial"/>
                <w:i/>
                <w:iCs/>
                <w:color w:val="888888"/>
                <w:sz w:val="15"/>
                <w:szCs w:val="15"/>
              </w:rPr>
              <w:t xml:space="preserve">of classified mentions</w:t>
            </w:r>
          </w:p>
        </w:tc>
        <w:tc>
          <w:tcPr>
            <w:tcW w:type="dxa" w:w="2340"/>
            <w:tcBorders>
              <w:top w:val="single" w:color="C8D5CF" w:sz="1"/>
              <w:left w:val="single" w:color="C8D5CF" w:sz="1"/>
              <w:bottom w:val="single" w:color="C8D5CF" w:sz="1"/>
              <w:right w:val="single" w:color="C8D5CF" w:sz="1"/>
            </w:tcBorders>
            <w:shd w:fill="F0F4F2" w:val="clear"/>
            <w:tcMar>
              <w:top w:type="dxa" w:w="120"/>
              <w:left w:type="dxa" w:w="140"/>
              <w:bottom w:type="dxa" w:w="120"/>
              <w:right w:type="dxa" w:w="140"/>
            </w:tcMar>
          </w:tcPr>
          <w:p>
            <w:pPr>
              <w:jc w:val="center"/>
            </w:pPr>
            <w:r>
              <w:rPr>
                <w:rFonts w:ascii="Arial" w:cs="Arial" w:eastAsia="Arial" w:hAnsi="Arial"/>
                <w:b/>
                <w:bCs/>
                <w:color w:val="888888"/>
                <w:sz w:val="36"/>
                <w:szCs w:val="36"/>
              </w:rPr>
              <w:t xml:space="preserve">13%</w:t>
            </w:r>
          </w:p>
          <w:p>
            <w:pPr>
              <w:jc w:val="center"/>
            </w:pPr>
            <w:r>
              <w:rPr>
                <w:rFonts w:ascii="Arial" w:cs="Arial" w:eastAsia="Arial" w:hAnsi="Arial"/>
                <w:b/>
                <w:bCs/>
                <w:color w:val="444444"/>
                <w:sz w:val="17"/>
                <w:szCs w:val="17"/>
              </w:rPr>
              <w:t xml:space="preserve">Neutral Sentiment</w:t>
            </w:r>
          </w:p>
          <w:p>
            <w:pPr>
              <w:jc w:val="center"/>
            </w:pPr>
            <w:r>
              <w:rPr>
                <w:rFonts w:ascii="Arial" w:cs="Arial" w:eastAsia="Arial" w:hAnsi="Arial"/>
                <w:i/>
                <w:iCs/>
                <w:color w:val="888888"/>
                <w:sz w:val="15"/>
                <w:szCs w:val="15"/>
              </w:rPr>
              <w:t xml:space="preserve"/>
            </w:r>
          </w:p>
        </w:tc>
        <w:tc>
          <w:tcPr>
            <w:tcW w:type="dxa" w:w="2340"/>
            <w:tcBorders>
              <w:top w:val="single" w:color="C8D5CF" w:sz="1"/>
              <w:left w:val="single" w:color="C8D5CF" w:sz="1"/>
              <w:bottom w:val="single" w:color="C8D5CF" w:sz="1"/>
              <w:right w:val="single" w:color="C8D5CF" w:sz="1"/>
            </w:tcBorders>
            <w:shd w:fill="F0F4F2" w:val="clear"/>
            <w:tcMar>
              <w:top w:type="dxa" w:w="120"/>
              <w:left w:type="dxa" w:w="140"/>
              <w:bottom w:type="dxa" w:w="120"/>
              <w:right w:type="dxa" w:w="140"/>
            </w:tcMar>
          </w:tcPr>
          <w:p>
            <w:pPr>
              <w:jc w:val="center"/>
            </w:pPr>
            <w:r>
              <w:rPr>
                <w:rFonts w:ascii="Arial" w:cs="Arial" w:eastAsia="Arial" w:hAnsi="Arial"/>
                <w:b/>
                <w:bCs/>
                <w:color w:val="A93226"/>
                <w:sz w:val="36"/>
                <w:szCs w:val="36"/>
              </w:rPr>
              <w:t xml:space="preserve">8%</w:t>
            </w:r>
          </w:p>
          <w:p>
            <w:pPr>
              <w:jc w:val="center"/>
            </w:pPr>
            <w:r>
              <w:rPr>
                <w:rFonts w:ascii="Arial" w:cs="Arial" w:eastAsia="Arial" w:hAnsi="Arial"/>
                <w:b/>
                <w:bCs/>
                <w:color w:val="444444"/>
                <w:sz w:val="17"/>
                <w:szCs w:val="17"/>
              </w:rPr>
              <w:t xml:space="preserve">Negative Sentiment</w:t>
            </w:r>
          </w:p>
          <w:p>
            <w:pPr>
              <w:jc w:val="center"/>
            </w:pPr>
            <w:r>
              <w:rPr>
                <w:rFonts w:ascii="Arial" w:cs="Arial" w:eastAsia="Arial" w:hAnsi="Arial"/>
                <w:i/>
                <w:iCs/>
                <w:color w:val="888888"/>
                <w:sz w:val="15"/>
                <w:szCs w:val="15"/>
              </w:rPr>
              <w:t xml:space="preserve">of classified mentions</w:t>
            </w:r>
          </w:p>
        </w:tc>
      </w:tr>
    </w:tbl>
    <w:p>
      <w:pPr>
        <w:spacing w:after="120"/>
      </w:pPr>
    </w:p>
    <w:p>
      <w:pPr>
        <w:pBdr>
          <w:bottom w:val="single" w:color="B7600A" w:sz="3" w:space="1"/>
        </w:pBdr>
        <w:spacing w:after="80" w:before="180"/>
      </w:pPr>
      <w:r>
        <w:rPr>
          <w:rFonts w:ascii="Arial" w:cs="Arial" w:eastAsia="Arial" w:hAnsi="Arial"/>
          <w:b/>
          <w:bCs/>
          <w:color w:val="0B5345"/>
          <w:sz w:val="22"/>
          <w:szCs w:val="22"/>
        </w:rPr>
        <w:t xml:space="preserve">4.2  Top Positive Themes (from NLP Topic Modelling)</w:t>
      </w:r>
    </w:p>
    <w:p>
      <w:pPr>
        <w:pStyle w:val="ListParagraph"/>
        <w:numPr>
          <w:ilvl w:val="0"/>
          <w:numId w:val="2"/>
        </w:numPr>
        <w:spacing w:after="50" w:before="50"/>
      </w:pPr>
      <w:r>
        <w:rPr>
          <w:rFonts w:ascii="Arial" w:cs="Arial" w:eastAsia="Arial" w:hAnsi="Arial"/>
          <w:color w:val="1C1C1C"/>
          <w:sz w:val="20"/>
          <w:szCs w:val="20"/>
        </w:rPr>
        <w:t xml:space="preserve">Meat quality and tenderness (mentioned in 68% of positive reviews)</w:t>
      </w:r>
    </w:p>
    <w:p>
      <w:pPr>
        <w:pStyle w:val="ListParagraph"/>
        <w:numPr>
          <w:ilvl w:val="0"/>
          <w:numId w:val="2"/>
        </w:numPr>
        <w:spacing w:after="50" w:before="50"/>
      </w:pPr>
      <w:r>
        <w:rPr>
          <w:rFonts w:ascii="Arial" w:cs="Arial" w:eastAsia="Arial" w:hAnsi="Arial"/>
          <w:color w:val="1C1C1C"/>
          <w:sz w:val="20"/>
          <w:szCs w:val="20"/>
        </w:rPr>
        <w:t xml:space="preserve">Pit-cooking uniqueness and authenticity (54%)</w:t>
      </w:r>
    </w:p>
    <w:p>
      <w:pPr>
        <w:pStyle w:val="ListParagraph"/>
        <w:numPr>
          <w:ilvl w:val="0"/>
          <w:numId w:val="2"/>
        </w:numPr>
        <w:spacing w:after="50" w:before="50"/>
      </w:pPr>
      <w:r>
        <w:rPr>
          <w:rFonts w:ascii="Arial" w:cs="Arial" w:eastAsia="Arial" w:hAnsi="Arial"/>
          <w:color w:val="1C1C1C"/>
          <w:sz w:val="20"/>
          <w:szCs w:val="20"/>
        </w:rPr>
        <w:t xml:space="preserve">Generous unlimited rice (49%)</w:t>
      </w:r>
    </w:p>
    <w:p>
      <w:pPr>
        <w:pStyle w:val="ListParagraph"/>
        <w:numPr>
          <w:ilvl w:val="0"/>
          <w:numId w:val="2"/>
        </w:numPr>
        <w:spacing w:after="50" w:before="50"/>
      </w:pPr>
      <w:r>
        <w:rPr>
          <w:rFonts w:ascii="Arial" w:cs="Arial" w:eastAsia="Arial" w:hAnsi="Arial"/>
          <w:color w:val="1C1C1C"/>
          <w:sz w:val="20"/>
          <w:szCs w:val="20"/>
        </w:rPr>
        <w:t xml:space="preserve">Gulf-like experience / nostalgia (38%)</w:t>
      </w:r>
    </w:p>
    <w:p>
      <w:pPr>
        <w:pStyle w:val="ListParagraph"/>
        <w:numPr>
          <w:ilvl w:val="0"/>
          <w:numId w:val="2"/>
        </w:numPr>
        <w:spacing w:after="50" w:before="50"/>
      </w:pPr>
      <w:r>
        <w:rPr>
          <w:rFonts w:ascii="Arial" w:cs="Arial" w:eastAsia="Arial" w:hAnsi="Arial"/>
          <w:color w:val="1C1C1C"/>
          <w:sz w:val="20"/>
          <w:szCs w:val="20"/>
        </w:rPr>
        <w:t xml:space="preserve">Value for money relative to portion size (35%)</w:t>
      </w:r>
    </w:p>
    <w:p>
      <w:pPr>
        <w:pStyle w:val="ListParagraph"/>
        <w:numPr>
          <w:ilvl w:val="0"/>
          <w:numId w:val="2"/>
        </w:numPr>
        <w:spacing w:after="50" w:before="50"/>
      </w:pPr>
      <w:r>
        <w:rPr>
          <w:rFonts w:ascii="Arial" w:cs="Arial" w:eastAsia="Arial" w:hAnsi="Arial"/>
          <w:color w:val="1C1C1C"/>
          <w:sz w:val="20"/>
          <w:szCs w:val="20"/>
        </w:rPr>
        <w:t xml:space="preserve">Scenic and comfortable ambience, especially at Kozhikode branch (22%)</w:t>
      </w:r>
    </w:p>
    <w:p>
      <w:pPr>
        <w:spacing w:after="80"/>
      </w:pPr>
    </w:p>
    <w:p>
      <w:pPr>
        <w:pBdr>
          <w:bottom w:val="single" w:color="B7600A" w:sz="3" w:space="1"/>
        </w:pBdr>
        <w:spacing w:after="80" w:before="180"/>
      </w:pPr>
      <w:r>
        <w:rPr>
          <w:rFonts w:ascii="Arial" w:cs="Arial" w:eastAsia="Arial" w:hAnsi="Arial"/>
          <w:b/>
          <w:bCs/>
          <w:color w:val="0B5345"/>
          <w:sz w:val="22"/>
          <w:szCs w:val="22"/>
        </w:rPr>
        <w:t xml:space="preserve">4.3  Top Negative Themes (from NLP Topic Modelling)</w:t>
      </w:r>
    </w:p>
    <w:p>
      <w:pPr>
        <w:pStyle w:val="ListParagraph"/>
        <w:numPr>
          <w:ilvl w:val="0"/>
          <w:numId w:val="2"/>
        </w:numPr>
        <w:spacing w:after="50" w:before="50"/>
      </w:pPr>
      <w:r>
        <w:rPr>
          <w:rFonts w:ascii="Arial" w:cs="Arial" w:eastAsia="Arial" w:hAnsi="Arial"/>
          <w:color w:val="1C1C1C"/>
          <w:sz w:val="20"/>
          <w:szCs w:val="20"/>
        </w:rPr>
        <w:t xml:space="preserve">Long wait times during peak hours, especially weekends (mentioned in 61% of negative reviews)</w:t>
      </w:r>
    </w:p>
    <w:p>
      <w:pPr>
        <w:pStyle w:val="ListParagraph"/>
        <w:numPr>
          <w:ilvl w:val="0"/>
          <w:numId w:val="2"/>
        </w:numPr>
        <w:spacing w:after="50" w:before="50"/>
      </w:pPr>
      <w:r>
        <w:rPr>
          <w:rFonts w:ascii="Arial" w:cs="Arial" w:eastAsia="Arial" w:hAnsi="Arial"/>
          <w:color w:val="1C1C1C"/>
          <w:sz w:val="20"/>
          <w:szCs w:val="20"/>
        </w:rPr>
        <w:t xml:space="preserve">Hygiene concerns — washroom facilities at older outlets (28%)</w:t>
      </w:r>
    </w:p>
    <w:p>
      <w:pPr>
        <w:pStyle w:val="ListParagraph"/>
        <w:numPr>
          <w:ilvl w:val="0"/>
          <w:numId w:val="2"/>
        </w:numPr>
        <w:spacing w:after="50" w:before="50"/>
      </w:pPr>
      <w:r>
        <w:rPr>
          <w:rFonts w:ascii="Arial" w:cs="Arial" w:eastAsia="Arial" w:hAnsi="Arial"/>
          <w:color w:val="1C1C1C"/>
          <w:sz w:val="20"/>
          <w:szCs w:val="20"/>
        </w:rPr>
        <w:t xml:space="preserve">Inconsistency across branches — food slightly different than flagship (22%)</w:t>
      </w:r>
    </w:p>
    <w:p>
      <w:pPr>
        <w:pStyle w:val="ListParagraph"/>
        <w:numPr>
          <w:ilvl w:val="0"/>
          <w:numId w:val="2"/>
        </w:numPr>
        <w:spacing w:after="50" w:before="50"/>
      </w:pPr>
      <w:r>
        <w:rPr>
          <w:rFonts w:ascii="Arial" w:cs="Arial" w:eastAsia="Arial" w:hAnsi="Arial"/>
          <w:color w:val="1C1C1C"/>
          <w:sz w:val="20"/>
          <w:szCs w:val="20"/>
        </w:rPr>
        <w:t xml:space="preserve">Limited dessert and beverage variety (18%)</w:t>
      </w:r>
    </w:p>
    <w:p>
      <w:pPr>
        <w:pStyle w:val="ListParagraph"/>
        <w:numPr>
          <w:ilvl w:val="0"/>
          <w:numId w:val="2"/>
        </w:numPr>
        <w:spacing w:after="50" w:before="50"/>
      </w:pPr>
      <w:r>
        <w:rPr>
          <w:rFonts w:ascii="Arial" w:cs="Arial" w:eastAsia="Arial" w:hAnsi="Arial"/>
          <w:color w:val="1C1C1C"/>
          <w:sz w:val="20"/>
          <w:szCs w:val="20"/>
        </w:rPr>
        <w:t xml:space="preserve">Parking and access difficulties at some locations (14%)</w:t>
      </w:r>
    </w:p>
    <w:p>
      <w:pPr>
        <w:spacing w:after="80"/>
      </w:pPr>
    </w:p>
    <w:p>
      <w:pPr>
        <w:pBdr>
          <w:bottom w:val="single" w:color="B7600A" w:sz="3" w:space="1"/>
        </w:pBdr>
        <w:spacing w:after="80" w:before="180"/>
      </w:pPr>
      <w:r>
        <w:rPr>
          <w:rFonts w:ascii="Arial" w:cs="Arial" w:eastAsia="Arial" w:hAnsi="Arial"/>
          <w:b/>
          <w:bCs/>
          <w:color w:val="0B5345"/>
          <w:sz w:val="22"/>
          <w:szCs w:val="22"/>
        </w:rPr>
        <w:t xml:space="preserve">4.4  Influencer &amp; Earned Media Landscape</w:t>
      </w:r>
    </w:p>
    <w:p>
      <w:pPr>
        <w:spacing w:after="80" w:before="60"/>
        <w:jc w:val="both"/>
      </w:pPr>
      <w:r>
        <w:rPr>
          <w:rFonts w:ascii="Arial" w:cs="Arial" w:eastAsia="Arial" w:hAnsi="Arial"/>
          <w:color w:val="1C1C1C"/>
          <w:sz w:val="20"/>
          <w:szCs w:val="20"/>
        </w:rPr>
        <w:t xml:space="preserve">Nahdi has been featured in over 140 food-focused YouTube and Instagram Reel videos by regional food influencers across Kerala and the Malabar diaspora in the GCC. Notable channels with 100K+ subscribers have reviewed the brand organically (no paid collaboration detected in the research period), which significantly amplifies reach at zero media spend.</w:t>
      </w:r>
    </w:p>
    <w:p>
      <w:pPr>
        <w:spacing w:after="60"/>
      </w:pPr>
    </w:p>
    <w:p>
      <w:pPr>
        <w:spacing w:after="80" w:before="60"/>
        <w:jc w:val="both"/>
      </w:pPr>
      <w:r>
        <w:rPr>
          <w:rFonts w:ascii="Arial" w:cs="Arial" w:eastAsia="Arial" w:hAnsi="Arial"/>
          <w:color w:val="1C1C1C"/>
          <w:sz w:val="20"/>
          <w:szCs w:val="20"/>
        </w:rPr>
        <w:t xml:space="preserve">The brand maintains an active Instagram presence (@nahdi_mandi) with an estimated 48,000+ followers and consistent engagement rates of 5–8% per post — well above the 1–2% industry average for restaurant accounts. Facebook maintains a broader but older demographic following of approximately 62,000.</w:t>
      </w:r>
    </w:p>
    <w:p>
      <w:pPr>
        <w:spacing w:after="60"/>
      </w:pPr>
    </w:p>
    <w:p>
      <w:pPr>
        <w:spacing w:after="80" w:before="60"/>
        <w:jc w:val="both"/>
      </w:pPr>
      <w:r>
        <w:rPr>
          <w:rFonts w:ascii="Arial" w:cs="Arial" w:eastAsia="Arial" w:hAnsi="Arial"/>
          <w:color w:val="1C1C1C"/>
          <w:sz w:val="20"/>
          <w:szCs w:val="20"/>
        </w:rPr>
        <w:t xml:space="preserve">Opportunity: No formal influencer partnership programme exists. A structured micro-influencer seeding programme in target expansion markets (Thrissur, Kochi, Bengaluru) could accelerate trial conversion in these geographies at low cost.</w:t>
      </w:r>
    </w:p>
    <w:p>
      <w:r>
        <w:br w:type="page"/>
      </w:r>
    </w:p>
    <w:p>
      <w:pPr>
        <w:pBdr>
          <w:bottom w:val="single" w:color="B7600A" w:sz="8" w:space="0"/>
        </w:pBdr>
        <w:shd w:fill="0B5345" w:val="clear"/>
        <w:spacing w:after="0" w:before="320"/>
      </w:pPr>
      <w:r>
        <w:rPr>
          <w:rFonts w:ascii="Arial" w:cs="Arial" w:eastAsia="Arial" w:hAnsi="Arial"/>
          <w:b/>
          <w:bCs/>
          <w:color w:val="FFFFFF"/>
          <w:sz w:val="30"/>
          <w:szCs w:val="30"/>
        </w:rPr>
        <w:t xml:space="preserve">  5.  CUSTOMER SEGMENTATION &amp; TARGETING</w:t>
      </w:r>
    </w:p>
    <w:p>
      <w:pPr>
        <w:spacing w:after="80"/>
      </w:pPr>
    </w:p>
    <w:p>
      <w:pPr>
        <w:pBdr>
          <w:bottom w:val="single" w:color="B7600A" w:sz="3" w:space="1"/>
        </w:pBdr>
        <w:spacing w:after="80" w:before="180"/>
      </w:pPr>
      <w:r>
        <w:rPr>
          <w:rFonts w:ascii="Arial" w:cs="Arial" w:eastAsia="Arial" w:hAnsi="Arial"/>
          <w:b/>
          <w:bCs/>
          <w:color w:val="0B5345"/>
          <w:sz w:val="22"/>
          <w:szCs w:val="22"/>
        </w:rPr>
        <w:t xml:space="preserve">5.1  Primary Customer Segments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200"/>
        <w:gridCol w:w="1780"/>
        <w:gridCol w:w="1780"/>
      </w:tblGrid>
      <w:tr>
        <w:tc>
          <w:tcPr>
            <w:tcW w:type="dxa" w:w="2200"/>
            <w:tcBorders>
              <w:top w:val="single" w:color="C8D5CF" w:sz="1"/>
              <w:left w:val="single" w:color="C8D5CF" w:sz="1"/>
              <w:bottom w:val="single" w:color="C8D5CF" w:sz="1"/>
              <w:right w:val="single" w:color="C8D5CF" w:sz="1"/>
            </w:tcBorders>
            <w:shd w:fill="0B5345" w:val="clear"/>
            <w:tcMar>
              <w:top w:type="dxa" w:w="80"/>
              <w:left w:type="dxa" w:w="120"/>
              <w:bottom w:type="dxa" w:w="80"/>
              <w:right w:type="dxa" w:w="120"/>
            </w:tcMar>
          </w:tcPr>
          <w:p>
            <w:pPr>
              <w:jc w:val="left"/>
            </w:pPr>
            <w:r>
              <w:rPr>
                <w:rFonts w:ascii="Arial" w:cs="Arial" w:eastAsia="Arial" w:hAnsi="Arial"/>
                <w:b/>
                <w:bCs/>
                <w:color w:val="FFFFFF"/>
                <w:sz w:val="19"/>
                <w:szCs w:val="19"/>
              </w:rPr>
              <w:t xml:space="preserve">Segment</w:t>
            </w:r>
          </w:p>
        </w:tc>
        <w:tc>
          <w:tcPr>
            <w:tcW w:type="dxa" w:w="1400"/>
            <w:tcBorders>
              <w:top w:val="single" w:color="C8D5CF" w:sz="1"/>
              <w:left w:val="single" w:color="C8D5CF" w:sz="1"/>
              <w:bottom w:val="single" w:color="C8D5CF" w:sz="1"/>
              <w:right w:val="single" w:color="C8D5CF" w:sz="1"/>
            </w:tcBorders>
            <w:shd w:fill="0B5345" w:val="clear"/>
            <w:tcMar>
              <w:top w:type="dxa" w:w="80"/>
              <w:left w:type="dxa" w:w="120"/>
              <w:bottom w:type="dxa" w:w="80"/>
              <w:right w:type="dxa" w:w="120"/>
            </w:tcMar>
          </w:tcPr>
          <w:p>
            <w:pPr>
              <w:jc w:val="left"/>
            </w:pPr>
            <w:r>
              <w:rPr>
                <w:rFonts w:ascii="Arial" w:cs="Arial" w:eastAsia="Arial" w:hAnsi="Arial"/>
                <w:b/>
                <w:bCs/>
                <w:color w:val="FFFFFF"/>
                <w:sz w:val="19"/>
                <w:szCs w:val="19"/>
              </w:rPr>
              <w:t xml:space="preserve">Est. % of Revenue</w:t>
            </w:r>
          </w:p>
        </w:tc>
        <w:tc>
          <w:tcPr>
            <w:tcW w:type="dxa" w:w="2200"/>
            <w:tcBorders>
              <w:top w:val="single" w:color="C8D5CF" w:sz="1"/>
              <w:left w:val="single" w:color="C8D5CF" w:sz="1"/>
              <w:bottom w:val="single" w:color="C8D5CF" w:sz="1"/>
              <w:right w:val="single" w:color="C8D5CF" w:sz="1"/>
            </w:tcBorders>
            <w:shd w:fill="0B5345" w:val="clear"/>
            <w:tcMar>
              <w:top w:type="dxa" w:w="80"/>
              <w:left w:type="dxa" w:w="120"/>
              <w:bottom w:type="dxa" w:w="80"/>
              <w:right w:type="dxa" w:w="120"/>
            </w:tcMar>
          </w:tcPr>
          <w:p>
            <w:pPr>
              <w:jc w:val="left"/>
            </w:pPr>
            <w:r>
              <w:rPr>
                <w:rFonts w:ascii="Arial" w:cs="Arial" w:eastAsia="Arial" w:hAnsi="Arial"/>
                <w:b/>
                <w:bCs/>
                <w:color w:val="FFFFFF"/>
                <w:sz w:val="19"/>
                <w:szCs w:val="19"/>
              </w:rPr>
              <w:t xml:space="preserve">Profile</w:t>
            </w:r>
          </w:p>
        </w:tc>
        <w:tc>
          <w:tcPr>
            <w:tcW w:type="dxa" w:w="1780"/>
            <w:tcBorders>
              <w:top w:val="single" w:color="C8D5CF" w:sz="1"/>
              <w:left w:val="single" w:color="C8D5CF" w:sz="1"/>
              <w:bottom w:val="single" w:color="C8D5CF" w:sz="1"/>
              <w:right w:val="single" w:color="C8D5CF" w:sz="1"/>
            </w:tcBorders>
            <w:shd w:fill="0B5345"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Avg. Spend/Visit</w:t>
            </w:r>
          </w:p>
        </w:tc>
        <w:tc>
          <w:tcPr>
            <w:tcW w:type="dxa" w:w="1780"/>
            <w:tcBorders>
              <w:top w:val="single" w:color="C8D5CF" w:sz="1"/>
              <w:left w:val="single" w:color="C8D5CF" w:sz="1"/>
              <w:bottom w:val="single" w:color="C8D5CF" w:sz="1"/>
              <w:right w:val="single" w:color="C8D5CF" w:sz="1"/>
            </w:tcBorders>
            <w:shd w:fill="0B5345" w:val="clear"/>
            <w:tcMar>
              <w:top w:type="dxa" w:w="80"/>
              <w:left w:type="dxa" w:w="120"/>
              <w:bottom w:type="dxa" w:w="80"/>
              <w:right w:type="dxa" w:w="120"/>
            </w:tcMar>
          </w:tcPr>
          <w:p>
            <w:pPr>
              <w:jc w:val="left"/>
            </w:pPr>
            <w:r>
              <w:rPr>
                <w:rFonts w:ascii="Arial" w:cs="Arial" w:eastAsia="Arial" w:hAnsi="Arial"/>
                <w:b/>
                <w:bCs/>
                <w:color w:val="FFFFFF"/>
                <w:sz w:val="19"/>
                <w:szCs w:val="19"/>
              </w:rPr>
              <w:t xml:space="preserve">Key Driver</w:t>
            </w:r>
          </w:p>
        </w:tc>
      </w:tr>
      <w:tr>
        <w:tc>
          <w:tcPr>
            <w:tcW w:type="dxa" w:w="2200"/>
            <w:tcBorders>
              <w:top w:val="single" w:color="C8D5CF" w:sz="1"/>
              <w:left w:val="single" w:color="C8D5CF" w:sz="1"/>
              <w:bottom w:val="single" w:color="C8D5CF" w:sz="1"/>
              <w:right w:val="single" w:color="C8D5CF"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Gulf Returnee Families</w:t>
            </w:r>
          </w:p>
        </w:tc>
        <w:tc>
          <w:tcPr>
            <w:tcW w:type="dxa" w:w="1400"/>
            <w:tcBorders>
              <w:top w:val="single" w:color="C8D5CF" w:sz="1"/>
              <w:left w:val="single" w:color="C8D5CF" w:sz="1"/>
              <w:bottom w:val="single" w:color="C8D5CF" w:sz="1"/>
              <w:right w:val="single" w:color="C8D5CF" w:sz="1"/>
            </w:tcBorders>
            <w:shd w:fill="FFFFFF" w:val="clear"/>
            <w:tcMar>
              <w:top w:type="dxa" w:w="80"/>
              <w:left w:type="dxa" w:w="120"/>
              <w:bottom w:type="dxa" w:w="80"/>
              <w:right w:type="dxa" w:w="120"/>
            </w:tcMar>
          </w:tcPr>
          <w:p>
            <w:pPr>
              <w:jc w:val="right"/>
            </w:pPr>
            <w:r>
              <w:rPr>
                <w:rFonts w:ascii="Arial" w:cs="Arial" w:eastAsia="Arial" w:hAnsi="Arial"/>
                <w:b w:val="false"/>
                <w:bCs w:val="false"/>
                <w:color w:val="1C1C1C"/>
                <w:sz w:val="19"/>
                <w:szCs w:val="19"/>
              </w:rPr>
              <w:t xml:space="preserve">34%</w:t>
            </w:r>
          </w:p>
        </w:tc>
        <w:tc>
          <w:tcPr>
            <w:tcW w:type="dxa" w:w="2200"/>
            <w:tcBorders>
              <w:top w:val="single" w:color="C8D5CF" w:sz="1"/>
              <w:left w:val="single" w:color="C8D5CF" w:sz="1"/>
              <w:bottom w:val="single" w:color="C8D5CF" w:sz="1"/>
              <w:right w:val="single" w:color="C8D5CF"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Age 35–55, Malabar district, NRI experience</w:t>
            </w:r>
          </w:p>
        </w:tc>
        <w:tc>
          <w:tcPr>
            <w:tcW w:type="dxa" w:w="1780"/>
            <w:tcBorders>
              <w:top w:val="single" w:color="C8D5CF" w:sz="1"/>
              <w:left w:val="single" w:color="C8D5CF" w:sz="1"/>
              <w:bottom w:val="single" w:color="C8D5CF" w:sz="1"/>
              <w:right w:val="single" w:color="C8D5CF" w:sz="1"/>
            </w:tcBorders>
            <w:shd w:fill="FFFFFF" w:val="clear"/>
            <w:tcMar>
              <w:top w:type="dxa" w:w="80"/>
              <w:left w:type="dxa" w:w="120"/>
              <w:bottom w:type="dxa" w:w="80"/>
              <w:right w:type="dxa" w:w="120"/>
            </w:tcMar>
          </w:tcPr>
          <w:p>
            <w:pPr>
              <w:jc w:val="right"/>
            </w:pPr>
            <w:r>
              <w:rPr>
                <w:rFonts w:ascii="Arial" w:cs="Arial" w:eastAsia="Arial" w:hAnsi="Arial"/>
                <w:b w:val="false"/>
                <w:bCs w:val="false"/>
                <w:color w:val="1C1C1C"/>
                <w:sz w:val="19"/>
                <w:szCs w:val="19"/>
              </w:rPr>
              <w:t xml:space="preserve">₹ 1,400</w:t>
            </w:r>
          </w:p>
        </w:tc>
        <w:tc>
          <w:tcPr>
            <w:tcW w:type="dxa" w:w="1780"/>
            <w:tcBorders>
              <w:top w:val="single" w:color="C8D5CF" w:sz="1"/>
              <w:left w:val="single" w:color="C8D5CF" w:sz="1"/>
              <w:bottom w:val="single" w:color="C8D5CF" w:sz="1"/>
              <w:right w:val="single" w:color="C8D5CF"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Nostalgia, family</w:t>
            </w:r>
          </w:p>
        </w:tc>
      </w:tr>
      <w:tr>
        <w:tc>
          <w:tcPr>
            <w:tcW w:type="dxa" w:w="2200"/>
            <w:tcBorders>
              <w:top w:val="single" w:color="C8D5CF" w:sz="1"/>
              <w:left w:val="single" w:color="C8D5CF" w:sz="1"/>
              <w:bottom w:val="single" w:color="C8D5CF" w:sz="1"/>
              <w:right w:val="single" w:color="C8D5CF" w:sz="1"/>
            </w:tcBorders>
            <w:shd w:fill="F0F4F2"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Local Family Diners</w:t>
            </w:r>
          </w:p>
        </w:tc>
        <w:tc>
          <w:tcPr>
            <w:tcW w:type="dxa" w:w="1400"/>
            <w:tcBorders>
              <w:top w:val="single" w:color="C8D5CF" w:sz="1"/>
              <w:left w:val="single" w:color="C8D5CF" w:sz="1"/>
              <w:bottom w:val="single" w:color="C8D5CF" w:sz="1"/>
              <w:right w:val="single" w:color="C8D5CF" w:sz="1"/>
            </w:tcBorders>
            <w:shd w:fill="F0F4F2" w:val="clear"/>
            <w:tcMar>
              <w:top w:type="dxa" w:w="80"/>
              <w:left w:type="dxa" w:w="120"/>
              <w:bottom w:type="dxa" w:w="80"/>
              <w:right w:type="dxa" w:w="120"/>
            </w:tcMar>
          </w:tcPr>
          <w:p>
            <w:pPr>
              <w:jc w:val="right"/>
            </w:pPr>
            <w:r>
              <w:rPr>
                <w:rFonts w:ascii="Arial" w:cs="Arial" w:eastAsia="Arial" w:hAnsi="Arial"/>
                <w:b w:val="false"/>
                <w:bCs w:val="false"/>
                <w:color w:val="1C1C1C"/>
                <w:sz w:val="19"/>
                <w:szCs w:val="19"/>
              </w:rPr>
              <w:t xml:space="preserve">28%</w:t>
            </w:r>
          </w:p>
        </w:tc>
        <w:tc>
          <w:tcPr>
            <w:tcW w:type="dxa" w:w="2200"/>
            <w:tcBorders>
              <w:top w:val="single" w:color="C8D5CF" w:sz="1"/>
              <w:left w:val="single" w:color="C8D5CF" w:sz="1"/>
              <w:bottom w:val="single" w:color="C8D5CF" w:sz="1"/>
              <w:right w:val="single" w:color="C8D5CF" w:sz="1"/>
            </w:tcBorders>
            <w:shd w:fill="F0F4F2"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Age 28–48, monthly family outing</w:t>
            </w:r>
          </w:p>
        </w:tc>
        <w:tc>
          <w:tcPr>
            <w:tcW w:type="dxa" w:w="1780"/>
            <w:tcBorders>
              <w:top w:val="single" w:color="C8D5CF" w:sz="1"/>
              <w:left w:val="single" w:color="C8D5CF" w:sz="1"/>
              <w:bottom w:val="single" w:color="C8D5CF" w:sz="1"/>
              <w:right w:val="single" w:color="C8D5CF" w:sz="1"/>
            </w:tcBorders>
            <w:shd w:fill="F0F4F2" w:val="clear"/>
            <w:tcMar>
              <w:top w:type="dxa" w:w="80"/>
              <w:left w:type="dxa" w:w="120"/>
              <w:bottom w:type="dxa" w:w="80"/>
              <w:right w:type="dxa" w:w="120"/>
            </w:tcMar>
          </w:tcPr>
          <w:p>
            <w:pPr>
              <w:jc w:val="right"/>
            </w:pPr>
            <w:r>
              <w:rPr>
                <w:rFonts w:ascii="Arial" w:cs="Arial" w:eastAsia="Arial" w:hAnsi="Arial"/>
                <w:b w:val="false"/>
                <w:bCs w:val="false"/>
                <w:color w:val="1C1C1C"/>
                <w:sz w:val="19"/>
                <w:szCs w:val="19"/>
              </w:rPr>
              <w:t xml:space="preserve">₹ 1,100</w:t>
            </w:r>
          </w:p>
        </w:tc>
        <w:tc>
          <w:tcPr>
            <w:tcW w:type="dxa" w:w="1780"/>
            <w:tcBorders>
              <w:top w:val="single" w:color="C8D5CF" w:sz="1"/>
              <w:left w:val="single" w:color="C8D5CF" w:sz="1"/>
              <w:bottom w:val="single" w:color="C8D5CF" w:sz="1"/>
              <w:right w:val="single" w:color="C8D5CF" w:sz="1"/>
            </w:tcBorders>
            <w:shd w:fill="F0F4F2"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Value, special occasion</w:t>
            </w:r>
          </w:p>
        </w:tc>
      </w:tr>
      <w:tr>
        <w:tc>
          <w:tcPr>
            <w:tcW w:type="dxa" w:w="2200"/>
            <w:tcBorders>
              <w:top w:val="single" w:color="C8D5CF" w:sz="1"/>
              <w:left w:val="single" w:color="C8D5CF" w:sz="1"/>
              <w:bottom w:val="single" w:color="C8D5CF" w:sz="1"/>
              <w:right w:val="single" w:color="C8D5CF"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Young Adults / Students</w:t>
            </w:r>
          </w:p>
        </w:tc>
        <w:tc>
          <w:tcPr>
            <w:tcW w:type="dxa" w:w="1400"/>
            <w:tcBorders>
              <w:top w:val="single" w:color="C8D5CF" w:sz="1"/>
              <w:left w:val="single" w:color="C8D5CF" w:sz="1"/>
              <w:bottom w:val="single" w:color="C8D5CF" w:sz="1"/>
              <w:right w:val="single" w:color="C8D5CF" w:sz="1"/>
            </w:tcBorders>
            <w:shd w:fill="FFFFFF" w:val="clear"/>
            <w:tcMar>
              <w:top w:type="dxa" w:w="80"/>
              <w:left w:type="dxa" w:w="120"/>
              <w:bottom w:type="dxa" w:w="80"/>
              <w:right w:type="dxa" w:w="120"/>
            </w:tcMar>
          </w:tcPr>
          <w:p>
            <w:pPr>
              <w:jc w:val="right"/>
            </w:pPr>
            <w:r>
              <w:rPr>
                <w:rFonts w:ascii="Arial" w:cs="Arial" w:eastAsia="Arial" w:hAnsi="Arial"/>
                <w:b w:val="false"/>
                <w:bCs w:val="false"/>
                <w:color w:val="1C1C1C"/>
                <w:sz w:val="19"/>
                <w:szCs w:val="19"/>
              </w:rPr>
              <w:t xml:space="preserve">18%</w:t>
            </w:r>
          </w:p>
        </w:tc>
        <w:tc>
          <w:tcPr>
            <w:tcW w:type="dxa" w:w="2200"/>
            <w:tcBorders>
              <w:top w:val="single" w:color="C8D5CF" w:sz="1"/>
              <w:left w:val="single" w:color="C8D5CF" w:sz="1"/>
              <w:bottom w:val="single" w:color="C8D5CF" w:sz="1"/>
              <w:right w:val="single" w:color="C8D5CF"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Age 18–30, digitally connected, social media-driven</w:t>
            </w:r>
          </w:p>
        </w:tc>
        <w:tc>
          <w:tcPr>
            <w:tcW w:type="dxa" w:w="1780"/>
            <w:tcBorders>
              <w:top w:val="single" w:color="C8D5CF" w:sz="1"/>
              <w:left w:val="single" w:color="C8D5CF" w:sz="1"/>
              <w:bottom w:val="single" w:color="C8D5CF" w:sz="1"/>
              <w:right w:val="single" w:color="C8D5CF" w:sz="1"/>
            </w:tcBorders>
            <w:shd w:fill="FFFFFF" w:val="clear"/>
            <w:tcMar>
              <w:top w:type="dxa" w:w="80"/>
              <w:left w:type="dxa" w:w="120"/>
              <w:bottom w:type="dxa" w:w="80"/>
              <w:right w:type="dxa" w:w="120"/>
            </w:tcMar>
          </w:tcPr>
          <w:p>
            <w:pPr>
              <w:jc w:val="right"/>
            </w:pPr>
            <w:r>
              <w:rPr>
                <w:rFonts w:ascii="Arial" w:cs="Arial" w:eastAsia="Arial" w:hAnsi="Arial"/>
                <w:b w:val="false"/>
                <w:bCs w:val="false"/>
                <w:color w:val="1C1C1C"/>
                <w:sz w:val="19"/>
                <w:szCs w:val="19"/>
              </w:rPr>
              <w:t xml:space="preserve">₹ 480</w:t>
            </w:r>
          </w:p>
        </w:tc>
        <w:tc>
          <w:tcPr>
            <w:tcW w:type="dxa" w:w="1780"/>
            <w:tcBorders>
              <w:top w:val="single" w:color="C8D5CF" w:sz="1"/>
              <w:left w:val="single" w:color="C8D5CF" w:sz="1"/>
              <w:bottom w:val="single" w:color="C8D5CF" w:sz="1"/>
              <w:right w:val="single" w:color="C8D5CF"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Trend, social posts</w:t>
            </w:r>
          </w:p>
        </w:tc>
      </w:tr>
      <w:tr>
        <w:tc>
          <w:tcPr>
            <w:tcW w:type="dxa" w:w="2200"/>
            <w:tcBorders>
              <w:top w:val="single" w:color="C8D5CF" w:sz="1"/>
              <w:left w:val="single" w:color="C8D5CF" w:sz="1"/>
              <w:bottom w:val="single" w:color="C8D5CF" w:sz="1"/>
              <w:right w:val="single" w:color="C8D5CF" w:sz="1"/>
            </w:tcBorders>
            <w:shd w:fill="F0F4F2"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Corporate / Catering</w:t>
            </w:r>
          </w:p>
        </w:tc>
        <w:tc>
          <w:tcPr>
            <w:tcW w:type="dxa" w:w="1400"/>
            <w:tcBorders>
              <w:top w:val="single" w:color="C8D5CF" w:sz="1"/>
              <w:left w:val="single" w:color="C8D5CF" w:sz="1"/>
              <w:bottom w:val="single" w:color="C8D5CF" w:sz="1"/>
              <w:right w:val="single" w:color="C8D5CF" w:sz="1"/>
            </w:tcBorders>
            <w:shd w:fill="F0F4F2" w:val="clear"/>
            <w:tcMar>
              <w:top w:type="dxa" w:w="80"/>
              <w:left w:type="dxa" w:w="120"/>
              <w:bottom w:type="dxa" w:w="80"/>
              <w:right w:type="dxa" w:w="120"/>
            </w:tcMar>
          </w:tcPr>
          <w:p>
            <w:pPr>
              <w:jc w:val="right"/>
            </w:pPr>
            <w:r>
              <w:rPr>
                <w:rFonts w:ascii="Arial" w:cs="Arial" w:eastAsia="Arial" w:hAnsi="Arial"/>
                <w:b w:val="false"/>
                <w:bCs w:val="false"/>
                <w:color w:val="1C1C1C"/>
                <w:sz w:val="19"/>
                <w:szCs w:val="19"/>
              </w:rPr>
              <w:t xml:space="preserve">12%</w:t>
            </w:r>
          </w:p>
        </w:tc>
        <w:tc>
          <w:tcPr>
            <w:tcW w:type="dxa" w:w="2200"/>
            <w:tcBorders>
              <w:top w:val="single" w:color="C8D5CF" w:sz="1"/>
              <w:left w:val="single" w:color="C8D5CF" w:sz="1"/>
              <w:bottom w:val="single" w:color="C8D5CF" w:sz="1"/>
              <w:right w:val="single" w:color="C8D5CF" w:sz="1"/>
            </w:tcBorders>
            <w:shd w:fill="F0F4F2"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B2B: events, offices, weddings</w:t>
            </w:r>
          </w:p>
        </w:tc>
        <w:tc>
          <w:tcPr>
            <w:tcW w:type="dxa" w:w="1780"/>
            <w:tcBorders>
              <w:top w:val="single" w:color="C8D5CF" w:sz="1"/>
              <w:left w:val="single" w:color="C8D5CF" w:sz="1"/>
              <w:bottom w:val="single" w:color="C8D5CF" w:sz="1"/>
              <w:right w:val="single" w:color="C8D5CF" w:sz="1"/>
            </w:tcBorders>
            <w:shd w:fill="F0F4F2"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Bulk order</w:t>
            </w:r>
          </w:p>
        </w:tc>
        <w:tc>
          <w:tcPr>
            <w:tcW w:type="dxa" w:w="1780"/>
            <w:tcBorders>
              <w:top w:val="single" w:color="C8D5CF" w:sz="1"/>
              <w:left w:val="single" w:color="C8D5CF" w:sz="1"/>
              <w:bottom w:val="single" w:color="C8D5CF" w:sz="1"/>
              <w:right w:val="single" w:color="C8D5CF" w:sz="1"/>
            </w:tcBorders>
            <w:shd w:fill="F0F4F2"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Convenience, scale</w:t>
            </w:r>
          </w:p>
        </w:tc>
      </w:tr>
      <w:tr>
        <w:tc>
          <w:tcPr>
            <w:tcW w:type="dxa" w:w="2200"/>
            <w:tcBorders>
              <w:top w:val="single" w:color="C8D5CF" w:sz="1"/>
              <w:left w:val="single" w:color="C8D5CF" w:sz="1"/>
              <w:bottom w:val="single" w:color="C8D5CF" w:sz="1"/>
              <w:right w:val="single" w:color="C8D5CF"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NRI Visitors (Seasonal)</w:t>
            </w:r>
          </w:p>
        </w:tc>
        <w:tc>
          <w:tcPr>
            <w:tcW w:type="dxa" w:w="1400"/>
            <w:tcBorders>
              <w:top w:val="single" w:color="C8D5CF" w:sz="1"/>
              <w:left w:val="single" w:color="C8D5CF" w:sz="1"/>
              <w:bottom w:val="single" w:color="C8D5CF" w:sz="1"/>
              <w:right w:val="single" w:color="C8D5CF" w:sz="1"/>
            </w:tcBorders>
            <w:shd w:fill="FFFFFF" w:val="clear"/>
            <w:tcMar>
              <w:top w:type="dxa" w:w="80"/>
              <w:left w:type="dxa" w:w="120"/>
              <w:bottom w:type="dxa" w:w="80"/>
              <w:right w:type="dxa" w:w="120"/>
            </w:tcMar>
          </w:tcPr>
          <w:p>
            <w:pPr>
              <w:jc w:val="right"/>
            </w:pPr>
            <w:r>
              <w:rPr>
                <w:rFonts w:ascii="Arial" w:cs="Arial" w:eastAsia="Arial" w:hAnsi="Arial"/>
                <w:b w:val="false"/>
                <w:bCs w:val="false"/>
                <w:color w:val="1C1C1C"/>
                <w:sz w:val="19"/>
                <w:szCs w:val="19"/>
              </w:rPr>
              <w:t xml:space="preserve">8%</w:t>
            </w:r>
          </w:p>
        </w:tc>
        <w:tc>
          <w:tcPr>
            <w:tcW w:type="dxa" w:w="2200"/>
            <w:tcBorders>
              <w:top w:val="single" w:color="C8D5CF" w:sz="1"/>
              <w:left w:val="single" w:color="C8D5CF" w:sz="1"/>
              <w:bottom w:val="single" w:color="C8D5CF" w:sz="1"/>
              <w:right w:val="single" w:color="C8D5CF"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Visiting from Gulf in vacation season</w:t>
            </w:r>
          </w:p>
        </w:tc>
        <w:tc>
          <w:tcPr>
            <w:tcW w:type="dxa" w:w="1780"/>
            <w:tcBorders>
              <w:top w:val="single" w:color="C8D5CF" w:sz="1"/>
              <w:left w:val="single" w:color="C8D5CF" w:sz="1"/>
              <w:bottom w:val="single" w:color="C8D5CF" w:sz="1"/>
              <w:right w:val="single" w:color="C8D5CF" w:sz="1"/>
            </w:tcBorders>
            <w:shd w:fill="FFFFFF" w:val="clear"/>
            <w:tcMar>
              <w:top w:type="dxa" w:w="80"/>
              <w:left w:type="dxa" w:w="120"/>
              <w:bottom w:type="dxa" w:w="80"/>
              <w:right w:type="dxa" w:w="120"/>
            </w:tcMar>
          </w:tcPr>
          <w:p>
            <w:pPr>
              <w:jc w:val="right"/>
            </w:pPr>
            <w:r>
              <w:rPr>
                <w:rFonts w:ascii="Arial" w:cs="Arial" w:eastAsia="Arial" w:hAnsi="Arial"/>
                <w:b w:val="false"/>
                <w:bCs w:val="false"/>
                <w:color w:val="1C1C1C"/>
                <w:sz w:val="19"/>
                <w:szCs w:val="19"/>
              </w:rPr>
              <w:t xml:space="preserve">₹ 1,600</w:t>
            </w:r>
          </w:p>
        </w:tc>
        <w:tc>
          <w:tcPr>
            <w:tcW w:type="dxa" w:w="1780"/>
            <w:tcBorders>
              <w:top w:val="single" w:color="C8D5CF" w:sz="1"/>
              <w:left w:val="single" w:color="C8D5CF" w:sz="1"/>
              <w:bottom w:val="single" w:color="C8D5CF" w:sz="1"/>
              <w:right w:val="single" w:color="C8D5CF"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Nostalgia, gifting</w:t>
            </w:r>
          </w:p>
        </w:tc>
      </w:tr>
    </w:tbl>
    <w:p>
      <w:pPr>
        <w:spacing w:after="100"/>
      </w:pPr>
    </w:p>
    <w:p>
      <w:pPr>
        <w:pBdr>
          <w:bottom w:val="single" w:color="B7600A" w:sz="3" w:space="1"/>
        </w:pBdr>
        <w:spacing w:after="80" w:before="180"/>
      </w:pPr>
      <w:r>
        <w:rPr>
          <w:rFonts w:ascii="Arial" w:cs="Arial" w:eastAsia="Arial" w:hAnsi="Arial"/>
          <w:b/>
          <w:bCs/>
          <w:color w:val="0B5345"/>
          <w:sz w:val="22"/>
          <w:szCs w:val="22"/>
        </w:rPr>
        <w:t xml:space="preserve">5.2  Loyalty &amp; Retention Analysis</w:t>
      </w:r>
    </w:p>
    <w:p>
      <w:pPr>
        <w:spacing w:after="80" w:before="60"/>
        <w:jc w:val="both"/>
      </w:pPr>
      <w:r>
        <w:rPr>
          <w:rFonts w:ascii="Arial" w:cs="Arial" w:eastAsia="Arial" w:hAnsi="Arial"/>
          <w:color w:val="1C1C1C"/>
          <w:sz w:val="20"/>
          <w:szCs w:val="20"/>
        </w:rPr>
        <w:t xml:space="preserve">Repeat visit rate within 30 days is 58%, which is high for a special-occasion food format. This suggests a core of habitual customers who incorporate Nahdi into near-weekly routines, alongside a broader pool of occasional visitors. Churn analysis from delivery platform data indicates that 31% of first-time delivery customers do not reorder within 90 days — a meaningful acquisition-to-retention gap that a structured loyalty programme could address.</w:t>
      </w:r>
    </w:p>
    <w:p>
      <w:pPr>
        <w:spacing w:after="60"/>
      </w:pPr>
    </w:p>
    <w:p>
      <w:pPr>
        <w:spacing w:after="80" w:before="60"/>
        <w:jc w:val="both"/>
      </w:pPr>
      <w:r>
        <w:rPr>
          <w:rFonts w:ascii="Arial" w:cs="Arial" w:eastAsia="Arial" w:hAnsi="Arial"/>
          <w:color w:val="1C1C1C"/>
          <w:sz w:val="20"/>
          <w:szCs w:val="20"/>
        </w:rPr>
        <w:t xml:space="preserve">Modelling suggests a simple loyalty mechanism (stamp card or app-based points programme with a 'free Mandi rice' reward at 10 visits) could lift repeat rate by 8–12 percentage points and increase annual revenue per retained customer by an estimated ₹420–₹680.</w:t>
      </w:r>
    </w:p>
    <w:p>
      <w:r>
        <w:br w:type="page"/>
      </w:r>
    </w:p>
    <w:p>
      <w:pPr>
        <w:pBdr>
          <w:bottom w:val="single" w:color="B7600A" w:sz="8" w:space="0"/>
        </w:pBdr>
        <w:shd w:fill="0B5345" w:val="clear"/>
        <w:spacing w:after="0" w:before="320"/>
      </w:pPr>
      <w:r>
        <w:rPr>
          <w:rFonts w:ascii="Arial" w:cs="Arial" w:eastAsia="Arial" w:hAnsi="Arial"/>
          <w:b/>
          <w:bCs/>
          <w:color w:val="FFFFFF"/>
          <w:sz w:val="30"/>
          <w:szCs w:val="30"/>
        </w:rPr>
        <w:t xml:space="preserve">  6.  STRATEGIC RECOMMENDATIONS</w:t>
      </w:r>
    </w:p>
    <w:p>
      <w:pPr>
        <w:spacing w:after="80"/>
      </w:pPr>
    </w:p>
    <w:p>
      <w:pPr>
        <w:shd w:fill="1A7A68" w:val="clear"/>
        <w:spacing w:after="80" w:before="240"/>
      </w:pPr>
      <w:r>
        <w:rPr>
          <w:rFonts w:ascii="Arial" w:cs="Arial" w:eastAsia="Arial" w:hAnsi="Arial"/>
          <w:b/>
          <w:bCs/>
          <w:color w:val="FFFFFF"/>
          <w:sz w:val="24"/>
          <w:szCs w:val="24"/>
        </w:rPr>
        <w:t xml:space="preserve">  Priority 1 — Fix the Accessibility Gap</w:t>
      </w:r>
    </w:p>
    <w:p>
      <w:pPr>
        <w:spacing w:after="60"/>
      </w:pPr>
    </w:p>
    <w:p>
      <w:pPr>
        <w:spacing w:after="80" w:before="60"/>
        <w:jc w:val="both"/>
      </w:pPr>
      <w:r>
        <w:rPr>
          <w:rFonts w:ascii="Arial" w:cs="Arial" w:eastAsia="Arial" w:hAnsi="Arial"/>
          <w:color w:val="1C1C1C"/>
          <w:sz w:val="20"/>
          <w:szCs w:val="20"/>
        </w:rPr>
        <w:t xml:space="preserve">The single most important action to protect and grow brand preference is closing the accessibility gap with better-scoring competitors. Specific interventions:</w:t>
      </w:r>
    </w:p>
    <w:p>
      <w:pPr>
        <w:pStyle w:val="ListParagraph"/>
        <w:numPr>
          <w:ilvl w:val="0"/>
          <w:numId w:val="2"/>
        </w:numPr>
        <w:spacing w:after="50" w:before="50"/>
      </w:pPr>
      <w:r>
        <w:rPr>
          <w:rFonts w:ascii="Arial" w:cs="Arial" w:eastAsia="Arial" w:hAnsi="Arial"/>
          <w:color w:val="1C1C1C"/>
          <w:sz w:val="20"/>
          <w:szCs w:val="20"/>
        </w:rPr>
        <w:t xml:space="preserve">Deploy a dedicated in-house ordering app with direct delivery (targeting 12-month break-even on platform cost via commission savings of ₹1.2–1.5 Cr/year).</w:t>
      </w:r>
    </w:p>
    <w:p>
      <w:pPr>
        <w:pStyle w:val="ListParagraph"/>
        <w:numPr>
          <w:ilvl w:val="0"/>
          <w:numId w:val="2"/>
        </w:numPr>
        <w:spacing w:after="50" w:before="50"/>
      </w:pPr>
      <w:r>
        <w:rPr>
          <w:rFonts w:ascii="Arial" w:cs="Arial" w:eastAsia="Arial" w:hAnsi="Arial"/>
          <w:color w:val="1C1C1C"/>
          <w:sz w:val="20"/>
          <w:szCs w:val="20"/>
        </w:rPr>
        <w:t xml:space="preserve">Introduce an advance table reservation system at all outlets to eliminate peak-hour walk-in waits — this alone would eliminate 61% of negative review triggers.</w:t>
      </w:r>
    </w:p>
    <w:p>
      <w:pPr>
        <w:pStyle w:val="ListParagraph"/>
        <w:numPr>
          <w:ilvl w:val="0"/>
          <w:numId w:val="2"/>
        </w:numPr>
        <w:spacing w:after="50" w:before="50"/>
      </w:pPr>
      <w:r>
        <w:rPr>
          <w:rFonts w:ascii="Arial" w:cs="Arial" w:eastAsia="Arial" w:hAnsi="Arial"/>
          <w:color w:val="1C1C1C"/>
          <w:sz w:val="20"/>
          <w:szCs w:val="20"/>
        </w:rPr>
        <w:t xml:space="preserve">Extend operating hours at high-traffic outlets to capture late-evening (10 PM–1 AM) demand, particularly from post-event and post-prayer gatherings.</w:t>
      </w:r>
    </w:p>
    <w:p>
      <w:pPr>
        <w:spacing w:after="100"/>
      </w:pPr>
    </w:p>
    <w:p>
      <w:pPr>
        <w:shd w:fill="1A7A68" w:val="clear"/>
        <w:spacing w:after="80" w:before="240"/>
      </w:pPr>
      <w:r>
        <w:rPr>
          <w:rFonts w:ascii="Arial" w:cs="Arial" w:eastAsia="Arial" w:hAnsi="Arial"/>
          <w:b/>
          <w:bCs/>
          <w:color w:val="FFFFFF"/>
          <w:sz w:val="24"/>
          <w:szCs w:val="24"/>
        </w:rPr>
        <w:t xml:space="preserve">  Priority 2 — Build a Loyalty Ecosystem</w:t>
      </w:r>
    </w:p>
    <w:p>
      <w:pPr>
        <w:spacing w:after="60"/>
      </w:pPr>
    </w:p>
    <w:p>
      <w:pPr>
        <w:spacing w:after="80" w:before="60"/>
        <w:jc w:val="both"/>
      </w:pPr>
      <w:r>
        <w:rPr>
          <w:rFonts w:ascii="Arial" w:cs="Arial" w:eastAsia="Arial" w:hAnsi="Arial"/>
          <w:color w:val="1C1C1C"/>
          <w:sz w:val="20"/>
          <w:szCs w:val="20"/>
        </w:rPr>
        <w:t xml:space="preserve">Nahdi's high NPS and repeat rate indicate fertile ground for a structured loyalty programme. Recommendation: launch a simple 'Nahdi Pass' (digital stamp card via WhatsApp or app) offering one free Mandi rice after every 8 qualifying dine-in visits. This would:</w:t>
      </w:r>
    </w:p>
    <w:p>
      <w:pPr>
        <w:pStyle w:val="ListParagraph"/>
        <w:numPr>
          <w:ilvl w:val="0"/>
          <w:numId w:val="2"/>
        </w:numPr>
        <w:spacing w:after="50" w:before="50"/>
      </w:pPr>
      <w:r>
        <w:rPr>
          <w:rFonts w:ascii="Arial" w:cs="Arial" w:eastAsia="Arial" w:hAnsi="Arial"/>
          <w:color w:val="1C1C1C"/>
          <w:sz w:val="20"/>
          <w:szCs w:val="20"/>
        </w:rPr>
        <w:t xml:space="preserve">Increase annual visit frequency from an estimated 4.1 to 5.8 visits per active customer.</w:t>
      </w:r>
    </w:p>
    <w:p>
      <w:pPr>
        <w:pStyle w:val="ListParagraph"/>
        <w:numPr>
          <w:ilvl w:val="0"/>
          <w:numId w:val="2"/>
        </w:numPr>
        <w:spacing w:after="50" w:before="50"/>
      </w:pPr>
      <w:r>
        <w:rPr>
          <w:rFonts w:ascii="Arial" w:cs="Arial" w:eastAsia="Arial" w:hAnsi="Arial"/>
          <w:color w:val="1C1C1C"/>
          <w:sz w:val="20"/>
          <w:szCs w:val="20"/>
        </w:rPr>
        <w:t xml:space="preserve">Create a rich first-party data asset (customer profiles, location, preferences) to enable targeted marketing.</w:t>
      </w:r>
    </w:p>
    <w:p>
      <w:pPr>
        <w:pStyle w:val="ListParagraph"/>
        <w:numPr>
          <w:ilvl w:val="0"/>
          <w:numId w:val="2"/>
        </w:numPr>
        <w:spacing w:after="50" w:before="50"/>
      </w:pPr>
      <w:r>
        <w:rPr>
          <w:rFonts w:ascii="Arial" w:cs="Arial" w:eastAsia="Arial" w:hAnsi="Arial"/>
          <w:color w:val="1C1C1C"/>
          <w:sz w:val="20"/>
          <w:szCs w:val="20"/>
        </w:rPr>
        <w:t xml:space="preserve">Provide a mechanism for cross-location trial (redeem at any outlet) — critical for driving footfall at new branch openings.</w:t>
      </w:r>
    </w:p>
    <w:p>
      <w:pPr>
        <w:spacing w:after="100"/>
      </w:pPr>
    </w:p>
    <w:p>
      <w:pPr>
        <w:shd w:fill="1A7A68" w:val="clear"/>
        <w:spacing w:after="80" w:before="240"/>
      </w:pPr>
      <w:r>
        <w:rPr>
          <w:rFonts w:ascii="Arial" w:cs="Arial" w:eastAsia="Arial" w:hAnsi="Arial"/>
          <w:b/>
          <w:bCs/>
          <w:color w:val="FFFFFF"/>
          <w:sz w:val="24"/>
          <w:szCs w:val="24"/>
        </w:rPr>
        <w:t xml:space="preserve">  Priority 3 — Structured Digital &amp; Influencer Programme</w:t>
      </w:r>
    </w:p>
    <w:p>
      <w:pPr>
        <w:spacing w:after="60"/>
      </w:pPr>
    </w:p>
    <w:p>
      <w:pPr>
        <w:spacing w:after="80" w:before="60"/>
        <w:jc w:val="both"/>
      </w:pPr>
      <w:r>
        <w:rPr>
          <w:rFonts w:ascii="Arial" w:cs="Arial" w:eastAsia="Arial" w:hAnsi="Arial"/>
          <w:color w:val="1C1C1C"/>
          <w:sz w:val="20"/>
          <w:szCs w:val="20"/>
        </w:rPr>
        <w:t xml:space="preserve">Organic influencer coverage is a significant brand asset but leaves distribution to chance. A formal micro-influencer programme targeting food creators in Thrissur, Kochi, and Bengaluru (follower range: 10K–100K; compensation: barter + nominal fee) would seed brand awareness in the priority expansion markets 6–9 months before physical outlet opening, dramatically reducing the ramp-up period for new locations.</w:t>
      </w:r>
    </w:p>
    <w:p>
      <w:pPr>
        <w:spacing w:after="100"/>
      </w:pPr>
    </w:p>
    <w:p>
      <w:pPr>
        <w:shd w:fill="1A7A68" w:val="clear"/>
        <w:spacing w:after="80" w:before="240"/>
      </w:pPr>
      <w:r>
        <w:rPr>
          <w:rFonts w:ascii="Arial" w:cs="Arial" w:eastAsia="Arial" w:hAnsi="Arial"/>
          <w:b/>
          <w:bCs/>
          <w:color w:val="FFFFFF"/>
          <w:sz w:val="24"/>
          <w:szCs w:val="24"/>
        </w:rPr>
        <w:t xml:space="preserve">  Priority 4 — Consistency Standardisation Across Outlets</w:t>
      </w:r>
    </w:p>
    <w:p>
      <w:pPr>
        <w:spacing w:after="60"/>
      </w:pPr>
    </w:p>
    <w:p>
      <w:pPr>
        <w:spacing w:after="80" w:before="60"/>
        <w:jc w:val="both"/>
      </w:pPr>
      <w:r>
        <w:rPr>
          <w:rFonts w:ascii="Arial" w:cs="Arial" w:eastAsia="Arial" w:hAnsi="Arial"/>
          <w:color w:val="1C1C1C"/>
          <w:sz w:val="20"/>
          <w:szCs w:val="20"/>
        </w:rPr>
        <w:t xml:space="preserve">Cross-outlet consistency complaints — while minor (22% of negative reviews) — carry outsized brand risk as the network scales. Recommendation: implement a Nahdi Culinary Standards Manual, supported by a rotating Quality Assurance Chef who visits each outlet monthly. A mystery dining programme (6 visits per outlet per year) should be institutionalised, with results tied to outlet manager KPIs.</w:t>
      </w:r>
    </w:p>
    <w:p>
      <w:pPr>
        <w:spacing w:after="100"/>
      </w:pPr>
    </w:p>
    <w:p>
      <w:pPr>
        <w:shd w:fill="1A7A68" w:val="clear"/>
        <w:spacing w:after="80" w:before="240"/>
      </w:pPr>
      <w:r>
        <w:rPr>
          <w:rFonts w:ascii="Arial" w:cs="Arial" w:eastAsia="Arial" w:hAnsi="Arial"/>
          <w:b/>
          <w:bCs/>
          <w:color w:val="FFFFFF"/>
          <w:sz w:val="24"/>
          <w:szCs w:val="24"/>
        </w:rPr>
        <w:t xml:space="preserve">  Priority 5 — Southern Kerala Expansion Strategy</w:t>
      </w:r>
    </w:p>
    <w:p>
      <w:pPr>
        <w:spacing w:after="60"/>
      </w:pPr>
    </w:p>
    <w:p>
      <w:pPr>
        <w:spacing w:after="80" w:before="60"/>
        <w:jc w:val="both"/>
      </w:pPr>
      <w:r>
        <w:rPr>
          <w:rFonts w:ascii="Arial" w:cs="Arial" w:eastAsia="Arial" w:hAnsi="Arial"/>
          <w:color w:val="1C1C1C"/>
          <w:sz w:val="20"/>
          <w:szCs w:val="20"/>
        </w:rPr>
        <w:t xml:space="preserve">Thrissur (8% Nahdi share) and Kochi (5% share) represent ₹62 crore of combined market revenue where Nahdi is materially under-indexed. Market research confirms strong latent demand — 44% of Thrissur survey respondents said they would visit a Nahdi outlet if one opened within 8 km. Recommended sequencing: (1) Thrissur flagship outlet with flagship-quality pit installation; (2) Kochi second outlet in a high-footfall location (Marine Drive or Lulu Mall vicinity); (3) follow with targeted digital campaign emphasising the pit-cook experience.</w:t>
      </w:r>
    </w:p>
    <w:p>
      <w:r>
        <w:br w:type="page"/>
      </w:r>
    </w:p>
    <w:p>
      <w:pPr>
        <w:pBdr>
          <w:bottom w:val="single" w:color="B7600A" w:sz="8" w:space="0"/>
        </w:pBdr>
        <w:shd w:fill="0B5345" w:val="clear"/>
        <w:spacing w:after="0" w:before="320"/>
      </w:pPr>
      <w:r>
        <w:rPr>
          <w:rFonts w:ascii="Arial" w:cs="Arial" w:eastAsia="Arial" w:hAnsi="Arial"/>
          <w:b/>
          <w:bCs/>
          <w:color w:val="FFFFFF"/>
          <w:sz w:val="30"/>
          <w:szCs w:val="30"/>
        </w:rPr>
        <w:t xml:space="preserve">  7.  RESEARCH NOTES &amp; METHODOLOGY</w:t>
      </w:r>
    </w:p>
    <w:p>
      <w:pPr>
        <w:spacing w:after="80"/>
      </w:pPr>
    </w:p>
    <w:p>
      <w:pPr>
        <w:pBdr>
          <w:bottom w:val="single" w:color="B7600A" w:sz="3" w:space="1"/>
        </w:pBdr>
        <w:spacing w:after="80" w:before="180"/>
      </w:pPr>
      <w:r>
        <w:rPr>
          <w:rFonts w:ascii="Arial" w:cs="Arial" w:eastAsia="Arial" w:hAnsi="Arial"/>
          <w:b/>
          <w:bCs/>
          <w:color w:val="0B5345"/>
          <w:sz w:val="22"/>
          <w:szCs w:val="22"/>
        </w:rPr>
        <w:t xml:space="preserve">7.1  Primary Research Design</w:t>
      </w:r>
    </w:p>
    <w:p>
      <w:pPr>
        <w:pStyle w:val="ListParagraph"/>
        <w:numPr>
          <w:ilvl w:val="0"/>
          <w:numId w:val="2"/>
        </w:numPr>
        <w:spacing w:after="50" w:before="50"/>
      </w:pPr>
      <w:r>
        <w:rPr>
          <w:rFonts w:ascii="Arial" w:cs="Arial" w:eastAsia="Arial" w:hAnsi="Arial"/>
          <w:color w:val="1C1C1C"/>
          <w:sz w:val="20"/>
          <w:szCs w:val="20"/>
        </w:rPr>
        <w:t xml:space="preserve">Consumer Survey: 840 respondents across 5 districts; structured questionnaire covering awareness, trial, preference, NPS, occasion triggers, and competitive alternatives; administered via face-to-face intercept (outside restaurant catchment zones) and online panel.</w:t>
      </w:r>
    </w:p>
    <w:p>
      <w:pPr>
        <w:pStyle w:val="ListParagraph"/>
        <w:numPr>
          <w:ilvl w:val="0"/>
          <w:numId w:val="2"/>
        </w:numPr>
        <w:spacing w:after="50" w:before="50"/>
      </w:pPr>
      <w:r>
        <w:rPr>
          <w:rFonts w:ascii="Arial" w:cs="Arial" w:eastAsia="Arial" w:hAnsi="Arial"/>
          <w:color w:val="1C1C1C"/>
          <w:sz w:val="20"/>
          <w:szCs w:val="20"/>
        </w:rPr>
        <w:t xml:space="preserve">Focus Groups: 6 sessions of 8 respondents each — 2 in Malappuram, 2 in Kozhikode, 1 in Thrissur, 1 in Kochi; sessions lasted 90 minutes each; moderated around brand perception, category occasions, and competitive context.</w:t>
      </w:r>
    </w:p>
    <w:p>
      <w:pPr>
        <w:pStyle w:val="ListParagraph"/>
        <w:numPr>
          <w:ilvl w:val="0"/>
          <w:numId w:val="2"/>
        </w:numPr>
        <w:spacing w:after="50" w:before="50"/>
      </w:pPr>
      <w:r>
        <w:rPr>
          <w:rFonts w:ascii="Arial" w:cs="Arial" w:eastAsia="Arial" w:hAnsi="Arial"/>
          <w:color w:val="1C1C1C"/>
          <w:sz w:val="20"/>
          <w:szCs w:val="20"/>
        </w:rPr>
        <w:t xml:space="preserve">Mystery Dining: 24 mystery visits across 8 outlets; standardised observation checklist covering food quality, service speed, hygiene, ambience, and ordering experience.</w:t>
      </w:r>
    </w:p>
    <w:p>
      <w:pPr>
        <w:pStyle w:val="ListParagraph"/>
        <w:numPr>
          <w:ilvl w:val="0"/>
          <w:numId w:val="2"/>
        </w:numPr>
        <w:spacing w:after="50" w:before="50"/>
      </w:pPr>
      <w:r>
        <w:rPr>
          <w:rFonts w:ascii="Arial" w:cs="Arial" w:eastAsia="Arial" w:hAnsi="Arial"/>
          <w:color w:val="1C1C1C"/>
          <w:sz w:val="20"/>
          <w:szCs w:val="20"/>
        </w:rPr>
        <w:t xml:space="preserve">Expert Interviews: 9 interviews with food industry practitioners, food bloggers, supply-chain managers, and consumer behaviour academics.</w:t>
      </w:r>
    </w:p>
    <w:p>
      <w:pPr>
        <w:spacing w:after="80"/>
      </w:pPr>
    </w:p>
    <w:p>
      <w:pPr>
        <w:pBdr>
          <w:bottom w:val="single" w:color="B7600A" w:sz="3" w:space="1"/>
        </w:pBdr>
        <w:spacing w:after="80" w:before="180"/>
      </w:pPr>
      <w:r>
        <w:rPr>
          <w:rFonts w:ascii="Arial" w:cs="Arial" w:eastAsia="Arial" w:hAnsi="Arial"/>
          <w:b/>
          <w:bCs/>
          <w:color w:val="0B5345"/>
          <w:sz w:val="22"/>
          <w:szCs w:val="22"/>
        </w:rPr>
        <w:t xml:space="preserve">7.2  Secondary Research</w:t>
      </w:r>
    </w:p>
    <w:p>
      <w:pPr>
        <w:pStyle w:val="ListParagraph"/>
        <w:numPr>
          <w:ilvl w:val="0"/>
          <w:numId w:val="2"/>
        </w:numPr>
        <w:spacing w:after="50" w:before="50"/>
      </w:pPr>
      <w:r>
        <w:rPr>
          <w:rFonts w:ascii="Arial" w:cs="Arial" w:eastAsia="Arial" w:hAnsi="Arial"/>
          <w:color w:val="1C1C1C"/>
          <w:sz w:val="20"/>
          <w:szCs w:val="20"/>
        </w:rPr>
        <w:t xml:space="preserve">Social listening across Google Reviews, Zomato, Swiggy, Instagram, Facebook, and YouTube using NLP topic-modelling on 12,400+ mentions.</w:t>
      </w:r>
    </w:p>
    <w:p>
      <w:pPr>
        <w:pStyle w:val="ListParagraph"/>
        <w:numPr>
          <w:ilvl w:val="0"/>
          <w:numId w:val="2"/>
        </w:numPr>
        <w:spacing w:after="50" w:before="50"/>
      </w:pPr>
      <w:r>
        <w:rPr>
          <w:rFonts w:ascii="Arial" w:cs="Arial" w:eastAsia="Arial" w:hAnsi="Arial"/>
          <w:color w:val="1C1C1C"/>
          <w:sz w:val="20"/>
          <w:szCs w:val="20"/>
        </w:rPr>
        <w:t xml:space="preserve">Competitor outlet audits (footfall observation, menu pricing, customer demographics).</w:t>
      </w:r>
    </w:p>
    <w:p>
      <w:pPr>
        <w:pStyle w:val="ListParagraph"/>
        <w:numPr>
          <w:ilvl w:val="0"/>
          <w:numId w:val="2"/>
        </w:numPr>
        <w:spacing w:after="50" w:before="50"/>
      </w:pPr>
      <w:r>
        <w:rPr>
          <w:rFonts w:ascii="Arial" w:cs="Arial" w:eastAsia="Arial" w:hAnsi="Arial"/>
          <w:color w:val="1C1C1C"/>
          <w:sz w:val="20"/>
          <w:szCs w:val="20"/>
        </w:rPr>
        <w:t xml:space="preserve">Kerala restaurant industry data from National Restaurant Association of India (NRAI) Kerala Chapter, 2023.</w:t>
      </w:r>
    </w:p>
    <w:p>
      <w:pPr>
        <w:spacing w:after="180"/>
      </w:pPr>
    </w:p>
    <w:p>
      <w:pPr>
        <w:pBdr>
          <w:top w:val="single" w:color="B7600A" w:sz="4" w:space="2"/>
          <w:bottom w:val="single" w:color="B7600A" w:sz="4" w:space="2"/>
        </w:pBdr>
        <w:spacing w:after="80" w:before="80"/>
        <w:jc w:val="center"/>
      </w:pPr>
      <w:r>
        <w:rPr>
          <w:rFonts w:ascii="Arial" w:cs="Arial" w:eastAsia="Arial" w:hAnsi="Arial"/>
          <w:b/>
          <w:bCs/>
          <w:color w:val="0B5345"/>
          <w:sz w:val="20"/>
          <w:szCs w:val="20"/>
        </w:rPr>
        <w:t xml:space="preserve">END OF REPORT</w:t>
      </w:r>
    </w:p>
    <w:p>
      <w:pPr>
        <w:spacing w:after="80"/>
      </w:pPr>
    </w:p>
    <w:p>
      <w:pPr>
        <w:spacing w:after="40" w:before="40"/>
        <w:jc w:val="both"/>
      </w:pPr>
      <w:r>
        <w:rPr>
          <w:rFonts w:ascii="Arial" w:cs="Arial" w:eastAsia="Arial" w:hAnsi="Arial"/>
          <w:i/>
          <w:iCs/>
          <w:color w:val="888888"/>
          <w:sz w:val="16"/>
          <w:szCs w:val="16"/>
        </w:rPr>
        <w:t xml:space="preserve">All data, survey findings, market estimates, and strategic recommendations in this report are entirely fictional and prepared for illustrative purposes only. This does not constitute actual market research, business intelligence, or strategic advice regarding Nahdi Kuzhimandi or any affiliated entity.</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7600A" w:sz="4" w:space="1"/>
      </w:pBdr>
      <w:spacing w:before="80"/>
    </w:pPr>
    <w:r>
      <w:rPr>
        <w:rFonts w:ascii="Arial" w:cs="Arial" w:eastAsia="Arial" w:hAnsi="Arial"/>
        <w:color w:val="888888"/>
        <w:sz w:val="16"/>
        <w:szCs w:val="16"/>
      </w:rPr>
      <w:t xml:space="preserve">Prepared by: Malabar Insight Group  |  Consumer Intelligence Division  |  Q1 2024  |  For strategic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600A" w:sz="4" w:space="1"/>
      </w:pBdr>
      <w:spacing w:after="80"/>
    </w:pPr>
    <w:r>
      <w:rPr>
        <w:rFonts w:ascii="Arial" w:cs="Arial" w:eastAsia="Arial" w:hAnsi="Arial"/>
        <w:b/>
        <w:bCs/>
        <w:color w:val="C0760A"/>
        <w:sz w:val="17"/>
        <w:szCs w:val="17"/>
      </w:rPr>
      <w:t xml:space="preserve">PROPRIETARY</w:t>
    </w:r>
    <w:r>
      <w:rPr>
        <w:rFonts w:ascii="Arial" w:cs="Arial" w:eastAsia="Arial" w:hAnsi="Arial"/>
        <w:color w:val="666666"/>
        <w:sz w:val="17"/>
        <w:szCs w:val="17"/>
      </w:rPr>
      <w:t xml:space="preserve">   |   Nahdi Kuzhimandi — Brand &amp; Market Intelligence Report 2024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2026-06-08T10:28:14.115Z</dcterms:created>
  <dcterms:modified xsi:type="dcterms:W3CDTF">2026-06-08T10:28:14.115Z</dcterms:modified>
</cp:coreProperties>
</file>

<file path=docProps/custom.xml><?xml version="1.0" encoding="utf-8"?>
<Properties xmlns="http://schemas.openxmlformats.org/officeDocument/2006/custom-properties" xmlns:vt="http://schemas.openxmlformats.org/officeDocument/2006/docPropsVTypes"/>
</file>