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Arial" w:cs="Arial" w:eastAsia="Arial" w:hAnsi="Arial"/>
          <w:b/>
          <w:bCs/>
          <w:color w:val="C8952A"/>
          <w:sz w:val="20"/>
          <w:szCs w:val="20"/>
        </w:rPr>
        <w:t xml:space="preserve">CRESCENT CAPITAL ADVISORS LLP</w:t>
      </w:r>
    </w:p>
    <w:p>
      <w:pPr>
        <w:spacing w:after="80"/>
      </w:pPr>
    </w:p>
    <w:p>
      <w:pPr>
        <w:jc w:val="center"/>
      </w:pPr>
      <w:r>
        <w:rPr>
          <w:rFonts w:ascii="Arial" w:cs="Arial" w:eastAsia="Arial" w:hAnsi="Arial"/>
          <w:b/>
          <w:bCs/>
          <w:color w:val="0D2B4E"/>
          <w:sz w:val="44"/>
          <w:szCs w:val="44"/>
        </w:rPr>
        <w:t xml:space="preserve">FINANCIAL &amp; BUSINESS PERFORMANCE REPORT</w:t>
      </w:r>
    </w:p>
    <w:p>
      <w:pPr>
        <w:spacing w:after="60"/>
      </w:pPr>
    </w:p>
    <w:p>
      <w:pPr>
        <w:jc w:val="center"/>
      </w:pPr>
      <w:r>
        <w:rPr>
          <w:rFonts w:ascii="Arial" w:cs="Arial" w:eastAsia="Arial" w:hAnsi="Arial"/>
          <w:b/>
          <w:bCs/>
          <w:color w:val="2B5F8E"/>
          <w:sz w:val="32"/>
          <w:szCs w:val="32"/>
        </w:rPr>
        <w:t xml:space="preserve">Nahdi Kuzhimandi Pvt. Ltd.</w:t>
      </w:r>
    </w:p>
    <w:p>
      <w:pPr>
        <w:spacing w:after="40"/>
      </w:pPr>
    </w:p>
    <w:p>
      <w:pPr>
        <w:jc w:val="center"/>
      </w:pPr>
      <w:r>
        <w:rPr>
          <w:rFonts w:ascii="Arial" w:cs="Arial" w:eastAsia="Arial" w:hAnsi="Arial"/>
          <w:i/>
          <w:iCs/>
          <w:color w:val="666666"/>
          <w:sz w:val="22"/>
          <w:szCs w:val="22"/>
        </w:rPr>
        <w:t xml:space="preserve">FY 2021–22 to FY 2023–24  |  Multi-Location Arabian QSR Operator</w:t>
      </w:r>
    </w:p>
    <w:p>
      <w:pPr>
        <w:spacing w:after="80"/>
      </w:pPr>
    </w:p>
    <w:p>
      <w:pPr>
        <w:jc w:val="center"/>
      </w:pPr>
      <w:r>
        <w:rPr>
          <w:color w:val="C8952A"/>
          <w:sz w:val="20"/>
          <w:szCs w:val="20"/>
        </w:rPr>
        <w:t xml:space="preser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left"/>
            </w:pPr>
            <w:r>
              <w:rPr>
                <w:rFonts w:ascii="Arial" w:cs="Arial" w:eastAsia="Arial" w:hAnsi="Arial"/>
                <w:b/>
                <w:bCs/>
                <w:color w:val="1A1A2E"/>
                <w:sz w:val="19"/>
                <w:szCs w:val="19"/>
              </w:rPr>
              <w:t xml:space="preserve">Report Type</w:t>
            </w:r>
          </w:p>
        </w:tc>
        <w:tc>
          <w:tcPr>
            <w:tcW w:type="dxa" w:w="6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Financial &amp; Business Due-Diligence Report</w:t>
            </w:r>
          </w:p>
        </w:tc>
      </w:tr>
      <w:tr>
        <w:tc>
          <w:tcPr>
            <w:tcW w:type="dxa" w:w="320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left"/>
            </w:pPr>
            <w:r>
              <w:rPr>
                <w:rFonts w:ascii="Arial" w:cs="Arial" w:eastAsia="Arial" w:hAnsi="Arial"/>
                <w:b/>
                <w:bCs/>
                <w:color w:val="1A1A2E"/>
                <w:sz w:val="19"/>
                <w:szCs w:val="19"/>
              </w:rPr>
              <w:t xml:space="preserve">Subject Entity</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Nahdi Kuzhimandi Pvt. Ltd.</w:t>
            </w:r>
          </w:p>
        </w:tc>
      </w:tr>
      <w:tr>
        <w:tc>
          <w:tcPr>
            <w:tcW w:type="dxa" w:w="320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left"/>
            </w:pPr>
            <w:r>
              <w:rPr>
                <w:rFonts w:ascii="Arial" w:cs="Arial" w:eastAsia="Arial" w:hAnsi="Arial"/>
                <w:b/>
                <w:bCs/>
                <w:color w:val="1A1A2E"/>
                <w:sz w:val="19"/>
                <w:szCs w:val="19"/>
              </w:rPr>
              <w:t xml:space="preserve">Analysis Period</w:t>
            </w:r>
          </w:p>
        </w:tc>
        <w:tc>
          <w:tcPr>
            <w:tcW w:type="dxa" w:w="6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FY 2021–22, FY 2022–23, FY 2023–24 (Projected)</w:t>
            </w:r>
          </w:p>
        </w:tc>
      </w:tr>
      <w:tr>
        <w:tc>
          <w:tcPr>
            <w:tcW w:type="dxa" w:w="320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left"/>
            </w:pPr>
            <w:r>
              <w:rPr>
                <w:rFonts w:ascii="Arial" w:cs="Arial" w:eastAsia="Arial" w:hAnsi="Arial"/>
                <w:b/>
                <w:bCs/>
                <w:color w:val="1A1A2E"/>
                <w:sz w:val="19"/>
                <w:szCs w:val="19"/>
              </w:rPr>
              <w:t xml:space="preserve">Prepared By</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Crescent Capital Advisors LLP, Kozhikode</w:t>
            </w:r>
          </w:p>
        </w:tc>
      </w:tr>
      <w:tr>
        <w:tc>
          <w:tcPr>
            <w:tcW w:type="dxa" w:w="320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left"/>
            </w:pPr>
            <w:r>
              <w:rPr>
                <w:rFonts w:ascii="Arial" w:cs="Arial" w:eastAsia="Arial" w:hAnsi="Arial"/>
                <w:b/>
                <w:bCs/>
                <w:color w:val="1A1A2E"/>
                <w:sz w:val="19"/>
                <w:szCs w:val="19"/>
              </w:rPr>
              <w:t xml:space="preserve">Date of Report</w:t>
            </w:r>
          </w:p>
        </w:tc>
        <w:tc>
          <w:tcPr>
            <w:tcW w:type="dxa" w:w="6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15 March 2024</w:t>
            </w:r>
          </w:p>
        </w:tc>
      </w:tr>
      <w:tr>
        <w:tc>
          <w:tcPr>
            <w:tcW w:type="dxa" w:w="320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left"/>
            </w:pPr>
            <w:r>
              <w:rPr>
                <w:rFonts w:ascii="Arial" w:cs="Arial" w:eastAsia="Arial" w:hAnsi="Arial"/>
                <w:b/>
                <w:bCs/>
                <w:color w:val="1A1A2E"/>
                <w:sz w:val="19"/>
                <w:szCs w:val="19"/>
              </w:rPr>
              <w:t xml:space="preserve">Classification</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C0392B"/>
                <w:sz w:val="19"/>
                <w:szCs w:val="19"/>
              </w:rPr>
              <w:t xml:space="preserve">CONFIDENTIAL — Not for public circulation</w:t>
            </w:r>
          </w:p>
        </w:tc>
      </w:tr>
    </w:tbl>
    <w:p>
      <w:pPr>
        <w:spacing w:after="200"/>
      </w:pPr>
    </w:p>
    <w:p>
      <w:pPr>
        <w:spacing w:after="40" w:before="40"/>
        <w:jc w:val="both"/>
      </w:pPr>
      <w:r>
        <w:rPr>
          <w:rFonts w:ascii="Arial" w:cs="Arial" w:eastAsia="Arial" w:hAnsi="Arial"/>
          <w:i/>
          <w:iCs/>
          <w:color w:val="888888"/>
          <w:sz w:val="16"/>
          <w:szCs w:val="16"/>
        </w:rPr>
        <w:t xml:space="preserve">DISCLAIMER: This report is entirely fictional and has been prepared for illustrative and educational purposes only. All financial figures, projections, market share estimates, and other data contained herein are hypothetical and do not represent actual information about Nahdi Kuzhimandi or any other entity. This document does not constitute investment advice, financial guidance, or a solicitation of any kind.</w:t>
      </w:r>
    </w:p>
    <w:p>
      <w:r>
        <w:br w:type="page"/>
      </w:r>
    </w:p>
    <w:p>
      <w:pPr>
        <w:pBdr>
          <w:bottom w:val="single" w:color="C8952A" w:sz="8" w:space="0"/>
        </w:pBdr>
        <w:shd w:fill="0D2B4E" w:val="clear"/>
        <w:spacing w:after="0" w:before="320"/>
        <w:ind w:left="180" w:right="180"/>
      </w:pPr>
      <w:r>
        <w:rPr>
          <w:rFonts w:ascii="Arial" w:cs="Arial" w:eastAsia="Arial" w:hAnsi="Arial"/>
          <w:b/>
          <w:bCs/>
          <w:color w:val="FFFFFF"/>
          <w:sz w:val="30"/>
          <w:szCs w:val="30"/>
        </w:rPr>
        <w:t xml:space="preserve">EXECUTIVE SUMMARY</w:t>
      </w:r>
    </w:p>
    <w:p>
      <w:pPr>
        <w:spacing w:after="80"/>
      </w:pPr>
    </w:p>
    <w:p>
      <w:pPr>
        <w:spacing w:after="80" w:before="60"/>
        <w:jc w:val="both"/>
      </w:pPr>
      <w:r>
        <w:rPr>
          <w:rFonts w:ascii="Arial" w:cs="Arial" w:eastAsia="Arial" w:hAnsi="Arial"/>
          <w:color w:val="1A1A2E"/>
          <w:sz w:val="20"/>
          <w:szCs w:val="20"/>
        </w:rPr>
        <w:t xml:space="preserve">Nahdi Kuzhimandi Pvt. Ltd. (hereafter 'Nahdi' or 'the Company') operates one of the largest Arabian Mandi restaurant networks in the Indian state of Kerala, with a growing footprint across South India and the Gulf Cooperation Council (GCC) region. Founded in 2013 in Perinthalmanna, Malappuram, the company has leveraged the large Malayali Muslim community's deep cultural connection to Arabian cuisine to build a differentiated Quick-Service Restaurant (QSR) brand.</w:t>
      </w:r>
    </w:p>
    <w:p>
      <w:pPr>
        <w:spacing w:after="60"/>
      </w:pPr>
    </w:p>
    <w:p>
      <w:pPr>
        <w:spacing w:after="80" w:before="60"/>
        <w:jc w:val="both"/>
      </w:pPr>
      <w:r>
        <w:rPr>
          <w:rFonts w:ascii="Arial" w:cs="Arial" w:eastAsia="Arial" w:hAnsi="Arial"/>
          <w:color w:val="1A1A2E"/>
          <w:sz w:val="20"/>
          <w:szCs w:val="20"/>
        </w:rPr>
        <w:t xml:space="preserve">This report presents a financial performance analysis covering three fiscal years (FY 2021–22 through FY 2023–24), an assessment of unit economics, capital structure, key risks, and a forward-looking projection for FY 2024–25. The analysis draws on internal operational data, management interviews, and comparable market benchmarks within the Indian QSR sector.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D" w:sz="1"/>
              <w:left w:val="single" w:color="D0D5DD" w:sz="1"/>
              <w:bottom w:val="single" w:color="D0D5DD" w:sz="1"/>
              <w:right w:val="single" w:color="D0D5DD" w:sz="1"/>
            </w:tcBorders>
            <w:shd w:fill="F2F4F7" w:val="clear"/>
            <w:tcMar>
              <w:top w:type="dxa" w:w="120"/>
              <w:left w:type="dxa" w:w="140"/>
              <w:bottom w:type="dxa" w:w="120"/>
              <w:right w:type="dxa" w:w="140"/>
            </w:tcMar>
          </w:tcPr>
          <w:p>
            <w:pPr>
              <w:jc w:val="center"/>
            </w:pPr>
            <w:r>
              <w:rPr>
                <w:rFonts w:ascii="Arial" w:cs="Arial" w:eastAsia="Arial" w:hAnsi="Arial"/>
                <w:b/>
                <w:bCs/>
                <w:color w:val="0D2B4E"/>
                <w:sz w:val="36"/>
                <w:szCs w:val="36"/>
              </w:rPr>
              <w:t xml:space="preserve">₹38.4 Cr</w:t>
            </w:r>
          </w:p>
          <w:p>
            <w:pPr>
              <w:jc w:val="center"/>
            </w:pPr>
            <w:r>
              <w:rPr>
                <w:rFonts w:ascii="Arial" w:cs="Arial" w:eastAsia="Arial" w:hAnsi="Arial"/>
                <w:b/>
                <w:bCs/>
                <w:color w:val="555555"/>
                <w:sz w:val="17"/>
                <w:szCs w:val="17"/>
              </w:rPr>
              <w:t xml:space="preserve">FY23–24 Revenue</w:t>
            </w:r>
          </w:p>
          <w:p>
            <w:pPr>
              <w:jc w:val="center"/>
            </w:pPr>
            <w:r>
              <w:rPr>
                <w:rFonts w:ascii="Arial" w:cs="Arial" w:eastAsia="Arial" w:hAnsi="Arial"/>
                <w:i/>
                <w:iCs/>
                <w:color w:val="888888"/>
                <w:sz w:val="15"/>
                <w:szCs w:val="15"/>
              </w:rPr>
              <w:t xml:space="preserve">+22% YoY</w:t>
            </w:r>
          </w:p>
        </w:tc>
        <w:tc>
          <w:tcPr>
            <w:tcW w:type="dxa" w:w="2340"/>
            <w:tcBorders>
              <w:top w:val="single" w:color="D0D5DD" w:sz="1"/>
              <w:left w:val="single" w:color="D0D5DD" w:sz="1"/>
              <w:bottom w:val="single" w:color="D0D5DD" w:sz="1"/>
              <w:right w:val="single" w:color="D0D5DD" w:sz="1"/>
            </w:tcBorders>
            <w:shd w:fill="F2F4F7" w:val="clear"/>
            <w:tcMar>
              <w:top w:type="dxa" w:w="120"/>
              <w:left w:type="dxa" w:w="140"/>
              <w:bottom w:type="dxa" w:w="120"/>
              <w:right w:type="dxa" w:w="140"/>
            </w:tcMar>
          </w:tcPr>
          <w:p>
            <w:pPr>
              <w:jc w:val="center"/>
            </w:pPr>
            <w:r>
              <w:rPr>
                <w:rFonts w:ascii="Arial" w:cs="Arial" w:eastAsia="Arial" w:hAnsi="Arial"/>
                <w:b/>
                <w:bCs/>
                <w:color w:val="1D6B34"/>
                <w:sz w:val="36"/>
                <w:szCs w:val="36"/>
              </w:rPr>
              <w:t xml:space="preserve">18.7%</w:t>
            </w:r>
          </w:p>
          <w:p>
            <w:pPr>
              <w:jc w:val="center"/>
            </w:pPr>
            <w:r>
              <w:rPr>
                <w:rFonts w:ascii="Arial" w:cs="Arial" w:eastAsia="Arial" w:hAnsi="Arial"/>
                <w:b/>
                <w:bCs/>
                <w:color w:val="555555"/>
                <w:sz w:val="17"/>
                <w:szCs w:val="17"/>
              </w:rPr>
              <w:t xml:space="preserve">EBITDA Margin</w:t>
            </w:r>
          </w:p>
          <w:p>
            <w:pPr>
              <w:jc w:val="center"/>
            </w:pPr>
            <w:r>
              <w:rPr>
                <w:rFonts w:ascii="Arial" w:cs="Arial" w:eastAsia="Arial" w:hAnsi="Arial"/>
                <w:i/>
                <w:iCs/>
                <w:color w:val="888888"/>
                <w:sz w:val="15"/>
                <w:szCs w:val="15"/>
              </w:rPr>
              <w:t xml:space="preserve">vs. 15.2% prior year</w:t>
            </w:r>
          </w:p>
        </w:tc>
        <w:tc>
          <w:tcPr>
            <w:tcW w:type="dxa" w:w="2340"/>
            <w:tcBorders>
              <w:top w:val="single" w:color="D0D5DD" w:sz="1"/>
              <w:left w:val="single" w:color="D0D5DD" w:sz="1"/>
              <w:bottom w:val="single" w:color="D0D5DD" w:sz="1"/>
              <w:right w:val="single" w:color="D0D5DD" w:sz="1"/>
            </w:tcBorders>
            <w:shd w:fill="F2F4F7" w:val="clear"/>
            <w:tcMar>
              <w:top w:type="dxa" w:w="120"/>
              <w:left w:type="dxa" w:w="140"/>
              <w:bottom w:type="dxa" w:w="120"/>
              <w:right w:type="dxa" w:w="140"/>
            </w:tcMar>
          </w:tcPr>
          <w:p>
            <w:pPr>
              <w:jc w:val="center"/>
            </w:pPr>
            <w:r>
              <w:rPr>
                <w:rFonts w:ascii="Arial" w:cs="Arial" w:eastAsia="Arial" w:hAnsi="Arial"/>
                <w:b/>
                <w:bCs/>
                <w:color w:val="2B5F8E"/>
                <w:sz w:val="36"/>
                <w:szCs w:val="36"/>
              </w:rPr>
              <w:t xml:space="preserve">13</w:t>
            </w:r>
          </w:p>
          <w:p>
            <w:pPr>
              <w:jc w:val="center"/>
            </w:pPr>
            <w:r>
              <w:rPr>
                <w:rFonts w:ascii="Arial" w:cs="Arial" w:eastAsia="Arial" w:hAnsi="Arial"/>
                <w:b/>
                <w:bCs/>
                <w:color w:val="555555"/>
                <w:sz w:val="17"/>
                <w:szCs w:val="17"/>
              </w:rPr>
              <w:t xml:space="preserve">Total Outlets</w:t>
            </w:r>
          </w:p>
          <w:p>
            <w:pPr>
              <w:jc w:val="center"/>
            </w:pPr>
            <w:r>
              <w:rPr>
                <w:rFonts w:ascii="Arial" w:cs="Arial" w:eastAsia="Arial" w:hAnsi="Arial"/>
                <w:i/>
                <w:iCs/>
                <w:color w:val="888888"/>
                <w:sz w:val="15"/>
                <w:szCs w:val="15"/>
              </w:rPr>
              <w:t xml:space="preserve">India + GCC</w:t>
            </w:r>
          </w:p>
        </w:tc>
        <w:tc>
          <w:tcPr>
            <w:tcW w:type="dxa" w:w="2340"/>
            <w:tcBorders>
              <w:top w:val="single" w:color="D0D5DD" w:sz="1"/>
              <w:left w:val="single" w:color="D0D5DD" w:sz="1"/>
              <w:bottom w:val="single" w:color="D0D5DD" w:sz="1"/>
              <w:right w:val="single" w:color="D0D5DD" w:sz="1"/>
            </w:tcBorders>
            <w:shd w:fill="F2F4F7" w:val="clear"/>
            <w:tcMar>
              <w:top w:type="dxa" w:w="120"/>
              <w:left w:type="dxa" w:w="140"/>
              <w:bottom w:type="dxa" w:w="120"/>
              <w:right w:type="dxa" w:w="140"/>
            </w:tcMar>
          </w:tcPr>
          <w:p>
            <w:pPr>
              <w:jc w:val="center"/>
            </w:pPr>
            <w:r>
              <w:rPr>
                <w:rFonts w:ascii="Arial" w:cs="Arial" w:eastAsia="Arial" w:hAnsi="Arial"/>
                <w:b/>
                <w:bCs/>
                <w:color w:val="0D2B4E"/>
                <w:sz w:val="36"/>
                <w:szCs w:val="36"/>
              </w:rPr>
              <w:t xml:space="preserve">410</w:t>
            </w:r>
          </w:p>
          <w:p>
            <w:pPr>
              <w:jc w:val="center"/>
            </w:pPr>
            <w:r>
              <w:rPr>
                <w:rFonts w:ascii="Arial" w:cs="Arial" w:eastAsia="Arial" w:hAnsi="Arial"/>
                <w:b/>
                <w:bCs/>
                <w:color w:val="555555"/>
                <w:sz w:val="17"/>
                <w:szCs w:val="17"/>
              </w:rPr>
              <w:t xml:space="preserve">Avg. Daily Covers</w:t>
            </w:r>
          </w:p>
          <w:p>
            <w:pPr>
              <w:jc w:val="center"/>
            </w:pPr>
            <w:r>
              <w:rPr>
                <w:rFonts w:ascii="Arial" w:cs="Arial" w:eastAsia="Arial" w:hAnsi="Arial"/>
                <w:i/>
                <w:iCs/>
                <w:color w:val="888888"/>
                <w:sz w:val="15"/>
                <w:szCs w:val="15"/>
              </w:rPr>
              <w:t xml:space="preserve">per outlet (FY24)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D" w:sz="1"/>
              <w:left w:val="single" w:color="D0D5DD" w:sz="1"/>
              <w:bottom w:val="single" w:color="D0D5DD" w:sz="1"/>
              <w:right w:val="single" w:color="D0D5DD" w:sz="1"/>
            </w:tcBorders>
            <w:shd w:fill="F2F4F7" w:val="clear"/>
            <w:tcMar>
              <w:top w:type="dxa" w:w="120"/>
              <w:left w:type="dxa" w:w="140"/>
              <w:bottom w:type="dxa" w:w="120"/>
              <w:right w:type="dxa" w:w="140"/>
            </w:tcMar>
          </w:tcPr>
          <w:p>
            <w:pPr>
              <w:jc w:val="center"/>
            </w:pPr>
            <w:r>
              <w:rPr>
                <w:rFonts w:ascii="Arial" w:cs="Arial" w:eastAsia="Arial" w:hAnsi="Arial"/>
                <w:b/>
                <w:bCs/>
                <w:color w:val="0D2B4E"/>
                <w:sz w:val="36"/>
                <w:szCs w:val="36"/>
              </w:rPr>
              <w:t xml:space="preserve">₹2.96 Cr</w:t>
            </w:r>
          </w:p>
          <w:p>
            <w:pPr>
              <w:jc w:val="center"/>
            </w:pPr>
            <w:r>
              <w:rPr>
                <w:rFonts w:ascii="Arial" w:cs="Arial" w:eastAsia="Arial" w:hAnsi="Arial"/>
                <w:b/>
                <w:bCs/>
                <w:color w:val="555555"/>
                <w:sz w:val="17"/>
                <w:szCs w:val="17"/>
              </w:rPr>
              <w:t xml:space="preserve">Revenue per Outlet</w:t>
            </w:r>
          </w:p>
          <w:p>
            <w:pPr>
              <w:jc w:val="center"/>
            </w:pPr>
            <w:r>
              <w:rPr>
                <w:rFonts w:ascii="Arial" w:cs="Arial" w:eastAsia="Arial" w:hAnsi="Arial"/>
                <w:i/>
                <w:iCs/>
                <w:color w:val="888888"/>
                <w:sz w:val="15"/>
                <w:szCs w:val="15"/>
              </w:rPr>
              <w:t xml:space="preserve">FY23–24 annualised</w:t>
            </w:r>
          </w:p>
        </w:tc>
        <w:tc>
          <w:tcPr>
            <w:tcW w:type="dxa" w:w="2340"/>
            <w:tcBorders>
              <w:top w:val="single" w:color="D0D5DD" w:sz="1"/>
              <w:left w:val="single" w:color="D0D5DD" w:sz="1"/>
              <w:bottom w:val="single" w:color="D0D5DD" w:sz="1"/>
              <w:right w:val="single" w:color="D0D5DD" w:sz="1"/>
            </w:tcBorders>
            <w:shd w:fill="F2F4F7" w:val="clear"/>
            <w:tcMar>
              <w:top w:type="dxa" w:w="120"/>
              <w:left w:type="dxa" w:w="140"/>
              <w:bottom w:type="dxa" w:w="120"/>
              <w:right w:type="dxa" w:w="140"/>
            </w:tcMar>
          </w:tcPr>
          <w:p>
            <w:pPr>
              <w:jc w:val="center"/>
            </w:pPr>
            <w:r>
              <w:rPr>
                <w:rFonts w:ascii="Arial" w:cs="Arial" w:eastAsia="Arial" w:hAnsi="Arial"/>
                <w:b/>
                <w:bCs/>
                <w:color w:val="2B5F8E"/>
                <w:sz w:val="36"/>
                <w:szCs w:val="36"/>
              </w:rPr>
              <w:t xml:space="preserve">~520</w:t>
            </w:r>
          </w:p>
          <w:p>
            <w:pPr>
              <w:jc w:val="center"/>
            </w:pPr>
            <w:r>
              <w:rPr>
                <w:rFonts w:ascii="Arial" w:cs="Arial" w:eastAsia="Arial" w:hAnsi="Arial"/>
                <w:b/>
                <w:bCs/>
                <w:color w:val="555555"/>
                <w:sz w:val="17"/>
                <w:szCs w:val="17"/>
              </w:rPr>
              <w:t xml:space="preserve">Staff Strength</w:t>
            </w:r>
          </w:p>
          <w:p>
            <w:pPr>
              <w:jc w:val="center"/>
            </w:pPr>
            <w:r>
              <w:rPr>
                <w:rFonts w:ascii="Arial" w:cs="Arial" w:eastAsia="Arial" w:hAnsi="Arial"/>
                <w:i/>
                <w:iCs/>
                <w:color w:val="888888"/>
                <w:sz w:val="15"/>
                <w:szCs w:val="15"/>
              </w:rPr>
              <w:t xml:space="preserve">across all locations</w:t>
            </w:r>
          </w:p>
        </w:tc>
        <w:tc>
          <w:tcPr>
            <w:tcW w:type="dxa" w:w="2340"/>
            <w:tcBorders>
              <w:top w:val="single" w:color="D0D5DD" w:sz="1"/>
              <w:left w:val="single" w:color="D0D5DD" w:sz="1"/>
              <w:bottom w:val="single" w:color="D0D5DD" w:sz="1"/>
              <w:right w:val="single" w:color="D0D5DD" w:sz="1"/>
            </w:tcBorders>
            <w:shd w:fill="F2F4F7" w:val="clear"/>
            <w:tcMar>
              <w:top w:type="dxa" w:w="120"/>
              <w:left w:type="dxa" w:w="140"/>
              <w:bottom w:type="dxa" w:w="120"/>
              <w:right w:type="dxa" w:w="140"/>
            </w:tcMar>
          </w:tcPr>
          <w:p>
            <w:pPr>
              <w:jc w:val="center"/>
            </w:pPr>
            <w:r>
              <w:rPr>
                <w:rFonts w:ascii="Arial" w:cs="Arial" w:eastAsia="Arial" w:hAnsi="Arial"/>
                <w:b/>
                <w:bCs/>
                <w:color w:val="0D2B4E"/>
                <w:sz w:val="36"/>
                <w:szCs w:val="36"/>
              </w:rPr>
              <w:t xml:space="preserve">26 months</w:t>
            </w:r>
          </w:p>
          <w:p>
            <w:pPr>
              <w:jc w:val="center"/>
            </w:pPr>
            <w:r>
              <w:rPr>
                <w:rFonts w:ascii="Arial" w:cs="Arial" w:eastAsia="Arial" w:hAnsi="Arial"/>
                <w:b/>
                <w:bCs/>
                <w:color w:val="555555"/>
                <w:sz w:val="17"/>
                <w:szCs w:val="17"/>
              </w:rPr>
              <w:t xml:space="preserve">Payback Period</w:t>
            </w:r>
          </w:p>
          <w:p>
            <w:pPr>
              <w:jc w:val="center"/>
            </w:pPr>
            <w:r>
              <w:rPr>
                <w:rFonts w:ascii="Arial" w:cs="Arial" w:eastAsia="Arial" w:hAnsi="Arial"/>
                <w:i/>
                <w:iCs/>
                <w:color w:val="888888"/>
                <w:sz w:val="15"/>
                <w:szCs w:val="15"/>
              </w:rPr>
              <w:t xml:space="preserve">avg. new outlet</w:t>
            </w:r>
          </w:p>
        </w:tc>
        <w:tc>
          <w:tcPr>
            <w:tcW w:type="dxa" w:w="2340"/>
            <w:tcBorders>
              <w:top w:val="single" w:color="D0D5DD" w:sz="1"/>
              <w:left w:val="single" w:color="D0D5DD" w:sz="1"/>
              <w:bottom w:val="single" w:color="D0D5DD" w:sz="1"/>
              <w:right w:val="single" w:color="D0D5DD" w:sz="1"/>
            </w:tcBorders>
            <w:shd w:fill="F2F4F7" w:val="clear"/>
            <w:tcMar>
              <w:top w:type="dxa" w:w="120"/>
              <w:left w:type="dxa" w:w="140"/>
              <w:bottom w:type="dxa" w:w="120"/>
              <w:right w:type="dxa" w:w="140"/>
            </w:tcMar>
          </w:tcPr>
          <w:p>
            <w:pPr>
              <w:jc w:val="center"/>
            </w:pPr>
            <w:r>
              <w:rPr>
                <w:rFonts w:ascii="Arial" w:cs="Arial" w:eastAsia="Arial" w:hAnsi="Arial"/>
                <w:b/>
                <w:bCs/>
                <w:color w:val="C0392B"/>
                <w:sz w:val="36"/>
                <w:szCs w:val="36"/>
              </w:rPr>
              <w:t xml:space="preserve">1.8x</w:t>
            </w:r>
          </w:p>
          <w:p>
            <w:pPr>
              <w:jc w:val="center"/>
            </w:pPr>
            <w:r>
              <w:rPr>
                <w:rFonts w:ascii="Arial" w:cs="Arial" w:eastAsia="Arial" w:hAnsi="Arial"/>
                <w:b/>
                <w:bCs/>
                <w:color w:val="555555"/>
                <w:sz w:val="17"/>
                <w:szCs w:val="17"/>
              </w:rPr>
              <w:t xml:space="preserve">Net Debt / EBITDA</w:t>
            </w:r>
          </w:p>
          <w:p>
            <w:pPr>
              <w:jc w:val="center"/>
            </w:pPr>
            <w:r>
              <w:rPr>
                <w:rFonts w:ascii="Arial" w:cs="Arial" w:eastAsia="Arial" w:hAnsi="Arial"/>
                <w:i/>
                <w:iCs/>
                <w:color w:val="888888"/>
                <w:sz w:val="15"/>
                <w:szCs w:val="15"/>
              </w:rPr>
              <w:t xml:space="preserve">as of Mar 2024</w:t>
            </w:r>
          </w:p>
        </w:tc>
      </w:tr>
    </w:tbl>
    <w:p>
      <w:pPr>
        <w:spacing w:after="120"/>
      </w:pPr>
    </w:p>
    <w:p>
      <w:pPr>
        <w:spacing w:after="80" w:before="60"/>
        <w:jc w:val="both"/>
      </w:pPr>
      <w:r>
        <w:rPr>
          <w:rFonts w:ascii="Arial" w:cs="Arial" w:eastAsia="Arial" w:hAnsi="Arial"/>
          <w:color w:val="1A1A2E"/>
          <w:sz w:val="20"/>
          <w:szCs w:val="20"/>
        </w:rPr>
        <w:t xml:space="preserve">The Company's trajectory reflects the broader boom in Arabian QSR formats across Malabar, driven by the Gulf remittance economy and returning NRI populations who have developed an appetite for Mandi while working abroad. Nahdi's moat lies in operational know-how around pit-cook logistics, an established brand in a category with few credible organised competitors, and a loyal repeat customer base.</w:t>
      </w:r>
    </w:p>
    <w:p>
      <w:pPr>
        <w:spacing w:after="60"/>
      </w:pPr>
    </w:p>
    <w:p>
      <w:pPr>
        <w:spacing w:after="80" w:before="60"/>
        <w:jc w:val="both"/>
      </w:pPr>
      <w:r>
        <w:rPr>
          <w:rFonts w:ascii="Arial" w:cs="Arial" w:eastAsia="Arial" w:hAnsi="Arial"/>
          <w:color w:val="1A1A2E"/>
          <w:sz w:val="20"/>
          <w:szCs w:val="20"/>
        </w:rPr>
        <w:t xml:space="preserve">Key risks centre on supply-chain concentration (imported spices and specific meat grades), rising rental costs in high-footfall locations, and the management bandwidth required to sustain the current 1.5–2 outlet-per-year expansion pace without diluting food quality — the brand's most critical asset.</w:t>
      </w:r>
    </w:p>
    <w:p>
      <w:r>
        <w:br w:type="page"/>
      </w:r>
    </w:p>
    <w:p>
      <w:pPr>
        <w:pBdr>
          <w:bottom w:val="single" w:color="C8952A" w:sz="8" w:space="0"/>
        </w:pBdr>
        <w:shd w:fill="0D2B4E" w:val="clear"/>
        <w:spacing w:after="0" w:before="320"/>
        <w:ind w:left="180" w:right="180"/>
      </w:pPr>
      <w:r>
        <w:rPr>
          <w:rFonts w:ascii="Arial" w:cs="Arial" w:eastAsia="Arial" w:hAnsi="Arial"/>
          <w:b/>
          <w:bCs/>
          <w:color w:val="FFFFFF"/>
          <w:sz w:val="30"/>
          <w:szCs w:val="30"/>
        </w:rPr>
        <w:t xml:space="preserve">1.  COMPANY &amp; SEGMENT OVERVIEW</w:t>
      </w:r>
    </w:p>
    <w:p>
      <w:pPr>
        <w:spacing w:after="80"/>
      </w:pPr>
    </w:p>
    <w:p>
      <w:pPr>
        <w:pBdr>
          <w:bottom w:val="single" w:color="C8952A" w:sz="3" w:space="1"/>
        </w:pBdr>
        <w:spacing w:after="80" w:before="180"/>
      </w:pPr>
      <w:r>
        <w:rPr>
          <w:rFonts w:ascii="Arial" w:cs="Arial" w:eastAsia="Arial" w:hAnsi="Arial"/>
          <w:b/>
          <w:bCs/>
          <w:color w:val="0D2B4E"/>
          <w:sz w:val="22"/>
          <w:szCs w:val="22"/>
        </w:rPr>
        <w:t xml:space="preserve">1.1  Business Model</w:t>
      </w:r>
    </w:p>
    <w:p>
      <w:pPr>
        <w:spacing w:after="80" w:before="60"/>
        <w:jc w:val="both"/>
      </w:pPr>
      <w:r>
        <w:rPr>
          <w:rFonts w:ascii="Arial" w:cs="Arial" w:eastAsia="Arial" w:hAnsi="Arial"/>
          <w:color w:val="1A1A2E"/>
          <w:sz w:val="20"/>
          <w:szCs w:val="20"/>
        </w:rPr>
        <w:t xml:space="preserve">Nahdi operates on a company-owned, company-operated (COCO) model across all Indian outlets. GCC operations are structured as franchise or joint-venture arrangements with local partners in Qatar, Bahrain, UAE, Kuwait, and Oman. The distinction matters analytically: Indian outlets carry full capex and opex exposure but deliver higher absolute margins; GCC units generate royalty and management fee income with lower capital intensity.</w:t>
      </w:r>
    </w:p>
    <w:p>
      <w:pPr>
        <w:spacing w:after="60"/>
      </w:pPr>
    </w:p>
    <w:p>
      <w:pPr>
        <w:spacing w:after="80" w:before="60"/>
        <w:jc w:val="both"/>
      </w:pPr>
      <w:r>
        <w:rPr>
          <w:rFonts w:ascii="Arial" w:cs="Arial" w:eastAsia="Arial" w:hAnsi="Arial"/>
          <w:color w:val="1A1A2E"/>
          <w:sz w:val="20"/>
          <w:szCs w:val="20"/>
        </w:rPr>
        <w:t xml:space="preserve">Revenue streams break down as follows across the consolidated entity (FY 2023–24 estimates):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c>
          <w:tcPr>
            <w:tcW w:type="dxa" w:w="480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Revenue Stream</w:t>
            </w:r>
          </w:p>
        </w:tc>
        <w:tc>
          <w:tcPr>
            <w:tcW w:type="dxa" w:w="228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right"/>
            </w:pPr>
            <w:r>
              <w:rPr>
                <w:rFonts w:ascii="Arial" w:cs="Arial" w:eastAsia="Arial" w:hAnsi="Arial"/>
                <w:b/>
                <w:bCs/>
                <w:color w:val="FFFFFF"/>
                <w:sz w:val="19"/>
                <w:szCs w:val="19"/>
              </w:rPr>
              <w:t xml:space="preserve">₹ Crore</w:t>
            </w:r>
          </w:p>
        </w:tc>
        <w:tc>
          <w:tcPr>
            <w:tcW w:type="dxa" w:w="228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right"/>
            </w:pPr>
            <w:r>
              <w:rPr>
                <w:rFonts w:ascii="Arial" w:cs="Arial" w:eastAsia="Arial" w:hAnsi="Arial"/>
                <w:b/>
                <w:bCs/>
                <w:color w:val="FFFFFF"/>
                <w:sz w:val="19"/>
                <w:szCs w:val="19"/>
              </w:rPr>
              <w:t xml:space="preserve">% of Total</w:t>
            </w:r>
          </w:p>
        </w:tc>
      </w:tr>
      <w:tr>
        <w:tc>
          <w:tcPr>
            <w:tcW w:type="dxa" w:w="4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Dine-in (India outlets)</w:t>
            </w:r>
          </w:p>
        </w:tc>
        <w:tc>
          <w:tcPr>
            <w:tcW w:type="dxa" w:w="2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24.1</w:t>
            </w:r>
          </w:p>
        </w:tc>
        <w:tc>
          <w:tcPr>
            <w:tcW w:type="dxa" w:w="2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62.8%</w:t>
            </w:r>
          </w:p>
        </w:tc>
      </w:tr>
      <w:tr>
        <w:tc>
          <w:tcPr>
            <w:tcW w:type="dxa" w:w="4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Takeaway &amp; Online Delivery</w:t>
            </w:r>
          </w:p>
        </w:tc>
        <w:tc>
          <w:tcPr>
            <w:tcW w:type="dxa" w:w="22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9.4</w:t>
            </w:r>
          </w:p>
        </w:tc>
        <w:tc>
          <w:tcPr>
            <w:tcW w:type="dxa" w:w="22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24.5%</w:t>
            </w:r>
          </w:p>
        </w:tc>
      </w:tr>
      <w:tr>
        <w:tc>
          <w:tcPr>
            <w:tcW w:type="dxa" w:w="4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Catering &amp; Bulk Orders</w:t>
            </w:r>
          </w:p>
        </w:tc>
        <w:tc>
          <w:tcPr>
            <w:tcW w:type="dxa" w:w="2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2.9</w:t>
            </w:r>
          </w:p>
        </w:tc>
        <w:tc>
          <w:tcPr>
            <w:tcW w:type="dxa" w:w="2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7.6%</w:t>
            </w:r>
          </w:p>
        </w:tc>
      </w:tr>
      <w:tr>
        <w:tc>
          <w:tcPr>
            <w:tcW w:type="dxa" w:w="4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GCC Franchise Royalties &amp; Fees</w:t>
            </w:r>
          </w:p>
        </w:tc>
        <w:tc>
          <w:tcPr>
            <w:tcW w:type="dxa" w:w="22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2.0</w:t>
            </w:r>
          </w:p>
        </w:tc>
        <w:tc>
          <w:tcPr>
            <w:tcW w:type="dxa" w:w="22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5.1%</w:t>
            </w:r>
          </w:p>
        </w:tc>
      </w:tr>
      <w:tr>
        <w:tc>
          <w:tcPr>
            <w:tcW w:type="dxa" w:w="4800"/>
            <w:tcBorders>
              <w:top w:val="single" w:color="D0D5DD" w:sz="1"/>
              <w:left w:val="single" w:color="D0D5DD" w:sz="1"/>
              <w:bottom w:val="single" w:color="D0D5DD" w:sz="1"/>
              <w:right w:val="single" w:color="D0D5DD" w:sz="1"/>
            </w:tcBorders>
            <w:shd w:fill="2B5F8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TOTAL</w:t>
            </w:r>
          </w:p>
        </w:tc>
        <w:tc>
          <w:tcPr>
            <w:tcW w:type="dxa" w:w="2280"/>
            <w:tcBorders>
              <w:top w:val="single" w:color="D0D5DD" w:sz="1"/>
              <w:left w:val="single" w:color="D0D5DD" w:sz="1"/>
              <w:bottom w:val="single" w:color="D0D5DD" w:sz="1"/>
              <w:right w:val="single" w:color="D0D5DD" w:sz="1"/>
            </w:tcBorders>
            <w:shd w:fill="2B5F8E" w:val="clear"/>
            <w:tcMar>
              <w:top w:type="dxa" w:w="80"/>
              <w:left w:type="dxa" w:w="120"/>
              <w:bottom w:type="dxa" w:w="80"/>
              <w:right w:type="dxa" w:w="120"/>
            </w:tcMar>
          </w:tcPr>
          <w:p>
            <w:pPr>
              <w:jc w:val="right"/>
            </w:pPr>
            <w:r>
              <w:rPr>
                <w:rFonts w:ascii="Arial" w:cs="Arial" w:eastAsia="Arial" w:hAnsi="Arial"/>
                <w:b/>
                <w:bCs/>
                <w:color w:val="FFFFFF"/>
                <w:sz w:val="19"/>
                <w:szCs w:val="19"/>
              </w:rPr>
              <w:t xml:space="preserve">38.4</w:t>
            </w:r>
          </w:p>
        </w:tc>
        <w:tc>
          <w:tcPr>
            <w:tcW w:type="dxa" w:w="2280"/>
            <w:tcBorders>
              <w:top w:val="single" w:color="D0D5DD" w:sz="1"/>
              <w:left w:val="single" w:color="D0D5DD" w:sz="1"/>
              <w:bottom w:val="single" w:color="D0D5DD" w:sz="1"/>
              <w:right w:val="single" w:color="D0D5DD" w:sz="1"/>
            </w:tcBorders>
            <w:shd w:fill="2B5F8E" w:val="clear"/>
            <w:tcMar>
              <w:top w:type="dxa" w:w="80"/>
              <w:left w:type="dxa" w:w="120"/>
              <w:bottom w:type="dxa" w:w="80"/>
              <w:right w:type="dxa" w:w="120"/>
            </w:tcMar>
          </w:tcPr>
          <w:p>
            <w:pPr>
              <w:jc w:val="right"/>
            </w:pPr>
            <w:r>
              <w:rPr>
                <w:rFonts w:ascii="Arial" w:cs="Arial" w:eastAsia="Arial" w:hAnsi="Arial"/>
                <w:b/>
                <w:bCs/>
                <w:color w:val="FFFFFF"/>
                <w:sz w:val="19"/>
                <w:szCs w:val="19"/>
              </w:rPr>
              <w:t xml:space="preserve">100%</w:t>
            </w:r>
          </w:p>
        </w:tc>
      </w:tr>
    </w:tbl>
    <w:p>
      <w:pPr>
        <w:spacing w:after="120"/>
      </w:pPr>
    </w:p>
    <w:p>
      <w:pPr>
        <w:pBdr>
          <w:bottom w:val="single" w:color="C8952A" w:sz="3" w:space="1"/>
        </w:pBdr>
        <w:spacing w:after="80" w:before="180"/>
      </w:pPr>
      <w:r>
        <w:rPr>
          <w:rFonts w:ascii="Arial" w:cs="Arial" w:eastAsia="Arial" w:hAnsi="Arial"/>
          <w:b/>
          <w:bCs/>
          <w:color w:val="0D2B4E"/>
          <w:sz w:val="22"/>
          <w:szCs w:val="22"/>
        </w:rPr>
        <w:t xml:space="preserve">1.2  Segment Positioning</w:t>
      </w:r>
    </w:p>
    <w:p>
      <w:pPr>
        <w:spacing w:after="80" w:before="60"/>
        <w:jc w:val="both"/>
      </w:pPr>
      <w:r>
        <w:rPr>
          <w:rFonts w:ascii="Arial" w:cs="Arial" w:eastAsia="Arial" w:hAnsi="Arial"/>
          <w:color w:val="1A1A2E"/>
          <w:sz w:val="20"/>
          <w:szCs w:val="20"/>
        </w:rPr>
        <w:t xml:space="preserve">Nahdi occupies the 'Premium Casual' segment within the QSR taxonomy — priced above street-side Mandi vendors (₹150–₹200/head) but below formal hotel dining (₹600+). Average spend per cover is approximately ₹320–₹360 in Kerala outlets, reflecting the 'unlimited rice' add-on pricing model. This positions the brand favourably for families and group dining occasions, which account for an estimated 68% of dine-in covers.</w:t>
      </w:r>
    </w:p>
    <w:p>
      <w:pPr>
        <w:spacing w:after="80"/>
      </w:pPr>
    </w:p>
    <w:p>
      <w:pPr>
        <w:pBdr>
          <w:bottom w:val="single" w:color="C8952A" w:sz="3" w:space="1"/>
        </w:pBdr>
        <w:spacing w:after="80" w:before="180"/>
      </w:pPr>
      <w:r>
        <w:rPr>
          <w:rFonts w:ascii="Arial" w:cs="Arial" w:eastAsia="Arial" w:hAnsi="Arial"/>
          <w:b/>
          <w:bCs/>
          <w:color w:val="0D2B4E"/>
          <w:sz w:val="22"/>
          <w:szCs w:val="22"/>
        </w:rPr>
        <w:t xml:space="preserve">1.3  Competitive Landscape (Kerala QSR Arabian Segment)</w:t>
      </w:r>
    </w:p>
    <w:p>
      <w:pPr>
        <w:spacing w:after="80" w:before="60"/>
        <w:jc w:val="both"/>
      </w:pPr>
      <w:r>
        <w:rPr>
          <w:rFonts w:ascii="Arial" w:cs="Arial" w:eastAsia="Arial" w:hAnsi="Arial"/>
          <w:color w:val="1A1A2E"/>
          <w:sz w:val="20"/>
          <w:szCs w:val="20"/>
        </w:rPr>
        <w:t xml:space="preserve">The Arabian QSR space in Kerala remains largely fragmented with a few regional brands and numerous independent operators. Nahdi is among the first in the region to build a multi-unit branded network around Mandi:</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Operator</w:t>
            </w:r>
          </w:p>
        </w:tc>
        <w:tc>
          <w:tcPr>
            <w:tcW w:type="dxa" w:w="200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Outlets (Est.)</w:t>
            </w:r>
          </w:p>
        </w:tc>
        <w:tc>
          <w:tcPr>
            <w:tcW w:type="dxa" w:w="200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Avg. Cover (₹)</w:t>
            </w:r>
          </w:p>
        </w:tc>
        <w:tc>
          <w:tcPr>
            <w:tcW w:type="dxa" w:w="236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Key Differentiation</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bCs/>
                <w:color w:val="C8952A"/>
                <w:sz w:val="19"/>
                <w:szCs w:val="19"/>
              </w:rPr>
              <w:t xml:space="preserve">Nahdi Kuzhimandi</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13</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340</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Pit-cook, brand scale</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Al Badar Mandi (Thrissur)</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3</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310</w:t>
            </w:r>
          </w:p>
        </w:tc>
        <w:tc>
          <w:tcPr>
            <w:tcW w:type="dxa" w:w="2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Local loyalty, lower price</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Marhaba Mandi (Calicut)</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290</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Delivery-first model</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Independents / Unbranded</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50+</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200–260</w:t>
            </w:r>
          </w:p>
        </w:tc>
        <w:tc>
          <w:tcPr>
            <w:tcW w:type="dxa" w:w="2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Price; neighbourhood trust</w:t>
            </w:r>
          </w:p>
        </w:tc>
      </w:tr>
    </w:tbl>
    <w:p>
      <w:r>
        <w:br w:type="page"/>
      </w:r>
    </w:p>
    <w:p>
      <w:pPr>
        <w:pBdr>
          <w:bottom w:val="single" w:color="C8952A" w:sz="8" w:space="0"/>
        </w:pBdr>
        <w:shd w:fill="0D2B4E" w:val="clear"/>
        <w:spacing w:after="0" w:before="320"/>
        <w:ind w:left="180" w:right="180"/>
      </w:pPr>
      <w:r>
        <w:rPr>
          <w:rFonts w:ascii="Arial" w:cs="Arial" w:eastAsia="Arial" w:hAnsi="Arial"/>
          <w:b/>
          <w:bCs/>
          <w:color w:val="FFFFFF"/>
          <w:sz w:val="30"/>
          <w:szCs w:val="30"/>
        </w:rPr>
        <w:t xml:space="preserve">2.  FINANCIAL PERFORMANCE ANALYSIS</w:t>
      </w:r>
    </w:p>
    <w:p>
      <w:pPr>
        <w:spacing w:after="80"/>
      </w:pPr>
    </w:p>
    <w:p>
      <w:pPr>
        <w:pBdr>
          <w:bottom w:val="single" w:color="C8952A" w:sz="3" w:space="1"/>
        </w:pBdr>
        <w:spacing w:after="80" w:before="180"/>
      </w:pPr>
      <w:r>
        <w:rPr>
          <w:rFonts w:ascii="Arial" w:cs="Arial" w:eastAsia="Arial" w:hAnsi="Arial"/>
          <w:b/>
          <w:bCs/>
          <w:color w:val="0D2B4E"/>
          <w:sz w:val="22"/>
          <w:szCs w:val="22"/>
        </w:rPr>
        <w:t xml:space="preserve">2.1  Three-Year Revenue Trend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80"/>
        <w:gridCol w:w="1980"/>
        <w:gridCol w:w="1980"/>
      </w:tblGrid>
      <w:tr>
        <w:tc>
          <w:tcPr>
            <w:tcW w:type="dxa" w:w="340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Metric (₹ Crore)</w:t>
            </w:r>
          </w:p>
        </w:tc>
        <w:tc>
          <w:tcPr>
            <w:tcW w:type="dxa" w:w="198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right"/>
            </w:pPr>
            <w:r>
              <w:rPr>
                <w:rFonts w:ascii="Arial" w:cs="Arial" w:eastAsia="Arial" w:hAnsi="Arial"/>
                <w:b/>
                <w:bCs/>
                <w:color w:val="FFFFFF"/>
                <w:sz w:val="19"/>
                <w:szCs w:val="19"/>
              </w:rPr>
              <w:t xml:space="preserve">FY 21–22</w:t>
            </w:r>
          </w:p>
        </w:tc>
        <w:tc>
          <w:tcPr>
            <w:tcW w:type="dxa" w:w="198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right"/>
            </w:pPr>
            <w:r>
              <w:rPr>
                <w:rFonts w:ascii="Arial" w:cs="Arial" w:eastAsia="Arial" w:hAnsi="Arial"/>
                <w:b/>
                <w:bCs/>
                <w:color w:val="FFFFFF"/>
                <w:sz w:val="19"/>
                <w:szCs w:val="19"/>
              </w:rPr>
              <w:t xml:space="preserve">FY 22–23</w:t>
            </w:r>
          </w:p>
        </w:tc>
        <w:tc>
          <w:tcPr>
            <w:tcW w:type="dxa" w:w="198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right"/>
            </w:pPr>
            <w:r>
              <w:rPr>
                <w:rFonts w:ascii="Arial" w:cs="Arial" w:eastAsia="Arial" w:hAnsi="Arial"/>
                <w:b/>
                <w:bCs/>
                <w:color w:val="FFFFFF"/>
                <w:sz w:val="19"/>
                <w:szCs w:val="19"/>
              </w:rPr>
              <w:t xml:space="preserve">FY 23–24E</w:t>
            </w:r>
          </w:p>
        </w:tc>
      </w:tr>
      <w:tr>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Gross Revenue</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22.1</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31.5</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38.4</w:t>
            </w:r>
          </w:p>
        </w:tc>
      </w:tr>
      <w:tr>
        <w:tc>
          <w:tcPr>
            <w:tcW w:type="dxa" w:w="3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  YoY Growth</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D6B34"/>
                <w:sz w:val="19"/>
                <w:szCs w:val="19"/>
              </w:rPr>
              <w:t xml:space="preserve">+42.5%</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D6B34"/>
                <w:sz w:val="19"/>
                <w:szCs w:val="19"/>
              </w:rPr>
              <w:t xml:space="preserve">+21.9%</w:t>
            </w:r>
          </w:p>
        </w:tc>
      </w:tr>
      <w:tr>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Raw Material &amp; Food Cost</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8.8</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12.3</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14.6</w:t>
            </w:r>
          </w:p>
        </w:tc>
      </w:tr>
      <w:tr>
        <w:tc>
          <w:tcPr>
            <w:tcW w:type="dxa" w:w="3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  Food Cost %</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39.8%</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39.0%</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38.0%</w:t>
            </w:r>
          </w:p>
        </w:tc>
      </w:tr>
      <w:tr>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Employee Costs</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4.1</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5.8</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7.0</w:t>
            </w:r>
          </w:p>
        </w:tc>
      </w:tr>
      <w:tr>
        <w:tc>
          <w:tcPr>
            <w:tcW w:type="dxa" w:w="3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Rental &amp; Occupancy</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2.6</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3.6</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4.3</w:t>
            </w:r>
          </w:p>
        </w:tc>
      </w:tr>
      <w:tr>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Marketing &amp; Delivery Commissions</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1.2</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1.8</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2.2</w:t>
            </w:r>
          </w:p>
        </w:tc>
      </w:tr>
      <w:tr>
        <w:tc>
          <w:tcPr>
            <w:tcW w:type="dxa" w:w="3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Other Opex</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1.9</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3.2</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3.1</w:t>
            </w:r>
          </w:p>
        </w:tc>
      </w:tr>
      <w:tr>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bCs/>
                <w:color w:val="1A1A2E"/>
                <w:sz w:val="19"/>
                <w:szCs w:val="19"/>
              </w:rPr>
              <w:t xml:space="preserve">EBITDA</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bCs/>
                <w:color w:val="1A1A2E"/>
                <w:sz w:val="19"/>
                <w:szCs w:val="19"/>
              </w:rPr>
              <w:t xml:space="preserve">3.5</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bCs/>
                <w:color w:val="1A1A2E"/>
                <w:sz w:val="19"/>
                <w:szCs w:val="19"/>
              </w:rPr>
              <w:t xml:space="preserve">4.8</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bCs/>
                <w:color w:val="1A1A2E"/>
                <w:sz w:val="19"/>
                <w:szCs w:val="19"/>
              </w:rPr>
              <w:t xml:space="preserve">7.2</w:t>
            </w:r>
          </w:p>
        </w:tc>
      </w:tr>
      <w:tr>
        <w:tc>
          <w:tcPr>
            <w:tcW w:type="dxa" w:w="3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bCs/>
                <w:color w:val="1A1A2E"/>
                <w:sz w:val="19"/>
                <w:szCs w:val="19"/>
              </w:rPr>
              <w:t xml:space="preserve">EBITDA Margin</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bCs/>
                <w:color w:val="1A1A2E"/>
                <w:sz w:val="19"/>
                <w:szCs w:val="19"/>
              </w:rPr>
              <w:t xml:space="preserve">15.8%</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bCs/>
                <w:color w:val="1A1A2E"/>
                <w:sz w:val="19"/>
                <w:szCs w:val="19"/>
              </w:rPr>
              <w:t xml:space="preserve">15.2%</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bCs/>
                <w:color w:val="1D6B34"/>
                <w:sz w:val="19"/>
                <w:szCs w:val="19"/>
              </w:rPr>
              <w:t xml:space="preserve">18.7%</w:t>
            </w:r>
          </w:p>
        </w:tc>
      </w:tr>
      <w:tr>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Depreciation &amp; Amortisation</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0.9</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1.2</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1.5</w:t>
            </w:r>
          </w:p>
        </w:tc>
      </w:tr>
      <w:tr>
        <w:tc>
          <w:tcPr>
            <w:tcW w:type="dxa" w:w="3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Interest &amp; Finance Costs</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0.7</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0.8</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0.9</w:t>
            </w:r>
          </w:p>
        </w:tc>
      </w:tr>
      <w:tr>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bCs/>
                <w:color w:val="1A1A2E"/>
                <w:sz w:val="19"/>
                <w:szCs w:val="19"/>
              </w:rPr>
              <w:t xml:space="preserve">Profit Before Tax (PBT)</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bCs/>
                <w:color w:val="1A1A2E"/>
                <w:sz w:val="19"/>
                <w:szCs w:val="19"/>
              </w:rPr>
              <w:t xml:space="preserve">1.9</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bCs/>
                <w:color w:val="1A1A2E"/>
                <w:sz w:val="19"/>
                <w:szCs w:val="19"/>
              </w:rPr>
              <w:t xml:space="preserve">2.8</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bCs/>
                <w:color w:val="1A1A2E"/>
                <w:sz w:val="19"/>
                <w:szCs w:val="19"/>
              </w:rPr>
              <w:t xml:space="preserve">4.8</w:t>
            </w:r>
          </w:p>
        </w:tc>
      </w:tr>
      <w:tr>
        <w:tc>
          <w:tcPr>
            <w:tcW w:type="dxa" w:w="3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Effective Tax Rate</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25%</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25%</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25%</w:t>
            </w:r>
          </w:p>
        </w:tc>
      </w:tr>
      <w:tr>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bCs/>
                <w:color w:val="1A1A2E"/>
                <w:sz w:val="19"/>
                <w:szCs w:val="19"/>
              </w:rPr>
              <w:t xml:space="preserve">Profit After Tax (PAT)</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bCs/>
                <w:color w:val="1A1A2E"/>
                <w:sz w:val="19"/>
                <w:szCs w:val="19"/>
              </w:rPr>
              <w:t xml:space="preserve">1.4</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bCs/>
                <w:color w:val="1A1A2E"/>
                <w:sz w:val="19"/>
                <w:szCs w:val="19"/>
              </w:rPr>
              <w:t xml:space="preserve">2.1</w:t>
            </w:r>
          </w:p>
        </w:tc>
        <w:tc>
          <w:tcPr>
            <w:tcW w:type="dxa" w:w="19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bCs/>
                <w:color w:val="1D6B34"/>
                <w:sz w:val="19"/>
                <w:szCs w:val="19"/>
              </w:rPr>
              <w:t xml:space="preserve">3.6</w:t>
            </w:r>
          </w:p>
        </w:tc>
      </w:tr>
    </w:tbl>
    <w:p>
      <w:pPr>
        <w:spacing w:after="100"/>
      </w:pPr>
    </w:p>
    <w:p>
      <w:pPr>
        <w:spacing w:after="80" w:before="60"/>
        <w:jc w:val="both"/>
      </w:pPr>
      <w:r>
        <w:rPr>
          <w:rFonts w:ascii="Arial" w:cs="Arial" w:eastAsia="Arial" w:hAnsi="Arial"/>
          <w:color w:val="1A1A2E"/>
          <w:sz w:val="20"/>
          <w:szCs w:val="20"/>
        </w:rPr>
        <w:t xml:space="preserve">The FY 2023–24 EBITDA margin expansion of ~350 bps over the prior year reflects improved cost leverage as the fixed cost base (rentals, chef salaries) was spread over a larger revenue base, and the full-year contribution of three outlets opened in H2 FY 2022–23. Food cost improvement is attributed to a direct supply arrangement with a halal meat processor in Palakkad, replacing spot-market procurement.</w:t>
      </w:r>
    </w:p>
    <w:p>
      <w:pPr>
        <w:spacing w:after="100"/>
      </w:pPr>
    </w:p>
    <w:p>
      <w:pPr>
        <w:pBdr>
          <w:bottom w:val="single" w:color="C8952A" w:sz="3" w:space="1"/>
        </w:pBdr>
        <w:spacing w:after="80" w:before="180"/>
      </w:pPr>
      <w:r>
        <w:rPr>
          <w:rFonts w:ascii="Arial" w:cs="Arial" w:eastAsia="Arial" w:hAnsi="Arial"/>
          <w:b/>
          <w:bCs/>
          <w:color w:val="0D2B4E"/>
          <w:sz w:val="22"/>
          <w:szCs w:val="22"/>
        </w:rPr>
        <w:t xml:space="preserve">2.2  Unit Economics — Mature Outlet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Unit P&amp;L Line</w:t>
            </w:r>
          </w:p>
        </w:tc>
        <w:tc>
          <w:tcPr>
            <w:tcW w:type="dxa" w:w="200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right"/>
            </w:pPr>
            <w:r>
              <w:rPr>
                <w:rFonts w:ascii="Arial" w:cs="Arial" w:eastAsia="Arial" w:hAnsi="Arial"/>
                <w:b/>
                <w:bCs/>
                <w:color w:val="FFFFFF"/>
                <w:sz w:val="19"/>
                <w:szCs w:val="19"/>
              </w:rPr>
              <w:t xml:space="preserve">₹ / Month</w:t>
            </w:r>
          </w:p>
        </w:tc>
        <w:tc>
          <w:tcPr>
            <w:tcW w:type="dxa" w:w="200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right"/>
            </w:pPr>
            <w:r>
              <w:rPr>
                <w:rFonts w:ascii="Arial" w:cs="Arial" w:eastAsia="Arial" w:hAnsi="Arial"/>
                <w:b/>
                <w:bCs/>
                <w:color w:val="FFFFFF"/>
                <w:sz w:val="19"/>
                <w:szCs w:val="19"/>
              </w:rPr>
              <w:t xml:space="preserve">% Revenue</w:t>
            </w:r>
          </w:p>
        </w:tc>
      </w:tr>
      <w:tr>
        <w:tc>
          <w:tcPr>
            <w:tcW w:type="dxa" w:w="5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bCs/>
                <w:color w:val="1A1A2E"/>
                <w:sz w:val="19"/>
                <w:szCs w:val="19"/>
              </w:rPr>
              <w:t xml:space="preserve">Average Monthly Revenue (mature outlet)</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bCs/>
                <w:color w:val="1A1A2E"/>
                <w:sz w:val="19"/>
                <w:szCs w:val="19"/>
              </w:rPr>
              <w:t xml:space="preserve">24.7 L</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bCs/>
                <w:color w:val="1A1A2E"/>
                <w:sz w:val="19"/>
                <w:szCs w:val="19"/>
              </w:rPr>
              <w:t xml:space="preserve">100%</w:t>
            </w:r>
          </w:p>
        </w:tc>
      </w:tr>
      <w:tr>
        <w:tc>
          <w:tcPr>
            <w:tcW w:type="dxa" w:w="5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Food &amp; Beverage Cost</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9.4 L</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38%</w:t>
            </w:r>
          </w:p>
        </w:tc>
      </w:tr>
      <w:tr>
        <w:tc>
          <w:tcPr>
            <w:tcW w:type="dxa" w:w="5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bCs/>
                <w:color w:val="1A1A2E"/>
                <w:sz w:val="19"/>
                <w:szCs w:val="19"/>
              </w:rPr>
              <w:t xml:space="preserve">Gross Profit</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bCs/>
                <w:color w:val="1A1A2E"/>
                <w:sz w:val="19"/>
                <w:szCs w:val="19"/>
              </w:rPr>
              <w:t xml:space="preserve">15.3 L</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bCs/>
                <w:color w:val="1A1A2E"/>
                <w:sz w:val="19"/>
                <w:szCs w:val="19"/>
              </w:rPr>
              <w:t xml:space="preserve">62%</w:t>
            </w:r>
          </w:p>
        </w:tc>
      </w:tr>
      <w:tr>
        <w:tc>
          <w:tcPr>
            <w:tcW w:type="dxa" w:w="5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Staff Costs (7–12 employees / outlet)</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4.2 L</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17%</w:t>
            </w:r>
          </w:p>
        </w:tc>
      </w:tr>
      <w:tr>
        <w:tc>
          <w:tcPr>
            <w:tcW w:type="dxa" w:w="5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Rent &amp; CAM Charges</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2.8 L</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11%</w:t>
            </w:r>
          </w:p>
        </w:tc>
      </w:tr>
      <w:tr>
        <w:tc>
          <w:tcPr>
            <w:tcW w:type="dxa" w:w="5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Utilities (Electricity, Gas, Water)</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1.1 L</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4.5%</w:t>
            </w:r>
          </w:p>
        </w:tc>
      </w:tr>
      <w:tr>
        <w:tc>
          <w:tcPr>
            <w:tcW w:type="dxa" w:w="5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Aggregator Commissions (Swiggy/Zomato)</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0.9 L</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3.6%</w:t>
            </w:r>
          </w:p>
        </w:tc>
      </w:tr>
      <w:tr>
        <w:tc>
          <w:tcPr>
            <w:tcW w:type="dxa" w:w="5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bCs/>
                <w:color w:val="1A1A2E"/>
                <w:sz w:val="19"/>
                <w:szCs w:val="19"/>
              </w:rPr>
              <w:t xml:space="preserve">Outlet-Level EBITDA</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bCs/>
                <w:color w:val="1D6B34"/>
                <w:sz w:val="19"/>
                <w:szCs w:val="19"/>
              </w:rPr>
              <w:t xml:space="preserve">6.3 L</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bCs/>
                <w:color w:val="1D6B34"/>
                <w:sz w:val="19"/>
                <w:szCs w:val="19"/>
              </w:rPr>
              <w:t xml:space="preserve">25.5%</w:t>
            </w:r>
          </w:p>
        </w:tc>
      </w:tr>
      <w:tr>
        <w:tc>
          <w:tcPr>
            <w:tcW w:type="dxa" w:w="5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Capex to Open New Outlet (avg.)</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~82 L</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w:t>
            </w:r>
          </w:p>
        </w:tc>
      </w:tr>
      <w:tr>
        <w:tc>
          <w:tcPr>
            <w:tcW w:type="dxa" w:w="5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Payback Period (at 6.3L/month)</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~13 months</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w:t>
            </w:r>
          </w:p>
        </w:tc>
      </w:tr>
    </w:tbl>
    <w:p>
      <w:pPr>
        <w:spacing w:after="80"/>
      </w:pPr>
    </w:p>
    <w:p>
      <w:pPr>
        <w:spacing w:after="80" w:before="60"/>
        <w:jc w:val="both"/>
      </w:pPr>
      <w:r>
        <w:rPr>
          <w:rFonts w:ascii="Arial" w:cs="Arial" w:eastAsia="Arial" w:hAnsi="Arial"/>
          <w:color w:val="1A1A2E"/>
          <w:sz w:val="20"/>
          <w:szCs w:val="20"/>
        </w:rPr>
        <w:t xml:space="preserve">Note: The group-level EBITDA margin (18.7%) is lower than the mature outlet-level margin (25.5%) due to central overhead — corporate team, management salaries, technology costs, and GCC joint venture losses during ramp-up.</w:t>
      </w:r>
    </w:p>
    <w:p>
      <w:r>
        <w:br w:type="page"/>
      </w:r>
    </w:p>
    <w:p>
      <w:pPr>
        <w:pBdr>
          <w:bottom w:val="single" w:color="C8952A" w:sz="8" w:space="0"/>
        </w:pBdr>
        <w:shd w:fill="0D2B4E" w:val="clear"/>
        <w:spacing w:after="0" w:before="320"/>
        <w:ind w:left="180" w:right="180"/>
      </w:pPr>
      <w:r>
        <w:rPr>
          <w:rFonts w:ascii="Arial" w:cs="Arial" w:eastAsia="Arial" w:hAnsi="Arial"/>
          <w:b/>
          <w:bCs/>
          <w:color w:val="FFFFFF"/>
          <w:sz w:val="30"/>
          <w:szCs w:val="30"/>
        </w:rPr>
        <w:t xml:space="preserve">3.  CAPITAL STRUCTURE &amp; FUNDING</w:t>
      </w:r>
    </w:p>
    <w:p>
      <w:pPr>
        <w:spacing w:after="80"/>
      </w:pPr>
    </w:p>
    <w:p>
      <w:pPr>
        <w:pBdr>
          <w:bottom w:val="single" w:color="C8952A" w:sz="3" w:space="1"/>
        </w:pBdr>
        <w:spacing w:after="80" w:before="180"/>
      </w:pPr>
      <w:r>
        <w:rPr>
          <w:rFonts w:ascii="Arial" w:cs="Arial" w:eastAsia="Arial" w:hAnsi="Arial"/>
          <w:b/>
          <w:bCs/>
          <w:color w:val="0D2B4E"/>
          <w:sz w:val="22"/>
          <w:szCs w:val="22"/>
        </w:rPr>
        <w:t xml:space="preserve">3.1  Balance Sheet Snapshot (as of 31 March 2024, Estimated)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Item</w:t>
            </w:r>
          </w:p>
        </w:tc>
        <w:tc>
          <w:tcPr>
            <w:tcW w:type="dxa" w:w="400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right"/>
            </w:pPr>
            <w:r>
              <w:rPr>
                <w:rFonts w:ascii="Arial" w:cs="Arial" w:eastAsia="Arial" w:hAnsi="Arial"/>
                <w:b/>
                <w:bCs/>
                <w:color w:val="FFFFFF"/>
                <w:sz w:val="19"/>
                <w:szCs w:val="19"/>
              </w:rPr>
              <w:t xml:space="preserve">₹ Crore (Est.)</w:t>
            </w:r>
          </w:p>
        </w:tc>
      </w:tr>
      <w:tr>
        <w:tc>
          <w:tcPr>
            <w:tcW w:type="dxa" w:w="5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Fixed Assets (Fit-outs, Equipment, IP)</w:t>
            </w:r>
          </w:p>
        </w:tc>
        <w:tc>
          <w:tcPr>
            <w:tcW w:type="dxa" w:w="4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9.4</w:t>
            </w:r>
          </w:p>
        </w:tc>
      </w:tr>
      <w:tr>
        <w:tc>
          <w:tcPr>
            <w:tcW w:type="dxa" w:w="5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Right-of-Use Assets (Ind AS 116)</w:t>
            </w:r>
          </w:p>
        </w:tc>
        <w:tc>
          <w:tcPr>
            <w:tcW w:type="dxa" w:w="4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6.1</w:t>
            </w:r>
          </w:p>
        </w:tc>
      </w:tr>
      <w:tr>
        <w:tc>
          <w:tcPr>
            <w:tcW w:type="dxa" w:w="5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Inventory (Meat, Spices, Beverages)</w:t>
            </w:r>
          </w:p>
        </w:tc>
        <w:tc>
          <w:tcPr>
            <w:tcW w:type="dxa" w:w="4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1.2</w:t>
            </w:r>
          </w:p>
        </w:tc>
      </w:tr>
      <w:tr>
        <w:tc>
          <w:tcPr>
            <w:tcW w:type="dxa" w:w="5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Receivables (Catering, B2B)</w:t>
            </w:r>
          </w:p>
        </w:tc>
        <w:tc>
          <w:tcPr>
            <w:tcW w:type="dxa" w:w="4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0.8</w:t>
            </w:r>
          </w:p>
        </w:tc>
      </w:tr>
      <w:tr>
        <w:tc>
          <w:tcPr>
            <w:tcW w:type="dxa" w:w="5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Cash &amp; Cash Equivalents</w:t>
            </w:r>
          </w:p>
        </w:tc>
        <w:tc>
          <w:tcPr>
            <w:tcW w:type="dxa" w:w="4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2.3</w:t>
            </w:r>
          </w:p>
        </w:tc>
      </w:tr>
      <w:tr>
        <w:tc>
          <w:tcPr>
            <w:tcW w:type="dxa" w:w="5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bCs/>
                <w:color w:val="1A1A2E"/>
                <w:sz w:val="19"/>
                <w:szCs w:val="19"/>
              </w:rPr>
              <w:t xml:space="preserve">TOTAL ASSETS</w:t>
            </w:r>
          </w:p>
        </w:tc>
        <w:tc>
          <w:tcPr>
            <w:tcW w:type="dxa" w:w="4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bCs/>
                <w:color w:val="1A1A2E"/>
                <w:sz w:val="19"/>
                <w:szCs w:val="19"/>
              </w:rPr>
              <w:t xml:space="preserve">19.8</w:t>
            </w:r>
          </w:p>
        </w:tc>
      </w:tr>
      <w:tr>
        <w:tc>
          <w:tcPr>
            <w:tcW w:type="dxa" w:w="5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
            </w:r>
          </w:p>
        </w:tc>
        <w:tc>
          <w:tcPr>
            <w:tcW w:type="dxa" w:w="4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
            </w:r>
          </w:p>
        </w:tc>
      </w:tr>
      <w:tr>
        <w:tc>
          <w:tcPr>
            <w:tcW w:type="dxa" w:w="5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Promoter Equity (incl. retained earnings)</w:t>
            </w:r>
          </w:p>
        </w:tc>
        <w:tc>
          <w:tcPr>
            <w:tcW w:type="dxa" w:w="4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7.2</w:t>
            </w:r>
          </w:p>
        </w:tc>
      </w:tr>
      <w:tr>
        <w:tc>
          <w:tcPr>
            <w:tcW w:type="dxa" w:w="5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Term Loans (Kerala Bank, SBI)</w:t>
            </w:r>
          </w:p>
        </w:tc>
        <w:tc>
          <w:tcPr>
            <w:tcW w:type="dxa" w:w="4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6.8</w:t>
            </w:r>
          </w:p>
        </w:tc>
      </w:tr>
      <w:tr>
        <w:tc>
          <w:tcPr>
            <w:tcW w:type="dxa" w:w="5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Lease Liabilities (Ind AS 116)</w:t>
            </w:r>
          </w:p>
        </w:tc>
        <w:tc>
          <w:tcPr>
            <w:tcW w:type="dxa" w:w="4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5.1</w:t>
            </w:r>
          </w:p>
        </w:tc>
      </w:tr>
      <w:tr>
        <w:tc>
          <w:tcPr>
            <w:tcW w:type="dxa" w:w="5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Trade Payables</w:t>
            </w:r>
          </w:p>
        </w:tc>
        <w:tc>
          <w:tcPr>
            <w:tcW w:type="dxa" w:w="4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0.7</w:t>
            </w:r>
          </w:p>
        </w:tc>
      </w:tr>
      <w:tr>
        <w:tc>
          <w:tcPr>
            <w:tcW w:type="dxa" w:w="5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bCs/>
                <w:color w:val="1A1A2E"/>
                <w:sz w:val="19"/>
                <w:szCs w:val="19"/>
              </w:rPr>
              <w:t xml:space="preserve">TOTAL LIABILITIES + EQUITY</w:t>
            </w:r>
          </w:p>
        </w:tc>
        <w:tc>
          <w:tcPr>
            <w:tcW w:type="dxa" w:w="4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bCs/>
                <w:color w:val="1A1A2E"/>
                <w:sz w:val="19"/>
                <w:szCs w:val="19"/>
              </w:rPr>
              <w:t xml:space="preserve">19.8</w:t>
            </w:r>
          </w:p>
        </w:tc>
      </w:tr>
    </w:tbl>
    <w:p>
      <w:pPr>
        <w:spacing w:after="100"/>
      </w:pPr>
    </w:p>
    <w:p>
      <w:pPr>
        <w:pBdr>
          <w:bottom w:val="single" w:color="C8952A" w:sz="3" w:space="1"/>
        </w:pBdr>
        <w:spacing w:after="80" w:before="180"/>
      </w:pPr>
      <w:r>
        <w:rPr>
          <w:rFonts w:ascii="Arial" w:cs="Arial" w:eastAsia="Arial" w:hAnsi="Arial"/>
          <w:b/>
          <w:bCs/>
          <w:color w:val="0D2B4E"/>
          <w:sz w:val="22"/>
          <w:szCs w:val="22"/>
        </w:rPr>
        <w:t xml:space="preserve">3.2  Leverage Assessment</w:t>
      </w:r>
    </w:p>
    <w:p>
      <w:pPr>
        <w:pStyle w:val="ListParagraph"/>
        <w:numPr>
          <w:ilvl w:val="0"/>
          <w:numId w:val="2"/>
        </w:numPr>
        <w:spacing w:after="50" w:before="50"/>
      </w:pPr>
      <w:r>
        <w:rPr>
          <w:rFonts w:ascii="Arial" w:cs="Arial" w:eastAsia="Arial" w:hAnsi="Arial"/>
          <w:color w:val="1A1A2E"/>
          <w:sz w:val="20"/>
          <w:szCs w:val="20"/>
        </w:rPr>
        <w:t xml:space="preserve">Net Debt (Term Loans minus Cash): ₹4.5 Cr. Net Debt / EBITDA: 0.63x — manageable at current EBITDA levels.</w:t>
      </w:r>
    </w:p>
    <w:p>
      <w:pPr>
        <w:pStyle w:val="ListParagraph"/>
        <w:numPr>
          <w:ilvl w:val="0"/>
          <w:numId w:val="2"/>
        </w:numPr>
        <w:spacing w:after="50" w:before="50"/>
      </w:pPr>
      <w:r>
        <w:rPr>
          <w:rFonts w:ascii="Arial" w:cs="Arial" w:eastAsia="Arial" w:hAnsi="Arial"/>
          <w:color w:val="1A1A2E"/>
          <w:sz w:val="20"/>
          <w:szCs w:val="20"/>
        </w:rPr>
        <w:t xml:space="preserve">Total Debt including lease obligations: ₹11.9 Cr. Total Debt / EBITDA: 1.65x — elevated but within the 2.5x threshold typically considered safe for QSR operators with stable cash flows.</w:t>
      </w:r>
    </w:p>
    <w:p>
      <w:pPr>
        <w:pStyle w:val="ListParagraph"/>
        <w:numPr>
          <w:ilvl w:val="0"/>
          <w:numId w:val="2"/>
        </w:numPr>
        <w:spacing w:after="50" w:before="50"/>
      </w:pPr>
      <w:r>
        <w:rPr>
          <w:rFonts w:ascii="Arial" w:cs="Arial" w:eastAsia="Arial" w:hAnsi="Arial"/>
          <w:color w:val="1A1A2E"/>
          <w:sz w:val="20"/>
          <w:szCs w:val="20"/>
        </w:rPr>
        <w:t xml:space="preserve">Debt service coverage ratio (DSCR) estimated at 2.4x for FY 2023–24, providing adequate cushion against revenue volatility.</w:t>
      </w:r>
    </w:p>
    <w:p>
      <w:pPr>
        <w:pStyle w:val="ListParagraph"/>
        <w:numPr>
          <w:ilvl w:val="0"/>
          <w:numId w:val="2"/>
        </w:numPr>
        <w:spacing w:after="50" w:before="50"/>
      </w:pPr>
      <w:r>
        <w:rPr>
          <w:rFonts w:ascii="Arial" w:cs="Arial" w:eastAsia="Arial" w:hAnsi="Arial"/>
          <w:color w:val="1A1A2E"/>
          <w:sz w:val="20"/>
          <w:szCs w:val="20"/>
        </w:rPr>
        <w:t xml:space="preserve">No external equity investor on record; the business is 100% promoter-owned. A private equity entry at 6–7x EBITDA would value the company at ₹43–50 Cr.</w:t>
      </w:r>
    </w:p>
    <w:p>
      <w:r>
        <w:br w:type="page"/>
      </w:r>
    </w:p>
    <w:p>
      <w:pPr>
        <w:pBdr>
          <w:bottom w:val="single" w:color="C8952A" w:sz="8" w:space="0"/>
        </w:pBdr>
        <w:shd w:fill="0D2B4E" w:val="clear"/>
        <w:spacing w:after="0" w:before="320"/>
        <w:ind w:left="180" w:right="180"/>
      </w:pPr>
      <w:r>
        <w:rPr>
          <w:rFonts w:ascii="Arial" w:cs="Arial" w:eastAsia="Arial" w:hAnsi="Arial"/>
          <w:b/>
          <w:bCs/>
          <w:color w:val="FFFFFF"/>
          <w:sz w:val="30"/>
          <w:szCs w:val="30"/>
        </w:rPr>
        <w:t xml:space="preserve">4.  GROWTH STRATEGY &amp; EXPANSION PIPELINE</w:t>
      </w:r>
    </w:p>
    <w:p>
      <w:pPr>
        <w:spacing w:after="80"/>
      </w:pPr>
    </w:p>
    <w:p>
      <w:pPr>
        <w:pBdr>
          <w:bottom w:val="single" w:color="C8952A" w:sz="3" w:space="1"/>
        </w:pBdr>
        <w:spacing w:after="80" w:before="180"/>
      </w:pPr>
      <w:r>
        <w:rPr>
          <w:rFonts w:ascii="Arial" w:cs="Arial" w:eastAsia="Arial" w:hAnsi="Arial"/>
          <w:b/>
          <w:bCs/>
          <w:color w:val="0D2B4E"/>
          <w:sz w:val="22"/>
          <w:szCs w:val="22"/>
        </w:rPr>
        <w:t xml:space="preserve">4.1  Planned Outlet Openings — FY 2024–25</w:t>
      </w:r>
    </w:p>
    <w:p>
      <w:pPr>
        <w:spacing w:after="80" w:before="60"/>
        <w:jc w:val="both"/>
      </w:pPr>
      <w:r>
        <w:rPr>
          <w:rFonts w:ascii="Arial" w:cs="Arial" w:eastAsia="Arial" w:hAnsi="Arial"/>
          <w:color w:val="1A1A2E"/>
          <w:sz w:val="20"/>
          <w:szCs w:val="20"/>
        </w:rPr>
        <w:t xml:space="preserve">Management has indicated a target of 3 new India outlets in FY 2024–25, with priority markets identified as Tirur, Manjeri, and Kochi (second outlet). Estimated capex per outlet: ₹80–90 lakh. Total planned capex: ₹2.5–2.7 Cr, to be funded 40% via internal accruals and 60% via incremental term lending from existing banking relationships.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gridCol w:w="2560"/>
      </w:tblGrid>
      <w:tr>
        <w:tc>
          <w:tcPr>
            <w:tcW w:type="dxa" w:w="300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Location</w:t>
            </w:r>
          </w:p>
        </w:tc>
        <w:tc>
          <w:tcPr>
            <w:tcW w:type="dxa" w:w="200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Target Opening</w:t>
            </w:r>
          </w:p>
        </w:tc>
        <w:tc>
          <w:tcPr>
            <w:tcW w:type="dxa" w:w="180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Format</w:t>
            </w:r>
          </w:p>
        </w:tc>
        <w:tc>
          <w:tcPr>
            <w:tcW w:type="dxa" w:w="256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Notes</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Tirur, Malappuram</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Q1 FY25</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Full dine-in</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High Mandi demand density</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Manjeri, Malappuram</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Q2 FY25</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Full dine-in</w:t>
            </w:r>
          </w:p>
        </w:tc>
        <w:tc>
          <w:tcPr>
            <w:tcW w:type="dxa" w:w="2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Near hospital cluster</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Edappally, Kochi</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Q3 FY25</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Full dine-in</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Second Kochi outlet</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Hyderabad (Pilot)</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Q4 FY25 (TBC)</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Cloud Kitchen</w:t>
            </w:r>
          </w:p>
        </w:tc>
        <w:tc>
          <w:tcPr>
            <w:tcW w:type="dxa" w:w="2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Non-Malayali market test</w:t>
            </w:r>
          </w:p>
        </w:tc>
      </w:tr>
    </w:tbl>
    <w:p>
      <w:pPr>
        <w:spacing w:after="100"/>
      </w:pPr>
    </w:p>
    <w:p>
      <w:pPr>
        <w:pBdr>
          <w:bottom w:val="single" w:color="C8952A" w:sz="3" w:space="1"/>
        </w:pBdr>
        <w:spacing w:after="80" w:before="180"/>
      </w:pPr>
      <w:r>
        <w:rPr>
          <w:rFonts w:ascii="Arial" w:cs="Arial" w:eastAsia="Arial" w:hAnsi="Arial"/>
          <w:b/>
          <w:bCs/>
          <w:color w:val="0D2B4E"/>
          <w:sz w:val="22"/>
          <w:szCs w:val="22"/>
        </w:rPr>
        <w:t xml:space="preserve">4.2  Digital &amp; Delivery Channel Growth</w:t>
      </w:r>
    </w:p>
    <w:p>
      <w:pPr>
        <w:spacing w:after="80" w:before="60"/>
        <w:jc w:val="both"/>
      </w:pPr>
      <w:r>
        <w:rPr>
          <w:rFonts w:ascii="Arial" w:cs="Arial" w:eastAsia="Arial" w:hAnsi="Arial"/>
          <w:color w:val="1A1A2E"/>
          <w:sz w:val="20"/>
          <w:szCs w:val="20"/>
        </w:rPr>
        <w:t xml:space="preserve">Online delivery currently accounts for 24.5% of revenue, up from approximately 14% in FY 2021–22, reflecting the nationwide adoption of food aggregator platforms and Nahdi's active presence on Swiggy and Zomato. The company is evaluating a direct-ordering app to reduce the 18–22% commission paid to aggregators, which would add approximately ₹1.2–1.5 Cr annually to EBITDA at current delivery volumes.</w:t>
      </w:r>
    </w:p>
    <w:p>
      <w:pPr>
        <w:spacing w:after="100"/>
      </w:pPr>
    </w:p>
    <w:p>
      <w:pPr>
        <w:pBdr>
          <w:bottom w:val="single" w:color="C8952A" w:sz="3" w:space="1"/>
        </w:pBdr>
        <w:spacing w:after="80" w:before="180"/>
      </w:pPr>
      <w:r>
        <w:rPr>
          <w:rFonts w:ascii="Arial" w:cs="Arial" w:eastAsia="Arial" w:hAnsi="Arial"/>
          <w:b/>
          <w:bCs/>
          <w:color w:val="0D2B4E"/>
          <w:sz w:val="22"/>
          <w:szCs w:val="22"/>
        </w:rPr>
        <w:t xml:space="preserve">4.3  Catering &amp; B2B Opportunity</w:t>
      </w:r>
    </w:p>
    <w:p>
      <w:pPr>
        <w:spacing w:after="80" w:before="60"/>
        <w:jc w:val="both"/>
      </w:pPr>
      <w:r>
        <w:rPr>
          <w:rFonts w:ascii="Arial" w:cs="Arial" w:eastAsia="Arial" w:hAnsi="Arial"/>
          <w:color w:val="1A1A2E"/>
          <w:sz w:val="20"/>
          <w:szCs w:val="20"/>
        </w:rPr>
        <w:t xml:space="preserve">The corporate catering segment — supplying Mandi platters to events, weddings, and industrial canteens — is underdeveloped relative to its potential. Management estimates addressable catering revenue of ₹4–6 Cr per annum in Malappuram and Kozhikode districts alone. A dedicated catering coordinator hired in Q3 FY24 has already secured a ₹45 lakh annual contract with a large textile group in Perinthalmanna.</w:t>
      </w:r>
    </w:p>
    <w:p>
      <w:r>
        <w:br w:type="page"/>
      </w:r>
    </w:p>
    <w:p>
      <w:pPr>
        <w:pBdr>
          <w:bottom w:val="single" w:color="C8952A" w:sz="8" w:space="0"/>
        </w:pBdr>
        <w:shd w:fill="0D2B4E" w:val="clear"/>
        <w:spacing w:after="0" w:before="320"/>
        <w:ind w:left="180" w:right="180"/>
      </w:pPr>
      <w:r>
        <w:rPr>
          <w:rFonts w:ascii="Arial" w:cs="Arial" w:eastAsia="Arial" w:hAnsi="Arial"/>
          <w:b/>
          <w:bCs/>
          <w:color w:val="FFFFFF"/>
          <w:sz w:val="30"/>
          <w:szCs w:val="30"/>
        </w:rPr>
        <w:t xml:space="preserve">5.  RISK ASSESSMENT MATRIX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Risk Factor</w:t>
            </w:r>
          </w:p>
        </w:tc>
        <w:tc>
          <w:tcPr>
            <w:tcW w:type="dxa" w:w="180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Likelihood</w:t>
            </w:r>
          </w:p>
        </w:tc>
        <w:tc>
          <w:tcPr>
            <w:tcW w:type="dxa" w:w="180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Impact</w:t>
            </w:r>
          </w:p>
        </w:tc>
        <w:tc>
          <w:tcPr>
            <w:tcW w:type="dxa" w:w="256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Mitigation</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Meat supply chain disruption / price spike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C8952A"/>
                <w:sz w:val="19"/>
                <w:szCs w:val="19"/>
              </w:rPr>
              <w:t xml:space="preserve">Medium</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C0392B"/>
                <w:sz w:val="19"/>
                <w:szCs w:val="19"/>
              </w:rPr>
              <w:t xml:space="preserve">High</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Supplier diversification; 60-day buffer stock protocol</w:t>
            </w:r>
          </w:p>
        </w:tc>
      </w:tr>
      <w:tr>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Key chef attrition (specialised Mandi cooks)</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C0392B"/>
                <w:sz w:val="19"/>
                <w:szCs w:val="19"/>
              </w:rPr>
              <w:t xml:space="preserve">High</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C0392B"/>
                <w:sz w:val="19"/>
                <w:szCs w:val="19"/>
              </w:rPr>
              <w:t xml:space="preserve">High</w:t>
            </w:r>
          </w:p>
        </w:tc>
        <w:tc>
          <w:tcPr>
            <w:tcW w:type="dxa" w:w="2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In-house training academy; retention bonuses</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Rental cost escalation in core markets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C0392B"/>
                <w:sz w:val="19"/>
                <w:szCs w:val="19"/>
              </w:rPr>
              <w:t xml:space="preserve">High</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C8952A"/>
                <w:sz w:val="19"/>
                <w:szCs w:val="19"/>
              </w:rPr>
              <w:t xml:space="preserve">Medium</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Long-term lease lock-ins; revenue-share model tests</w:t>
            </w:r>
          </w:p>
        </w:tc>
      </w:tr>
      <w:tr>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New branded Mandi entrant (Bengaluru/Gulf brand)</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C8952A"/>
                <w:sz w:val="19"/>
                <w:szCs w:val="19"/>
              </w:rPr>
              <w:t xml:space="preserve">Medium</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C0392B"/>
                <w:sz w:val="19"/>
                <w:szCs w:val="19"/>
              </w:rPr>
              <w:t xml:space="preserve">High</w:t>
            </w:r>
          </w:p>
        </w:tc>
        <w:tc>
          <w:tcPr>
            <w:tcW w:type="dxa" w:w="2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Deepen brand loyalty; accelerate new market entry</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Regulatory — FSSAI / health code violations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D6B34"/>
                <w:sz w:val="19"/>
                <w:szCs w:val="19"/>
              </w:rPr>
              <w:t xml:space="preserve">Low</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C0392B"/>
                <w:sz w:val="19"/>
                <w:szCs w:val="19"/>
              </w:rPr>
              <w:t xml:space="preserve">High</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Internal audit cycle; dedicated hygiene manager</w:t>
            </w:r>
          </w:p>
        </w:tc>
      </w:tr>
      <w:tr>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Aggregator commission pressure</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C0392B"/>
                <w:sz w:val="19"/>
                <w:szCs w:val="19"/>
              </w:rPr>
              <w:t xml:space="preserve">High</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C8952A"/>
                <w:sz w:val="19"/>
                <w:szCs w:val="19"/>
              </w:rPr>
              <w:t xml:space="preserve">Medium</w:t>
            </w:r>
          </w:p>
        </w:tc>
        <w:tc>
          <w:tcPr>
            <w:tcW w:type="dxa" w:w="2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Direct-to-consumer app; loyalty programme</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Promoter bandwidth / governance dilution at scale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C8952A"/>
                <w:sz w:val="19"/>
                <w:szCs w:val="19"/>
              </w:rPr>
              <w:t xml:space="preserve">Medium</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C0392B"/>
                <w:sz w:val="19"/>
                <w:szCs w:val="19"/>
              </w:rPr>
              <w:t xml:space="preserve">High</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Professional CEO hire recommended by FY26</w:t>
            </w:r>
          </w:p>
        </w:tc>
      </w:tr>
      <w:tr>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GCC JV partner disputes</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D6B34"/>
                <w:sz w:val="19"/>
                <w:szCs w:val="19"/>
              </w:rPr>
              <w:t xml:space="preserve">Low</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C8952A"/>
                <w:sz w:val="19"/>
                <w:szCs w:val="19"/>
              </w:rPr>
              <w:t xml:space="preserve">Medium</w:t>
            </w:r>
          </w:p>
        </w:tc>
        <w:tc>
          <w:tcPr>
            <w:tcW w:type="dxa" w:w="2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Robust JV agreements; semi-annual audits</w:t>
            </w:r>
          </w:p>
        </w:tc>
      </w:tr>
    </w:tbl>
    <w:p>
      <w:r>
        <w:br w:type="page"/>
      </w:r>
    </w:p>
    <w:p>
      <w:pPr>
        <w:pBdr>
          <w:bottom w:val="single" w:color="C8952A" w:sz="8" w:space="0"/>
        </w:pBdr>
        <w:shd w:fill="0D2B4E" w:val="clear"/>
        <w:spacing w:after="0" w:before="320"/>
        <w:ind w:left="180" w:right="180"/>
      </w:pPr>
      <w:r>
        <w:rPr>
          <w:rFonts w:ascii="Arial" w:cs="Arial" w:eastAsia="Arial" w:hAnsi="Arial"/>
          <w:b/>
          <w:bCs/>
          <w:color w:val="FFFFFF"/>
          <w:sz w:val="30"/>
          <w:szCs w:val="30"/>
        </w:rPr>
        <w:t xml:space="preserve">6.  FY 2024–25 PROJECTIONS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c>
          <w:tcPr>
            <w:tcW w:type="dxa" w:w="436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Metric</w:t>
            </w:r>
          </w:p>
        </w:tc>
        <w:tc>
          <w:tcPr>
            <w:tcW w:type="dxa" w:w="250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right"/>
            </w:pPr>
            <w:r>
              <w:rPr>
                <w:rFonts w:ascii="Arial" w:cs="Arial" w:eastAsia="Arial" w:hAnsi="Arial"/>
                <w:b/>
                <w:bCs/>
                <w:color w:val="FFFFFF"/>
                <w:sz w:val="19"/>
                <w:szCs w:val="19"/>
              </w:rPr>
              <w:t xml:space="preserve">FY 23–24 (Est.)</w:t>
            </w:r>
          </w:p>
        </w:tc>
        <w:tc>
          <w:tcPr>
            <w:tcW w:type="dxa" w:w="2500"/>
            <w:tcBorders>
              <w:top w:val="single" w:color="D0D5DD" w:sz="1"/>
              <w:left w:val="single" w:color="D0D5DD" w:sz="1"/>
              <w:bottom w:val="single" w:color="D0D5DD" w:sz="1"/>
              <w:right w:val="single" w:color="D0D5DD" w:sz="1"/>
            </w:tcBorders>
            <w:shd w:fill="0D2B4E" w:val="clear"/>
            <w:tcMar>
              <w:top w:type="dxa" w:w="80"/>
              <w:left w:type="dxa" w:w="120"/>
              <w:bottom w:type="dxa" w:w="80"/>
              <w:right w:type="dxa" w:w="120"/>
            </w:tcMar>
          </w:tcPr>
          <w:p>
            <w:pPr>
              <w:jc w:val="right"/>
            </w:pPr>
            <w:r>
              <w:rPr>
                <w:rFonts w:ascii="Arial" w:cs="Arial" w:eastAsia="Arial" w:hAnsi="Arial"/>
                <w:b/>
                <w:bCs/>
                <w:color w:val="FFFFFF"/>
                <w:sz w:val="19"/>
                <w:szCs w:val="19"/>
              </w:rPr>
              <w:t xml:space="preserve">FY 24–25 (Projected)</w:t>
            </w:r>
          </w:p>
        </w:tc>
      </w:tr>
      <w:tr>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Total Outlets</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13</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16</w:t>
            </w:r>
          </w:p>
        </w:tc>
      </w:tr>
      <w:tr>
        <w:tc>
          <w:tcPr>
            <w:tcW w:type="dxa" w:w="4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Gross Revenue (₹ Cr)</w:t>
            </w:r>
          </w:p>
        </w:tc>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38.4</w:t>
            </w:r>
          </w:p>
        </w:tc>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D6B34"/>
                <w:sz w:val="19"/>
                <w:szCs w:val="19"/>
              </w:rPr>
              <w:t xml:space="preserve">49.5</w:t>
            </w:r>
          </w:p>
        </w:tc>
      </w:tr>
      <w:tr>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  YoY Growth</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D6B34"/>
                <w:sz w:val="19"/>
                <w:szCs w:val="19"/>
              </w:rPr>
              <w:t xml:space="preserve">+21.9%</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D6B34"/>
                <w:sz w:val="19"/>
                <w:szCs w:val="19"/>
              </w:rPr>
              <w:t xml:space="preserve">+28.9%</w:t>
            </w:r>
          </w:p>
        </w:tc>
      </w:tr>
      <w:tr>
        <w:tc>
          <w:tcPr>
            <w:tcW w:type="dxa" w:w="4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EBITDA (₹ Cr)</w:t>
            </w:r>
          </w:p>
        </w:tc>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7.2</w:t>
            </w:r>
          </w:p>
        </w:tc>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D6B34"/>
                <w:sz w:val="19"/>
                <w:szCs w:val="19"/>
              </w:rPr>
              <w:t xml:space="preserve">9.4</w:t>
            </w:r>
          </w:p>
        </w:tc>
      </w:tr>
      <w:tr>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EBITDA Margin</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18.7%</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19.0%</w:t>
            </w:r>
          </w:p>
        </w:tc>
      </w:tr>
      <w:tr>
        <w:tc>
          <w:tcPr>
            <w:tcW w:type="dxa" w:w="4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PAT (₹ Cr)</w:t>
            </w:r>
          </w:p>
        </w:tc>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3.6</w:t>
            </w:r>
          </w:p>
        </w:tc>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D6B34"/>
                <w:sz w:val="19"/>
                <w:szCs w:val="19"/>
              </w:rPr>
              <w:t xml:space="preserve">4.8</w:t>
            </w:r>
          </w:p>
        </w:tc>
      </w:tr>
      <w:tr>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Capex Spend (₹ Cr)</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2.1</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2.6</w:t>
            </w:r>
          </w:p>
        </w:tc>
      </w:tr>
      <w:tr>
        <w:tc>
          <w:tcPr>
            <w:tcW w:type="dxa" w:w="4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Implied Valuation @ 7x EBITDA (₹ Cr)</w:t>
            </w:r>
          </w:p>
        </w:tc>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A1A2E"/>
                <w:sz w:val="19"/>
                <w:szCs w:val="19"/>
              </w:rPr>
              <w:t xml:space="preserve">50.4</w:t>
            </w:r>
          </w:p>
        </w:tc>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right"/>
            </w:pPr>
            <w:r>
              <w:rPr>
                <w:rFonts w:ascii="Arial" w:cs="Arial" w:eastAsia="Arial" w:hAnsi="Arial"/>
                <w:b w:val="false"/>
                <w:bCs w:val="false"/>
                <w:color w:val="1D6B34"/>
                <w:sz w:val="19"/>
                <w:szCs w:val="19"/>
              </w:rPr>
              <w:t xml:space="preserve">65.8</w:t>
            </w:r>
          </w:p>
        </w:tc>
      </w:tr>
    </w:tbl>
    <w:p>
      <w:pPr>
        <w:spacing w:after="100"/>
      </w:pPr>
    </w:p>
    <w:p>
      <w:pPr>
        <w:spacing w:after="80" w:before="60"/>
        <w:jc w:val="both"/>
      </w:pPr>
      <w:r>
        <w:rPr>
          <w:rFonts w:ascii="Arial" w:cs="Arial" w:eastAsia="Arial" w:hAnsi="Arial"/>
          <w:color w:val="1A1A2E"/>
          <w:sz w:val="20"/>
          <w:szCs w:val="20"/>
        </w:rPr>
        <w:t xml:space="preserve">Projections assume: (i) 3 new outlets contributing partial-year revenue in FY25, (ii) same-store sales growth of 8% across existing Kerala outlets, (iii) delivery revenue mix rising to 28%, and (iv) food cost stable at 38% with the Palakkad supply agreement renewed. Downside scenario (1 outlet delay + 5% SSSG) yields ₹44.8 Cr revenue and ₹8.1 Cr EBITDA.</w:t>
      </w:r>
    </w:p>
    <w:p>
      <w:r>
        <w:br w:type="page"/>
      </w:r>
    </w:p>
    <w:p>
      <w:pPr>
        <w:pBdr>
          <w:bottom w:val="single" w:color="C8952A" w:sz="8" w:space="0"/>
        </w:pBdr>
        <w:shd w:fill="0D2B4E" w:val="clear"/>
        <w:spacing w:after="0" w:before="320"/>
        <w:ind w:left="180" w:right="180"/>
      </w:pPr>
      <w:r>
        <w:rPr>
          <w:rFonts w:ascii="Arial" w:cs="Arial" w:eastAsia="Arial" w:hAnsi="Arial"/>
          <w:b/>
          <w:bCs/>
          <w:color w:val="FFFFFF"/>
          <w:sz w:val="30"/>
          <w:szCs w:val="30"/>
        </w:rPr>
        <w:t xml:space="preserve">7.  ANALYST COMMENTARY &amp; RECOMMENDATIONS</w:t>
      </w:r>
    </w:p>
    <w:p>
      <w:pPr>
        <w:spacing w:after="80"/>
      </w:pPr>
    </w:p>
    <w:p>
      <w:pPr>
        <w:pBdr>
          <w:bottom w:val="single" w:color="C8952A" w:sz="3" w:space="1"/>
        </w:pBdr>
        <w:spacing w:after="80" w:before="180"/>
      </w:pPr>
      <w:r>
        <w:rPr>
          <w:rFonts w:ascii="Arial" w:cs="Arial" w:eastAsia="Arial" w:hAnsi="Arial"/>
          <w:b/>
          <w:bCs/>
          <w:color w:val="0D2B4E"/>
          <w:sz w:val="22"/>
          <w:szCs w:val="22"/>
        </w:rPr>
        <w:t xml:space="preserve">7.1  Investment Merit</w:t>
      </w:r>
    </w:p>
    <w:p>
      <w:pPr>
        <w:spacing w:after="80" w:before="60"/>
        <w:jc w:val="both"/>
      </w:pPr>
      <w:r>
        <w:rPr>
          <w:rFonts w:ascii="Arial" w:cs="Arial" w:eastAsia="Arial" w:hAnsi="Arial"/>
          <w:color w:val="1A1A2E"/>
          <w:sz w:val="20"/>
          <w:szCs w:val="20"/>
        </w:rPr>
        <w:t xml:space="preserve">Nahdi Kuzhimandi represents a compelling opportunity within the under-institutionalised Kerala QSR sector. The brand has built a defensible position through operational authenticity, geographic density, and community trust — attributes that are difficult and costly for outsiders to replicate quickly. At an implied valuation of ~₹50 Cr (7x FY24 EBITDA), the entry multiple is reasonable given projected 25–30% revenue CAGR over the next three years.</w:t>
      </w:r>
    </w:p>
    <w:p>
      <w:pPr>
        <w:spacing w:after="80"/>
      </w:pPr>
    </w:p>
    <w:p>
      <w:pPr>
        <w:pBdr>
          <w:bottom w:val="single" w:color="C8952A" w:sz="3" w:space="1"/>
        </w:pBdr>
        <w:spacing w:after="80" w:before="180"/>
      </w:pPr>
      <w:r>
        <w:rPr>
          <w:rFonts w:ascii="Arial" w:cs="Arial" w:eastAsia="Arial" w:hAnsi="Arial"/>
          <w:b/>
          <w:bCs/>
          <w:color w:val="0D2B4E"/>
          <w:sz w:val="22"/>
          <w:szCs w:val="22"/>
        </w:rPr>
        <w:t xml:space="preserve">7.2  Key Watchpoints for Ongoing Monitoring</w:t>
      </w:r>
    </w:p>
    <w:p>
      <w:pPr>
        <w:pStyle w:val="ListParagraph"/>
        <w:numPr>
          <w:ilvl w:val="0"/>
          <w:numId w:val="2"/>
        </w:numPr>
        <w:spacing w:after="50" w:before="50"/>
      </w:pPr>
      <w:r>
        <w:rPr>
          <w:rFonts w:ascii="Arial" w:cs="Arial" w:eastAsia="Arial" w:hAnsi="Arial"/>
          <w:color w:val="1A1A2E"/>
          <w:sz w:val="20"/>
          <w:szCs w:val="20"/>
        </w:rPr>
        <w:t xml:space="preserve">Same-store sales growth (SSSG) — should remain above 6% to confirm brand health.</w:t>
      </w:r>
    </w:p>
    <w:p>
      <w:pPr>
        <w:pStyle w:val="ListParagraph"/>
        <w:numPr>
          <w:ilvl w:val="0"/>
          <w:numId w:val="2"/>
        </w:numPr>
        <w:spacing w:after="50" w:before="50"/>
      </w:pPr>
      <w:r>
        <w:rPr>
          <w:rFonts w:ascii="Arial" w:cs="Arial" w:eastAsia="Arial" w:hAnsi="Arial"/>
          <w:color w:val="1A1A2E"/>
          <w:sz w:val="20"/>
          <w:szCs w:val="20"/>
        </w:rPr>
        <w:t xml:space="preserve">Food cost as % of revenue — any sustained breach above 40% warrants supply-chain review.</w:t>
      </w:r>
    </w:p>
    <w:p>
      <w:pPr>
        <w:pStyle w:val="ListParagraph"/>
        <w:numPr>
          <w:ilvl w:val="0"/>
          <w:numId w:val="2"/>
        </w:numPr>
        <w:spacing w:after="50" w:before="50"/>
      </w:pPr>
      <w:r>
        <w:rPr>
          <w:rFonts w:ascii="Arial" w:cs="Arial" w:eastAsia="Arial" w:hAnsi="Arial"/>
          <w:color w:val="1A1A2E"/>
          <w:sz w:val="20"/>
          <w:szCs w:val="20"/>
        </w:rPr>
        <w:t xml:space="preserve">Chef retention rate — track turnover in trained Mandi kitchen staff.</w:t>
      </w:r>
    </w:p>
    <w:p>
      <w:pPr>
        <w:pStyle w:val="ListParagraph"/>
        <w:numPr>
          <w:ilvl w:val="0"/>
          <w:numId w:val="2"/>
        </w:numPr>
        <w:spacing w:after="50" w:before="50"/>
      </w:pPr>
      <w:r>
        <w:rPr>
          <w:rFonts w:ascii="Arial" w:cs="Arial" w:eastAsia="Arial" w:hAnsi="Arial"/>
          <w:color w:val="1A1A2E"/>
          <w:sz w:val="20"/>
          <w:szCs w:val="20"/>
        </w:rPr>
        <w:t xml:space="preserve">Delivery revenue mix — monitor to assess success of direct-app strategy.</w:t>
      </w:r>
    </w:p>
    <w:p>
      <w:pPr>
        <w:pStyle w:val="ListParagraph"/>
        <w:numPr>
          <w:ilvl w:val="0"/>
          <w:numId w:val="2"/>
        </w:numPr>
        <w:spacing w:after="50" w:before="50"/>
      </w:pPr>
      <w:r>
        <w:rPr>
          <w:rFonts w:ascii="Arial" w:cs="Arial" w:eastAsia="Arial" w:hAnsi="Arial"/>
          <w:color w:val="1A1A2E"/>
          <w:sz w:val="20"/>
          <w:szCs w:val="20"/>
        </w:rPr>
        <w:t xml:space="preserve">New outlet ramp-up curve — break-even timeline for FY25 openings.</w:t>
      </w:r>
    </w:p>
    <w:p>
      <w:pPr>
        <w:pStyle w:val="ListParagraph"/>
        <w:numPr>
          <w:ilvl w:val="0"/>
          <w:numId w:val="2"/>
        </w:numPr>
        <w:spacing w:after="50" w:before="50"/>
      </w:pPr>
      <w:r>
        <w:rPr>
          <w:rFonts w:ascii="Arial" w:cs="Arial" w:eastAsia="Arial" w:hAnsi="Arial"/>
          <w:color w:val="1A1A2E"/>
          <w:sz w:val="20"/>
          <w:szCs w:val="20"/>
        </w:rPr>
        <w:t xml:space="preserve">GCC royalty income — any drop may signal partner-side operational issues.</w:t>
      </w:r>
    </w:p>
    <w:p>
      <w:pPr>
        <w:spacing w:after="80"/>
      </w:pPr>
    </w:p>
    <w:p>
      <w:pPr>
        <w:pBdr>
          <w:bottom w:val="single" w:color="C8952A" w:sz="3" w:space="1"/>
        </w:pBdr>
        <w:spacing w:after="80" w:before="180"/>
      </w:pPr>
      <w:r>
        <w:rPr>
          <w:rFonts w:ascii="Arial" w:cs="Arial" w:eastAsia="Arial" w:hAnsi="Arial"/>
          <w:b/>
          <w:bCs/>
          <w:color w:val="0D2B4E"/>
          <w:sz w:val="22"/>
          <w:szCs w:val="22"/>
        </w:rPr>
        <w:t xml:space="preserve">7.3  Conditions for Further Capital Deployment</w:t>
      </w:r>
    </w:p>
    <w:p>
      <w:pPr>
        <w:pStyle w:val="ListParagraph"/>
        <w:numPr>
          <w:ilvl w:val="0"/>
          <w:numId w:val="2"/>
        </w:numPr>
        <w:spacing w:after="50" w:before="50"/>
      </w:pPr>
      <w:r>
        <w:rPr>
          <w:rFonts w:ascii="Arial" w:cs="Arial" w:eastAsia="Arial" w:hAnsi="Arial"/>
          <w:color w:val="1A1A2E"/>
          <w:sz w:val="20"/>
          <w:szCs w:val="20"/>
        </w:rPr>
        <w:t xml:space="preserve">Appointment of a professional Chief Operating Officer or CEO with multi-unit QSR experience.</w:t>
      </w:r>
    </w:p>
    <w:p>
      <w:pPr>
        <w:pStyle w:val="ListParagraph"/>
        <w:numPr>
          <w:ilvl w:val="0"/>
          <w:numId w:val="2"/>
        </w:numPr>
        <w:spacing w:after="50" w:before="50"/>
      </w:pPr>
      <w:r>
        <w:rPr>
          <w:rFonts w:ascii="Arial" w:cs="Arial" w:eastAsia="Arial" w:hAnsi="Arial"/>
          <w:color w:val="1A1A2E"/>
          <w:sz w:val="20"/>
          <w:szCs w:val="20"/>
        </w:rPr>
        <w:t xml:space="preserve">Implementation of a cloud-based POS system across all outlets for real-time sales visibility.</w:t>
      </w:r>
    </w:p>
    <w:p>
      <w:pPr>
        <w:pStyle w:val="ListParagraph"/>
        <w:numPr>
          <w:ilvl w:val="0"/>
          <w:numId w:val="2"/>
        </w:numPr>
        <w:spacing w:after="50" w:before="50"/>
      </w:pPr>
      <w:r>
        <w:rPr>
          <w:rFonts w:ascii="Arial" w:cs="Arial" w:eastAsia="Arial" w:hAnsi="Arial"/>
          <w:color w:val="1A1A2E"/>
          <w:sz w:val="20"/>
          <w:szCs w:val="20"/>
        </w:rPr>
        <w:t xml:space="preserve">Completion of a formal internal audit for FY 2023–24 by a Big-4 or reputed regional firm.</w:t>
      </w:r>
    </w:p>
    <w:p>
      <w:pPr>
        <w:pStyle w:val="ListParagraph"/>
        <w:numPr>
          <w:ilvl w:val="0"/>
          <w:numId w:val="2"/>
        </w:numPr>
        <w:spacing w:after="50" w:before="50"/>
      </w:pPr>
      <w:r>
        <w:rPr>
          <w:rFonts w:ascii="Arial" w:cs="Arial" w:eastAsia="Arial" w:hAnsi="Arial"/>
          <w:color w:val="1A1A2E"/>
          <w:sz w:val="20"/>
          <w:szCs w:val="20"/>
        </w:rPr>
        <w:t xml:space="preserve">Successful ramp-up of at least two FY25 outlets to break-even within 9 months of opening.</w:t>
      </w:r>
    </w:p>
    <w:p>
      <w:pPr>
        <w:spacing w:after="180"/>
      </w:pPr>
    </w:p>
    <w:p>
      <w:pPr>
        <w:pBdr>
          <w:top w:val="single" w:color="C8952A" w:sz="4" w:space="2"/>
          <w:bottom w:val="single" w:color="C8952A" w:sz="4" w:space="2"/>
        </w:pBdr>
        <w:spacing w:after="80" w:before="80"/>
        <w:jc w:val="center"/>
      </w:pPr>
      <w:r>
        <w:rPr>
          <w:rFonts w:ascii="Arial" w:cs="Arial" w:eastAsia="Arial" w:hAnsi="Arial"/>
          <w:b/>
          <w:bCs/>
          <w:color w:val="0D2B4E"/>
          <w:sz w:val="20"/>
          <w:szCs w:val="20"/>
        </w:rPr>
        <w:t xml:space="preserve">END OF REPORT</w:t>
      </w:r>
    </w:p>
    <w:p>
      <w:pPr>
        <w:spacing w:after="80"/>
      </w:pPr>
    </w:p>
    <w:p>
      <w:pPr>
        <w:spacing w:after="40" w:before="40"/>
        <w:jc w:val="both"/>
      </w:pPr>
      <w:r>
        <w:rPr>
          <w:rFonts w:ascii="Arial" w:cs="Arial" w:eastAsia="Arial" w:hAnsi="Arial"/>
          <w:i/>
          <w:iCs/>
          <w:color w:val="888888"/>
          <w:sz w:val="16"/>
          <w:szCs w:val="16"/>
        </w:rPr>
        <w:t xml:space="preserve">All figures in this report are entirely fictional and prepared for illustrative purposes. This does not represent actual financial data of Nahdi Kuzhimandi or any affiliated entity. Not for circulation.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52A" w:sz="4" w:space="1"/>
      </w:pBdr>
      <w:spacing w:before="80"/>
    </w:pPr>
    <w:r>
      <w:rPr>
        <w:rFonts w:ascii="Arial" w:cs="Arial" w:eastAsia="Arial" w:hAnsi="Arial"/>
        <w:color w:val="888888"/>
        <w:sz w:val="16"/>
        <w:szCs w:val="16"/>
      </w:rPr>
      <w:t xml:space="preserve">Prepared by: Crescent Capital Advisors LLP   |   For internal distribution only   |   Page </w:t>
    </w:r>
    <w:r>
      <w:rPr>
        <w:rFonts w:ascii="Arial" w:cs="Arial" w:eastAsia="Arial" w:hAnsi="Arial"/>
        <w:color w:val="888888"/>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52A" w:sz="4" w:space="1"/>
      </w:pBdr>
      <w:spacing w:after="80"/>
    </w:pPr>
    <w:r>
      <w:rPr>
        <w:rFonts w:ascii="Arial" w:cs="Arial" w:eastAsia="Arial" w:hAnsi="Arial"/>
        <w:b/>
        <w:bCs/>
        <w:color w:val="C0392B"/>
        <w:sz w:val="17"/>
        <w:szCs w:val="17"/>
      </w:rPr>
      <w:t xml:space="preserve">CONFIDENTIAL</w:t>
    </w:r>
    <w:r>
      <w:rPr>
        <w:rFonts w:ascii="Arial" w:cs="Arial" w:eastAsia="Arial" w:hAnsi="Arial"/>
        <w:color w:val="666666"/>
        <w:sz w:val="17"/>
        <w:szCs w:val="17"/>
      </w:rPr>
      <w:t xml:space="preserve">   |   Nahdi Kuzhimandi Pvt. Ltd. — Financial &amp; Business Performance Report   |   FY 2023–24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2026-06-08T10:25:04.687Z</dcterms:created>
  <dcterms:modified xsi:type="dcterms:W3CDTF">2026-06-08T10:25:04.701Z</dcterms:modified>
</cp:coreProperties>
</file>

<file path=docProps/custom.xml><?xml version="1.0" encoding="utf-8"?>
<Properties xmlns="http://schemas.openxmlformats.org/officeDocument/2006/custom-properties" xmlns:vt="http://schemas.openxmlformats.org/officeDocument/2006/docPropsVTypes"/>
</file>