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6"/>
          <w:szCs w:val="36"/>
        </w:rPr>
        <w:t xml:space="preserve">Swaminathan R (Swami)</w:t>
      </w:r>
    </w:p>
    <w:p>
      <w:pPr>
        <w:spacing w:after="80"/>
        <w:jc w:val="center"/>
      </w:pPr>
      <w:r>
        <w:rPr>
          <w:rFonts w:ascii="Arial" w:cs="Arial" w:eastAsia="Arial" w:hAnsi="Arial"/>
          <w:color w:val="444444"/>
          <w:sz w:val="18"/>
          <w:szCs w:val="18"/>
        </w:rPr>
        <w:t xml:space="preserve">Solutions Architect · Technical Go-to-Market · AI-Native Software</w:t>
      </w:r>
    </w:p>
    <w:p>
      <w:pPr>
        <w:spacing w:after="40"/>
        <w:jc w:val="center"/>
      </w:pPr>
      <w:r>
        <w:rPr>
          <w:rFonts w:ascii="Arial" w:cs="Arial" w:eastAsia="Arial" w:hAnsi="Arial"/>
          <w:sz w:val="16"/>
          <w:szCs w:val="16"/>
        </w:rPr>
        <w:t xml:space="preserve">San Francisco, CA, United States · Email: swami086@gmail.com · </w:t>
      </w:r>
      <w:r>
        <w:rPr>
          <w:rFonts w:ascii="Arial" w:cs="Arial" w:eastAsia="Arial" w:hAnsi="Arial"/>
          <w:sz w:val="16"/>
          <w:szCs w:val="16"/>
        </w:rPr>
        <w:t xml:space="preserve">GitHub: </w:t>
      </w:r>
      <w:hyperlink w:history="1" r:id="rIdsdzjwemusximl8h-7466a">
        <w:r>
          <w:rPr>
            <w:rStyle w:val="Hyperlink"/>
            <w:rFonts w:ascii="Arial" w:cs="Arial" w:eastAsia="Arial" w:hAnsi="Arial"/>
            <w:sz w:val="16"/>
            <w:szCs w:val="16"/>
          </w:rPr>
          <w:t xml:space="preserve">github.com/swami086</w:t>
        </w:r>
      </w:hyperlink>
      <w:r>
        <w:rPr>
          <w:rFonts w:ascii="Arial" w:cs="Arial" w:eastAsia="Arial" w:hAnsi="Arial"/>
          <w:sz w:val="16"/>
          <w:szCs w:val="16"/>
        </w:rPr>
        <w:t xml:space="preserve"> · LinkedIn: </w:t>
      </w:r>
      <w:hyperlink w:history="1" r:id="rId3pjgqce39kubxmey3rkq1">
        <w:r>
          <w:rPr>
            <w:rStyle w:val="Hyperlink"/>
            <w:rFonts w:ascii="Arial" w:cs="Arial" w:eastAsia="Arial" w:hAnsi="Arial"/>
            <w:sz w:val="16"/>
            <w:szCs w:val="16"/>
          </w:rPr>
          <w:t xml:space="preserve">linkedin.com/in/swaminathanr1</w:t>
        </w:r>
      </w:hyperlink>
    </w:p>
    <w:p>
      <w:pPr>
        <w:spacing w:after="60"/>
        <w:jc w:val="center"/>
      </w:pPr>
      <w:r>
        <w:rPr>
          <w:rFonts w:ascii="Arial" w:cs="Arial" w:eastAsia="Arial" w:hAnsi="Arial"/>
          <w:sz w:val="16"/>
          <w:szCs w:val="16"/>
        </w:rPr>
        <w:t xml:space="preserve">Nationality: Dual (Australian / Overseas Citizen of India)</w:t>
      </w:r>
    </w:p>
    <w:p>
      <w:pPr>
        <w:spacing w:after="120"/>
        <w:jc w:val="center"/>
      </w:pPr>
      <w:r>
        <w:rPr>
          <w:rFonts w:ascii="Arial" w:cs="Arial" w:eastAsia="Arial" w:hAnsi="Arial"/>
          <w:b/>
          <w:bCs/>
          <w:sz w:val="16"/>
          <w:szCs w:val="16"/>
        </w:rPr>
        <w:t xml:space="preserve">US Work Authorization: E-3 eligible (Australian citizen)</w:t>
      </w:r>
    </w:p>
    <w:p>
      <w:pPr>
        <w:pStyle w:val="Heading1"/>
        <w:pBdr>
          <w:bottom w:val="single" w:color="2E75B6" w:sz="6" w:space="1"/>
        </w:pBdr>
        <w:spacing w:after="80" w:before="240"/>
      </w:pPr>
      <w:r>
        <w:rPr>
          <w:rFonts w:ascii="Arial" w:cs="Arial" w:eastAsia="Arial" w:hAnsi="Arial"/>
          <w:b/>
          <w:bCs/>
          <w:color w:val="1F4E79"/>
          <w:sz w:val="22"/>
          <w:szCs w:val="22"/>
        </w:rPr>
        <w:t xml:space="preserve">Work Authorization (E-3)</w:t>
      </w:r>
    </w:p>
    <w:p>
      <w:pPr>
        <w:spacing w:after="80" w:line="276"/>
      </w:pPr>
      <w:r>
        <w:rPr>
          <w:rFonts w:ascii="Arial" w:cs="Arial" w:eastAsia="Arial" w:hAnsi="Arial"/>
          <w:sz w:val="20"/>
          <w:szCs w:val="20"/>
        </w:rPr>
        <w:t xml:space="preserve">Based in San Francisco, CA. Australian citizen eligible for E-3 specialty occupation status.</w:t>
      </w:r>
    </w:p>
    <w:p>
      <w:pPr>
        <w:spacing w:after="80" w:line="276"/>
      </w:pPr>
      <w:r>
        <w:rPr>
          <w:rFonts w:ascii="Arial" w:cs="Arial" w:eastAsia="Arial" w:hAnsi="Arial"/>
          <w:sz w:val="20"/>
          <w:szCs w:val="20"/>
        </w:rPr>
        <w:t xml:space="preserve">Sponsorship process: the employer files a Labor Condition Application (LCA) with the U.S. Department of Labor; once certified, I complete E-3 visa processing with that LCA.</w:t>
      </w:r>
    </w:p>
    <w:p>
      <w:pPr>
        <w:spacing w:after="80" w:line="276"/>
      </w:pPr>
      <w:r>
        <w:rPr>
          <w:rFonts w:ascii="Arial" w:cs="Arial" w:eastAsia="Arial" w:hAnsi="Arial"/>
          <w:sz w:val="20"/>
          <w:szCs w:val="20"/>
        </w:rPr>
        <w:t xml:space="preserve">Able to commence employment promptly under E-3 sponsorship.</w:t>
      </w:r>
    </w:p>
    <w:p>
      <w:pPr>
        <w:pStyle w:val="Heading1"/>
        <w:pBdr>
          <w:bottom w:val="single" w:color="2E75B6" w:sz="6" w:space="1"/>
        </w:pBdr>
        <w:spacing w:after="80" w:before="240"/>
      </w:pPr>
      <w:r>
        <w:rPr>
          <w:rFonts w:ascii="Arial" w:cs="Arial" w:eastAsia="Arial" w:hAnsi="Arial"/>
          <w:b/>
          <w:bCs/>
          <w:color w:val="1F4E79"/>
          <w:sz w:val="22"/>
          <w:szCs w:val="22"/>
        </w:rPr>
        <w:t xml:space="preserve">Professional Summary</w:t>
      </w:r>
    </w:p>
    <w:p>
      <w:pPr>
        <w:spacing w:after="80" w:line="276"/>
      </w:pPr>
      <w:r>
        <w:rPr>
          <w:rFonts w:ascii="Arial" w:cs="Arial" w:eastAsia="Arial" w:hAnsi="Arial"/>
          <w:sz w:val="20"/>
          <w:szCs w:val="20"/>
        </w:rPr>
        <w:t xml:space="preserve">Staff-level Solutions Architect and Technical Go-to-Market lead with 16+ years across India, Singapore, and Australia, now based in San Francisco. Background spans pre-sales architecture, sales enablement, and partner / GSI ecosystem work in enterprise software.</w:t>
      </w:r>
    </w:p>
    <w:p>
      <w:pPr>
        <w:spacing w:after="80" w:line="276"/>
      </w:pPr>
      <w:r>
        <w:rPr>
          <w:rFonts w:ascii="Arial" w:cs="Arial" w:eastAsia="Arial" w:hAnsi="Arial"/>
          <w:sz w:val="20"/>
          <w:szCs w:val="20"/>
        </w:rPr>
        <w:t xml:space="preserve">At StackGen, own product-facing technical GTM: activate field sales and pre-sales, turn product and engineering requirements into collateral sales teams can use, and keep GTM aligned with what the platform actually does for Fortune 500 and Global 2000 buyers on AWS, GCP, and Azure.</w:t>
      </w:r>
    </w:p>
    <w:p>
      <w:pPr>
        <w:spacing w:after="80" w:line="276"/>
      </w:pPr>
      <w:r>
        <w:rPr>
          <w:rFonts w:ascii="Arial" w:cs="Arial" w:eastAsia="Arial" w:hAnsi="Arial"/>
          <w:sz w:val="20"/>
          <w:szCs w:val="20"/>
        </w:rPr>
        <w:t xml:space="preserve">At GitLab, ran technical GTM and ecosystem architecture for India and ASEAN across four partner motions: Global Systems Integrators (TCS, Infosys, Capgemini), hyperscalers (AWS/GCP), channel, and GCC. Built greenfield partner coverage in India, Singapore, Thailand, and Vietnam, grew partner-sourced pipe 5X versus direct GTM, and influenced roughly $10M in APJ business. Established a GitLab-centered Center of Excellence with TCS and secured an 18-month GSI resource commitment for larger deals.</w:t>
      </w:r>
    </w:p>
    <w:p>
      <w:pPr>
        <w:spacing w:after="80" w:line="276"/>
      </w:pPr>
      <w:r>
        <w:rPr>
          <w:rFonts w:ascii="Arial" w:cs="Arial" w:eastAsia="Arial" w:hAnsi="Arial"/>
          <w:sz w:val="20"/>
          <w:szCs w:val="20"/>
        </w:rPr>
        <w:t xml:space="preserve">Earlier, covered the same GSI segment (TCS, Infosys, Capgemini) in Singapore and India while at VMware Tanzu, supporting partner and account technical motions for application platform and container infrastructure. Comfortable in the room with CxOs and with practitioners. Regular speaker and presence at KubeCon, Kubernetes Community Days, CNCF, Google and AWS community events, cloud summits, and Gartner forums in India.</w:t>
      </w:r>
    </w:p>
    <w:p>
      <w:pPr>
        <w:spacing w:after="80" w:line="276"/>
      </w:pPr>
      <w:r>
        <w:rPr>
          <w:rFonts w:ascii="Arial" w:cs="Arial" w:eastAsia="Arial" w:hAnsi="Arial"/>
          <w:sz w:val="20"/>
          <w:szCs w:val="20"/>
        </w:rPr>
        <w:t xml:space="preserve">Hands-on with AI-native development and enablement workflows: Gemini API, Google AI Studio, Vertex AI, AWS Bedrock, LangChain, LangGraph, and related agent tooling, used for demos, workshops, and sales-ready technical assets.</w:t>
      </w:r>
    </w:p>
    <w:p>
      <w:pPr>
        <w:pStyle w:val="Heading1"/>
        <w:pBdr>
          <w:bottom w:val="single" w:color="2E75B6" w:sz="6" w:space="1"/>
        </w:pBdr>
        <w:spacing w:after="80" w:before="240"/>
      </w:pPr>
      <w:r>
        <w:rPr>
          <w:rFonts w:ascii="Arial" w:cs="Arial" w:eastAsia="Arial" w:hAnsi="Arial"/>
          <w:b/>
          <w:bCs/>
          <w:color w:val="1F4E79"/>
          <w:sz w:val="22"/>
          <w:szCs w:val="22"/>
        </w:rPr>
        <w:t xml:space="preserve">Technical Skills</w:t>
      </w:r>
    </w:p>
    <w:p>
      <w:pPr>
        <w:spacing w:after="60" w:line="276"/>
      </w:pPr>
      <w:r>
        <w:rPr>
          <w:rFonts w:ascii="Arial" w:cs="Arial" w:eastAsia="Arial" w:hAnsi="Arial"/>
          <w:b/>
          <w:bCs/>
          <w:sz w:val="20"/>
          <w:szCs w:val="20"/>
        </w:rPr>
        <w:t xml:space="preserve">AI Native &amp; Agents (ML/AI/DL/NLP): </w:t>
      </w:r>
      <w:r>
        <w:rPr>
          <w:rFonts w:ascii="Arial" w:cs="Arial" w:eastAsia="Arial" w:hAnsi="Arial"/>
          <w:sz w:val="20"/>
          <w:szCs w:val="20"/>
        </w:rPr>
        <w:t xml:space="preserve">LLM/SLM training and inference, vLLM, Triton, TensorRT, TensorFlow, PyTorch, Hugging Face. Agent frameworks: LangChain, LangGraph, Autogen, CrewAI, Mosaic (Databricks). Gemini API, Google AI Studio, Vertex AI, AWS Bedrock, Anthropic, OpenAI. Vector DBs (Qdrant), semantic routing</w:t>
      </w:r>
    </w:p>
    <w:p>
      <w:pPr>
        <w:spacing w:after="60" w:line="276"/>
      </w:pPr>
      <w:r>
        <w:rPr>
          <w:rFonts w:ascii="Arial" w:cs="Arial" w:eastAsia="Arial" w:hAnsi="Arial"/>
          <w:b/>
          <w:bCs/>
          <w:sz w:val="20"/>
          <w:szCs w:val="20"/>
        </w:rPr>
        <w:t xml:space="preserve">Technical GTM &amp; Sales Enablement: </w:t>
      </w:r>
      <w:r>
        <w:rPr>
          <w:rFonts w:ascii="Arial" w:cs="Arial" w:eastAsia="Arial" w:hAnsi="Arial"/>
          <w:sz w:val="20"/>
          <w:szCs w:val="20"/>
        </w:rPr>
        <w:t xml:space="preserve">Sales and pre-sales activation, technical collateral, solution briefs, demos, workshops, sample codebases, competitive input to product, partner and GSI enablement</w:t>
      </w:r>
    </w:p>
    <w:p>
      <w:pPr>
        <w:spacing w:after="60" w:line="276"/>
      </w:pPr>
      <w:r>
        <w:rPr>
          <w:rFonts w:ascii="Arial" w:cs="Arial" w:eastAsia="Arial" w:hAnsi="Arial"/>
          <w:b/>
          <w:bCs/>
          <w:sz w:val="20"/>
          <w:szCs w:val="20"/>
        </w:rPr>
        <w:t xml:space="preserve">Developer Experience &amp; DevRel: </w:t>
      </w:r>
      <w:r>
        <w:rPr>
          <w:rFonts w:ascii="Arial" w:cs="Arial" w:eastAsia="Arial" w:hAnsi="Arial"/>
          <w:sz w:val="20"/>
          <w:szCs w:val="20"/>
        </w:rPr>
        <w:t xml:space="preserve">Technical documentation, developer enablement, technical GTM, ecosystem partnerships, API usability feedback, public speaking</w:t>
      </w:r>
    </w:p>
    <w:p>
      <w:pPr>
        <w:spacing w:after="60" w:line="276"/>
      </w:pPr>
      <w:r>
        <w:rPr>
          <w:rFonts w:ascii="Arial" w:cs="Arial" w:eastAsia="Arial" w:hAnsi="Arial"/>
          <w:b/>
          <w:bCs/>
          <w:sz w:val="20"/>
          <w:szCs w:val="20"/>
        </w:rPr>
        <w:t xml:space="preserve">DevSecOps &amp; Cloud: </w:t>
      </w:r>
      <w:r>
        <w:rPr>
          <w:rFonts w:ascii="Arial" w:cs="Arial" w:eastAsia="Arial" w:hAnsi="Arial"/>
          <w:sz w:val="20"/>
          <w:szCs w:val="20"/>
        </w:rPr>
        <w:t xml:space="preserve">Microservices, containers (Docker, Kubernetes), CI/CD, observability (Grafana, Prometheus, ELK). Automation: Terraform, CloudFormation, Puppet, Chef. Cloud-native on AWS, GCP, Azure</w:t>
      </w:r>
    </w:p>
    <w:p>
      <w:pPr>
        <w:spacing w:after="60" w:line="276"/>
      </w:pPr>
      <w:r>
        <w:rPr>
          <w:rFonts w:ascii="Arial" w:cs="Arial" w:eastAsia="Arial" w:hAnsi="Arial"/>
          <w:b/>
          <w:bCs/>
          <w:sz w:val="20"/>
          <w:szCs w:val="20"/>
        </w:rPr>
        <w:t xml:space="preserve">Enterprise Development: </w:t>
      </w:r>
      <w:r>
        <w:rPr>
          <w:rFonts w:ascii="Arial" w:cs="Arial" w:eastAsia="Arial" w:hAnsi="Arial"/>
          <w:sz w:val="20"/>
          <w:szCs w:val="20"/>
        </w:rPr>
        <w:t xml:space="preserve">Java (Spring Boot, Quarkus), .NET, Node.js, Django, Rails. Frontend: React, Next.js, Flutter, Figma (Dev Mode)</w:t>
      </w:r>
    </w:p>
    <w:p>
      <w:pPr>
        <w:spacing w:after="60" w:line="276"/>
      </w:pPr>
      <w:r>
        <w:rPr>
          <w:rFonts w:ascii="Arial" w:cs="Arial" w:eastAsia="Arial" w:hAnsi="Arial"/>
          <w:b/>
          <w:bCs/>
          <w:sz w:val="20"/>
          <w:szCs w:val="20"/>
        </w:rPr>
        <w:t xml:space="preserve">Data &amp; Analytics: </w:t>
      </w:r>
      <w:r>
        <w:rPr>
          <w:rFonts w:ascii="Arial" w:cs="Arial" w:eastAsia="Arial" w:hAnsi="Arial"/>
          <w:sz w:val="20"/>
          <w:szCs w:val="20"/>
        </w:rPr>
        <w:t xml:space="preserve">SQL/NoSQL, data warehousing, lakes, pipelines (Kafka, Spark, Beam), streaming and batch processing</w:t>
      </w:r>
    </w:p>
    <w:p>
      <w:pPr>
        <w:spacing w:after="60" w:line="276"/>
      </w:pPr>
      <w:r>
        <w:rPr>
          <w:rFonts w:ascii="Arial" w:cs="Arial" w:eastAsia="Arial" w:hAnsi="Arial"/>
          <w:b/>
          <w:bCs/>
          <w:sz w:val="20"/>
          <w:szCs w:val="20"/>
        </w:rPr>
        <w:t xml:space="preserve">Security &amp; Networking: </w:t>
      </w:r>
      <w:r>
        <w:rPr>
          <w:rFonts w:ascii="Arial" w:cs="Arial" w:eastAsia="Arial" w:hAnsi="Arial"/>
          <w:sz w:val="20"/>
          <w:szCs w:val="20"/>
        </w:rPr>
        <w:t xml:space="preserve">VPNs, load balancers, firewalls, IDS/IPS. Zero Trust, IAM, SAML, OAuth2, OpenID, Auth0, CNAPP</w:t>
      </w:r>
    </w:p>
    <w:p>
      <w:pPr>
        <w:spacing w:after="60" w:line="276"/>
      </w:pPr>
      <w:r>
        <w:rPr>
          <w:rFonts w:ascii="Arial" w:cs="Arial" w:eastAsia="Arial" w:hAnsi="Arial"/>
          <w:b/>
          <w:bCs/>
          <w:sz w:val="20"/>
          <w:szCs w:val="20"/>
        </w:rPr>
        <w:t xml:space="preserve">Platforms &amp; Tooling: </w:t>
      </w:r>
      <w:r>
        <w:rPr>
          <w:rFonts w:ascii="Arial" w:cs="Arial" w:eastAsia="Arial" w:hAnsi="Arial"/>
          <w:sz w:val="20"/>
          <w:szCs w:val="20"/>
        </w:rPr>
        <w:t xml:space="preserve">Gemini, Google AI Studio, Vertex AI, Cursor, Claude Code, Windsurf, GitLab, GitHub, Vercel, E2B, Kiro, Traycer, AWS Bedrock</w:t>
      </w:r>
    </w:p>
    <w:p>
      <w:pPr>
        <w:spacing w:after="60" w:line="276"/>
      </w:pPr>
      <w:r>
        <w:rPr>
          <w:rFonts w:ascii="Arial" w:cs="Arial" w:eastAsia="Arial" w:hAnsi="Arial"/>
          <w:b/>
          <w:bCs/>
          <w:sz w:val="20"/>
          <w:szCs w:val="20"/>
        </w:rPr>
        <w:t xml:space="preserve">Functional Expertise: </w:t>
      </w:r>
      <w:r>
        <w:rPr>
          <w:rFonts w:ascii="Arial" w:cs="Arial" w:eastAsia="Arial" w:hAnsi="Arial"/>
          <w:sz w:val="20"/>
          <w:szCs w:val="20"/>
        </w:rPr>
        <w:t xml:space="preserve">Technical Go-to-Market, Sales Enablement, Presales Solutions Architecture, Global Systems Integrators (GSI), Ecosystem and Partner Development, Developer Relations, Customer Success, Public Speaking</w:t>
      </w:r>
    </w:p>
    <w:p>
      <w:pPr>
        <w:pStyle w:val="Heading1"/>
        <w:pBdr>
          <w:bottom w:val="single" w:color="2E75B6" w:sz="6" w:space="1"/>
        </w:pBdr>
        <w:spacing w:after="80" w:before="240"/>
      </w:pPr>
      <w:r>
        <w:rPr>
          <w:rFonts w:ascii="Arial" w:cs="Arial" w:eastAsia="Arial" w:hAnsi="Arial"/>
          <w:b/>
          <w:bCs/>
          <w:color w:val="1F4E79"/>
          <w:sz w:val="22"/>
          <w:szCs w:val="22"/>
        </w:rPr>
        <w:t xml:space="preserve">Education</w:t>
      </w:r>
    </w:p>
    <w:p>
      <w:pPr>
        <w:spacing w:after="80" w:line="276"/>
      </w:pPr>
      <w:r>
        <w:rPr>
          <w:rFonts w:ascii="Arial" w:cs="Arial" w:eastAsia="Arial" w:hAnsi="Arial"/>
          <w:sz w:val="20"/>
          <w:szCs w:val="20"/>
        </w:rPr>
        <w:t xml:space="preserve">Masters in Engineering (Electrical, Telecom), University of Melbourne, 2009 - 2010</w:t>
      </w:r>
    </w:p>
    <w:p>
      <w:pPr>
        <w:pStyle w:val="Heading1"/>
        <w:pBdr>
          <w:bottom w:val="single" w:color="2E75B6" w:sz="6" w:space="1"/>
        </w:pBdr>
        <w:spacing w:after="80" w:before="240"/>
      </w:pPr>
      <w:r>
        <w:rPr>
          <w:rFonts w:ascii="Arial" w:cs="Arial" w:eastAsia="Arial" w:hAnsi="Arial"/>
          <w:b/>
          <w:bCs/>
          <w:color w:val="1F4E79"/>
          <w:sz w:val="22"/>
          <w:szCs w:val="22"/>
        </w:rPr>
        <w:t xml:space="preserve">Work Experience</w:t>
      </w:r>
    </w:p>
    <w:p>
      <w:pPr>
        <w:spacing w:after="60" w:before="160"/>
      </w:pPr>
      <w:r>
        <w:rPr>
          <w:rFonts w:ascii="Arial" w:cs="Arial" w:eastAsia="Arial" w:hAnsi="Arial"/>
          <w:b/>
          <w:bCs/>
          <w:sz w:val="20"/>
          <w:szCs w:val="20"/>
        </w:rPr>
        <w:t xml:space="preserve">Head of Technical Go-to-Market | StackGen | May 2026 - Present | San Francisco, CA</w:t>
      </w:r>
    </w:p>
    <w:p>
      <w:pPr>
        <w:pStyle w:val="ListParagraph"/>
        <w:numPr>
          <w:ilvl w:val="0"/>
          <w:numId w:val="2"/>
        </w:numPr>
        <w:spacing w:after="40" w:line="276"/>
      </w:pPr>
      <w:r>
        <w:rPr>
          <w:rFonts w:ascii="Arial" w:cs="Arial" w:eastAsia="Arial" w:hAnsi="Arial"/>
          <w:sz w:val="20"/>
          <w:szCs w:val="20"/>
        </w:rPr>
        <w:t xml:space="preserve">Own technical GTM for StackGen's AI-SRE and agentic infrastructure platform (pre-Series A), working across product, engineering, and field teams selling to Fortune 500 and Global 2000 accounts on AWS, GCP, and Azure.</w:t>
      </w:r>
    </w:p>
    <w:p>
      <w:pPr>
        <w:pStyle w:val="ListParagraph"/>
        <w:numPr>
          <w:ilvl w:val="0"/>
          <w:numId w:val="2"/>
        </w:numPr>
        <w:spacing w:after="40" w:line="276"/>
      </w:pPr>
      <w:r>
        <w:rPr>
          <w:rFonts w:ascii="Arial" w:cs="Arial" w:eastAsia="Arial" w:hAnsi="Arial"/>
          <w:sz w:val="20"/>
          <w:szCs w:val="20"/>
        </w:rPr>
        <w:t xml:space="preserve">Run sales enablement for global field sales and solutions architecture: onboarding, talk tracks, demos, and technical assets used in live deals.</w:t>
      </w:r>
    </w:p>
    <w:p>
      <w:pPr>
        <w:pStyle w:val="ListParagraph"/>
        <w:numPr>
          <w:ilvl w:val="0"/>
          <w:numId w:val="2"/>
        </w:numPr>
        <w:spacing w:after="40" w:line="276"/>
      </w:pPr>
      <w:r>
        <w:rPr>
          <w:rFonts w:ascii="Arial" w:cs="Arial" w:eastAsia="Arial" w:hAnsi="Arial"/>
          <w:sz w:val="20"/>
          <w:szCs w:val="20"/>
        </w:rPr>
        <w:t xml:space="preserve">Gather field and early-customer requirements with product and engineering, then turn them into sales-ready collateral (architecture overviews, solution briefs, sample workflows, FAQs, competitive notes).</w:t>
      </w:r>
    </w:p>
    <w:p>
      <w:pPr>
        <w:pStyle w:val="ListParagraph"/>
        <w:numPr>
          <w:ilvl w:val="0"/>
          <w:numId w:val="2"/>
        </w:numPr>
        <w:spacing w:after="40" w:line="276"/>
      </w:pPr>
      <w:r>
        <w:rPr>
          <w:rFonts w:ascii="Arial" w:cs="Arial" w:eastAsia="Arial" w:hAnsi="Arial"/>
          <w:sz w:val="20"/>
          <w:szCs w:val="20"/>
        </w:rPr>
        <w:t xml:space="preserve">Feed competitive signals, use-case patterns, and deal blockers back into the AI DevSecOps and AI SRE product roadmap.</w:t>
      </w:r>
    </w:p>
    <w:p>
      <w:pPr>
        <w:pStyle w:val="ListParagraph"/>
        <w:numPr>
          <w:ilvl w:val="0"/>
          <w:numId w:val="2"/>
        </w:numPr>
        <w:spacing w:after="40" w:line="276"/>
      </w:pPr>
      <w:r>
        <w:rPr>
          <w:rFonts w:ascii="Arial" w:cs="Arial" w:eastAsia="Arial" w:hAnsi="Arial"/>
          <w:sz w:val="20"/>
          <w:szCs w:val="20"/>
        </w:rPr>
        <w:t xml:space="preserve">Support AI infrastructure GTM across APJ and EMEA, including AWS, GCP, and Azure partner motions.</w:t>
      </w:r>
    </w:p>
    <w:p>
      <w:pPr>
        <w:pStyle w:val="ListParagraph"/>
        <w:numPr>
          <w:ilvl w:val="0"/>
          <w:numId w:val="2"/>
        </w:numPr>
        <w:spacing w:after="40" w:line="276"/>
      </w:pPr>
      <w:r>
        <w:rPr>
          <w:rFonts w:ascii="Arial" w:cs="Arial" w:eastAsia="Arial" w:hAnsi="Arial"/>
          <w:sz w:val="20"/>
          <w:szCs w:val="20"/>
        </w:rPr>
        <w:t xml:space="preserve">Publish enablement content (blogs, sample codebases, whitepapers, workshops) so sales messaging matches what the product delivers.</w:t>
      </w:r>
    </w:p>
    <w:p>
      <w:pPr>
        <w:spacing w:after="60" w:before="160"/>
      </w:pPr>
      <w:r>
        <w:rPr>
          <w:rFonts w:ascii="Arial" w:cs="Arial" w:eastAsia="Arial" w:hAnsi="Arial"/>
          <w:b/>
          <w:bCs/>
          <w:sz w:val="20"/>
          <w:szCs w:val="20"/>
        </w:rPr>
        <w:t xml:space="preserve">Senior Solutions Architect (Ecosystems &amp; Developer Evangelism) | GitLab | Apr 2024 - Dec 2025 | Bangalore, India (Remote)</w:t>
      </w:r>
    </w:p>
    <w:p>
      <w:pPr>
        <w:pStyle w:val="ListParagraph"/>
        <w:numPr>
          <w:ilvl w:val="0"/>
          <w:numId w:val="2"/>
        </w:numPr>
        <w:spacing w:after="40" w:line="276"/>
      </w:pPr>
      <w:r>
        <w:rPr>
          <w:rFonts w:ascii="Arial" w:cs="Arial" w:eastAsia="Arial" w:hAnsi="Arial"/>
          <w:sz w:val="20"/>
          <w:szCs w:val="20"/>
        </w:rPr>
        <w:t xml:space="preserve">Led ecosystem solutions architecture and developer evangelism across India and ASEAN, owning four GTM segments in parallel: Global Systems Integrators, hyperscaler (AWS/GCP), channel, and GCC.</w:t>
      </w:r>
    </w:p>
    <w:p>
      <w:pPr>
        <w:pStyle w:val="ListParagraph"/>
        <w:numPr>
          <w:ilvl w:val="0"/>
          <w:numId w:val="2"/>
        </w:numPr>
        <w:spacing w:after="40" w:line="276"/>
      </w:pPr>
      <w:r>
        <w:rPr>
          <w:rFonts w:ascii="Arial" w:cs="Arial" w:eastAsia="Arial" w:hAnsi="Arial"/>
          <w:sz w:val="20"/>
          <w:szCs w:val="20"/>
        </w:rPr>
        <w:t xml:space="preserve">Covered major GSIs including TCS, Infosys, and Capgemini across India and Singapore as a named segment of the role: technical pre-sales support, partner enablement, joint solution work, and field alignment on enterprise and commercial opportunities.</w:t>
      </w:r>
    </w:p>
    <w:p>
      <w:pPr>
        <w:pStyle w:val="ListParagraph"/>
        <w:numPr>
          <w:ilvl w:val="0"/>
          <w:numId w:val="2"/>
        </w:numPr>
        <w:spacing w:after="40" w:line="276"/>
      </w:pPr>
      <w:r>
        <w:rPr>
          <w:rFonts w:ascii="Arial" w:cs="Arial" w:eastAsia="Arial" w:hAnsi="Arial"/>
          <w:sz w:val="20"/>
          <w:szCs w:val="20"/>
        </w:rPr>
        <w:t xml:space="preserve">Served as technical SME for AI-native software development and developer advocacy in greenfield APJ markets (India, Singapore, Thailand, Vietnam).</w:t>
      </w:r>
    </w:p>
    <w:p>
      <w:pPr>
        <w:spacing w:after="40" w:before="80"/>
      </w:pPr>
      <w:r>
        <w:rPr>
          <w:rFonts w:ascii="Arial" w:cs="Arial" w:eastAsia="Arial" w:hAnsi="Arial"/>
          <w:b/>
          <w:bCs/>
          <w:i/>
          <w:iCs/>
          <w:sz w:val="20"/>
          <w:szCs w:val="20"/>
        </w:rPr>
        <w:t xml:space="preserve">Key Achievements:</w:t>
      </w:r>
    </w:p>
    <w:p>
      <w:pPr>
        <w:pStyle w:val="ListParagraph"/>
        <w:numPr>
          <w:ilvl w:val="0"/>
          <w:numId w:val="2"/>
        </w:numPr>
        <w:spacing w:after="40" w:line="276"/>
      </w:pPr>
      <w:r>
        <w:rPr>
          <w:rFonts w:ascii="Arial" w:cs="Arial" w:eastAsia="Arial" w:hAnsi="Arial"/>
          <w:sz w:val="20"/>
          <w:szCs w:val="20"/>
        </w:rPr>
        <w:t xml:space="preserve">Built channel partner coverage across India, Singapore, Thailand, and Vietnam from a greenfield base in 18 months, increasing partner-sourced pipe 5X versus direct GTM and influencing approximately $10M in business across APJ.</w:t>
      </w:r>
    </w:p>
    <w:p>
      <w:pPr>
        <w:pStyle w:val="ListParagraph"/>
        <w:numPr>
          <w:ilvl w:val="0"/>
          <w:numId w:val="2"/>
        </w:numPr>
        <w:spacing w:after="40" w:line="276"/>
      </w:pPr>
      <w:r>
        <w:rPr>
          <w:rFonts w:ascii="Arial" w:cs="Arial" w:eastAsia="Arial" w:hAnsi="Arial"/>
          <w:sz w:val="20"/>
          <w:szCs w:val="20"/>
        </w:rPr>
        <w:t xml:space="preserve">Stood up a GitLab-centered Center of Excellence with TCS and secured an 18-month GSI resource commitment tied to larger transaction opportunities.</w:t>
      </w:r>
    </w:p>
    <w:p>
      <w:pPr>
        <w:pStyle w:val="ListParagraph"/>
        <w:numPr>
          <w:ilvl w:val="0"/>
          <w:numId w:val="2"/>
        </w:numPr>
        <w:spacing w:after="40" w:line="276"/>
      </w:pPr>
      <w:r>
        <w:rPr>
          <w:rFonts w:ascii="Arial" w:cs="Arial" w:eastAsia="Arial" w:hAnsi="Arial"/>
          <w:sz w:val="20"/>
          <w:szCs w:val="20"/>
        </w:rPr>
        <w:t xml:space="preserve">Built joint solution sales plays with AWS, GCP, and Red Hat, mapping GitLab into an AI-DLC narrative for CxO, developer, CTO, and CISO audiences.</w:t>
      </w:r>
    </w:p>
    <w:p>
      <w:pPr>
        <w:pStyle w:val="ListParagraph"/>
        <w:numPr>
          <w:ilvl w:val="0"/>
          <w:numId w:val="2"/>
        </w:numPr>
        <w:spacing w:after="40" w:line="276"/>
      </w:pPr>
      <w:r>
        <w:rPr>
          <w:rFonts w:ascii="Arial" w:cs="Arial" w:eastAsia="Arial" w:hAnsi="Arial"/>
          <w:sz w:val="20"/>
          <w:szCs w:val="20"/>
        </w:rPr>
        <w:t xml:space="preserve">Worked with three partner territory managers across APJ on joint solution development, net-new pipe for field teams, and developer advocacy for AI-native software delivery.</w:t>
      </w:r>
    </w:p>
    <w:p>
      <w:pPr>
        <w:spacing w:after="60" w:before="160"/>
      </w:pPr>
      <w:r>
        <w:rPr>
          <w:rFonts w:ascii="Arial" w:cs="Arial" w:eastAsia="Arial" w:hAnsi="Arial"/>
          <w:b/>
          <w:bCs/>
          <w:sz w:val="20"/>
          <w:szCs w:val="20"/>
        </w:rPr>
        <w:t xml:space="preserve">Senior Solutions Engineer (Developer Advocacy) | VMware Tanzu | Feb 2022 - Jul 2023 | Singapore / Bangalore</w:t>
      </w:r>
    </w:p>
    <w:p>
      <w:pPr>
        <w:pStyle w:val="ListParagraph"/>
        <w:numPr>
          <w:ilvl w:val="0"/>
          <w:numId w:val="2"/>
        </w:numPr>
        <w:spacing w:after="40" w:line="276"/>
      </w:pPr>
      <w:r>
        <w:rPr>
          <w:rFonts w:ascii="Arial" w:cs="Arial" w:eastAsia="Arial" w:hAnsi="Arial"/>
          <w:sz w:val="20"/>
          <w:szCs w:val="20"/>
        </w:rPr>
        <w:t xml:space="preserve">Covered GSI partners including TCS, Infosys, and Capgemini in Singapore and India as part of the regional partner and account motion, supporting technical discussions and enablement around Tanzu application platform and container infrastructure.</w:t>
      </w:r>
    </w:p>
    <w:p>
      <w:pPr>
        <w:pStyle w:val="ListParagraph"/>
        <w:numPr>
          <w:ilvl w:val="0"/>
          <w:numId w:val="2"/>
        </w:numPr>
        <w:spacing w:after="40" w:line="276"/>
      </w:pPr>
      <w:r>
        <w:rPr>
          <w:rFonts w:ascii="Arial" w:cs="Arial" w:eastAsia="Arial" w:hAnsi="Arial"/>
          <w:sz w:val="20"/>
          <w:szCs w:val="20"/>
        </w:rPr>
        <w:t xml:space="preserve">Evangelized Tanzu to developers and platform engineering teams across key APAC accounts and the broader regional partner ecosystem.</w:t>
      </w:r>
    </w:p>
    <w:p>
      <w:pPr>
        <w:pStyle w:val="ListParagraph"/>
        <w:numPr>
          <w:ilvl w:val="0"/>
          <w:numId w:val="2"/>
        </w:numPr>
        <w:spacing w:after="40" w:line="276"/>
      </w:pPr>
      <w:r>
        <w:rPr>
          <w:rFonts w:ascii="Arial" w:cs="Arial" w:eastAsia="Arial" w:hAnsi="Arial"/>
          <w:sz w:val="20"/>
          <w:szCs w:val="20"/>
        </w:rPr>
        <w:t xml:space="preserve">Won Tanzu platform adoption for a major government customer in South India through an end-to-end partner-led solution on budget, delivering approximately $100K USD in platform revenue.</w:t>
      </w:r>
    </w:p>
    <w:p>
      <w:pPr>
        <w:pStyle w:val="ListParagraph"/>
        <w:numPr>
          <w:ilvl w:val="0"/>
          <w:numId w:val="2"/>
        </w:numPr>
        <w:spacing w:after="40" w:line="276"/>
      </w:pPr>
      <w:r>
        <w:rPr>
          <w:rFonts w:ascii="Arial" w:cs="Arial" w:eastAsia="Arial" w:hAnsi="Arial"/>
          <w:sz w:val="20"/>
          <w:szCs w:val="20"/>
        </w:rPr>
        <w:t xml:space="preserve">Enabled regional partners on Tanzu through joint GTM and technical enablement, hitting quarterly quota for two consecutive quarters.</w:t>
      </w:r>
    </w:p>
    <w:p>
      <w:pPr>
        <w:spacing w:after="60" w:before="160"/>
      </w:pPr>
      <w:r>
        <w:rPr>
          <w:rFonts w:ascii="Arial" w:cs="Arial" w:eastAsia="Arial" w:hAnsi="Arial"/>
          <w:b/>
          <w:bCs/>
          <w:sz w:val="20"/>
          <w:szCs w:val="20"/>
        </w:rPr>
        <w:t xml:space="preserve">Solutions Architect (OpenShift &amp; Developer Platform) | Red Hat | Oct 2020 - Dec 2021 | Bangalore / Sri Lanka</w:t>
      </w:r>
    </w:p>
    <w:p>
      <w:pPr>
        <w:pStyle w:val="ListParagraph"/>
        <w:numPr>
          <w:ilvl w:val="0"/>
          <w:numId w:val="2"/>
        </w:numPr>
        <w:spacing w:after="40" w:line="276"/>
      </w:pPr>
      <w:r>
        <w:rPr>
          <w:rFonts w:ascii="Arial" w:cs="Arial" w:eastAsia="Arial" w:hAnsi="Arial"/>
          <w:sz w:val="20"/>
          <w:szCs w:val="20"/>
        </w:rPr>
        <w:t xml:space="preserve">Led open hybrid cloud and infrastructure modernization solutions for emerging APAC accounts, covering OpenShift, Red Hat runtimes, and Ansible automation across containers and platform engineering.</w:t>
      </w:r>
    </w:p>
    <w:p>
      <w:pPr>
        <w:pStyle w:val="ListParagraph"/>
        <w:numPr>
          <w:ilvl w:val="0"/>
          <w:numId w:val="2"/>
        </w:numPr>
        <w:spacing w:after="40" w:line="276"/>
      </w:pPr>
      <w:r>
        <w:rPr>
          <w:rFonts w:ascii="Arial" w:cs="Arial" w:eastAsia="Arial" w:hAnsi="Arial"/>
          <w:sz w:val="20"/>
          <w:szCs w:val="20"/>
        </w:rPr>
        <w:t xml:space="preserve">Built the Red Hat OpenShift partner ecosystem in Sri Lanka, establishing BFSI pipeline and winning OpenShift deployment for a major commercial bank with approximately $400K USD in Red Hat subscriptions.</w:t>
      </w:r>
    </w:p>
    <w:p>
      <w:pPr>
        <w:spacing w:after="60" w:before="160"/>
      </w:pPr>
      <w:r>
        <w:rPr>
          <w:rFonts w:ascii="Arial" w:cs="Arial" w:eastAsia="Arial" w:hAnsi="Arial"/>
          <w:b/>
          <w:bCs/>
          <w:sz w:val="20"/>
          <w:szCs w:val="20"/>
        </w:rPr>
        <w:t xml:space="preserve">Principal Solutions Architect / Sales Consultant | Oracle Australia | Mar 2017 - Nov 2019 | Sydney</w:t>
      </w:r>
    </w:p>
    <w:p>
      <w:pPr>
        <w:pStyle w:val="ListParagraph"/>
        <w:numPr>
          <w:ilvl w:val="0"/>
          <w:numId w:val="2"/>
        </w:numPr>
        <w:spacing w:after="40" w:line="276"/>
      </w:pPr>
      <w:r>
        <w:rPr>
          <w:rFonts w:ascii="Arial" w:cs="Arial" w:eastAsia="Arial" w:hAnsi="Arial"/>
          <w:sz w:val="20"/>
          <w:szCs w:val="20"/>
        </w:rPr>
        <w:t xml:space="preserve">Owned strategic NSW enterprise and government accounts across the OCI infrastructure portfolio: technology roadmaps, cloud adoption POCs, and presentations at industry and Oracle events.</w:t>
      </w:r>
    </w:p>
    <w:p>
      <w:pPr>
        <w:pStyle w:val="ListParagraph"/>
        <w:numPr>
          <w:ilvl w:val="0"/>
          <w:numId w:val="2"/>
        </w:numPr>
        <w:spacing w:after="40" w:line="276"/>
      </w:pPr>
      <w:r>
        <w:rPr>
          <w:rFonts w:ascii="Arial" w:cs="Arial" w:eastAsia="Arial" w:hAnsi="Arial"/>
          <w:sz w:val="20"/>
          <w:szCs w:val="20"/>
        </w:rPr>
        <w:t xml:space="preserve">Led IaaS/PaaS solution architecture for a major financial institution ERP/EPM SaaS migration, closing $22M TCV CSA and $4M IaaS/PaaS credits.</w:t>
      </w:r>
    </w:p>
    <w:p>
      <w:pPr>
        <w:pStyle w:val="ListParagraph"/>
        <w:numPr>
          <w:ilvl w:val="0"/>
          <w:numId w:val="2"/>
        </w:numPr>
        <w:spacing w:after="40" w:line="276"/>
      </w:pPr>
      <w:r>
        <w:rPr>
          <w:rFonts w:ascii="Arial" w:cs="Arial" w:eastAsia="Arial" w:hAnsi="Arial"/>
          <w:sz w:val="20"/>
          <w:szCs w:val="20"/>
        </w:rPr>
        <w:t xml:space="preserve">Delivered POC and solution architecture for auto insurance BI consolidation to Oracle Cloud, generating $200K ARR.</w:t>
      </w:r>
    </w:p>
    <w:p>
      <w:pPr>
        <w:pStyle w:val="ListParagraph"/>
        <w:numPr>
          <w:ilvl w:val="0"/>
          <w:numId w:val="2"/>
        </w:numPr>
        <w:spacing w:after="40" w:line="276"/>
      </w:pPr>
      <w:r>
        <w:rPr>
          <w:rFonts w:ascii="Arial" w:cs="Arial" w:eastAsia="Arial" w:hAnsi="Arial"/>
          <w:sz w:val="20"/>
          <w:szCs w:val="20"/>
        </w:rPr>
        <w:t xml:space="preserve">Architected a Ravello lift-and-shift migration for a major university, securing $65K ARR.</w:t>
      </w:r>
    </w:p>
    <w:p>
      <w:pPr>
        <w:pStyle w:val="ListParagraph"/>
        <w:numPr>
          <w:ilvl w:val="0"/>
          <w:numId w:val="2"/>
        </w:numPr>
        <w:spacing w:after="40" w:line="276"/>
      </w:pPr>
      <w:r>
        <w:rPr>
          <w:rFonts w:ascii="Arial" w:cs="Arial" w:eastAsia="Arial" w:hAnsi="Arial"/>
          <w:sz w:val="20"/>
          <w:szCs w:val="20"/>
        </w:rPr>
        <w:t xml:space="preserve">Drove datacentre consolidation for an NSW government account, yielding $2M in additional license revenue.</w:t>
      </w:r>
    </w:p>
    <w:p>
      <w:pPr>
        <w:spacing w:after="60" w:before="160"/>
      </w:pPr>
      <w:r>
        <w:rPr>
          <w:rFonts w:ascii="Arial" w:cs="Arial" w:eastAsia="Arial" w:hAnsi="Arial"/>
          <w:b/>
          <w:bCs/>
          <w:sz w:val="20"/>
          <w:szCs w:val="20"/>
        </w:rPr>
        <w:t xml:space="preserve">Solutions Architect / Consultant | Telstra Corp | Jul 2016 - Dec 2016 | Melbourne (Contract)</w:t>
      </w:r>
    </w:p>
    <w:p>
      <w:pPr>
        <w:pStyle w:val="ListParagraph"/>
        <w:numPr>
          <w:ilvl w:val="0"/>
          <w:numId w:val="2"/>
        </w:numPr>
        <w:spacing w:after="40" w:line="276"/>
      </w:pPr>
      <w:r>
        <w:rPr>
          <w:rFonts w:ascii="Arial" w:cs="Arial" w:eastAsia="Arial" w:hAnsi="Arial"/>
          <w:sz w:val="20"/>
          <w:szCs w:val="20"/>
        </w:rPr>
        <w:t xml:space="preserve">Presales for data center, cloud, and professional services to enterprise customers.</w:t>
      </w:r>
    </w:p>
    <w:p>
      <w:pPr>
        <w:pStyle w:val="ListParagraph"/>
        <w:numPr>
          <w:ilvl w:val="0"/>
          <w:numId w:val="2"/>
        </w:numPr>
        <w:spacing w:after="40" w:line="276"/>
      </w:pPr>
      <w:r>
        <w:rPr>
          <w:rFonts w:ascii="Arial" w:cs="Arial" w:eastAsia="Arial" w:hAnsi="Arial"/>
          <w:sz w:val="20"/>
          <w:szCs w:val="20"/>
        </w:rPr>
        <w:t xml:space="preserve">Closed $3M TCV Nutanix managed private cloud for a mid-tier enterprise and $1.3M TCV Australian Government multi-cloud AWS/Azure NFV solution.</w:t>
      </w:r>
    </w:p>
    <w:p>
      <w:pPr>
        <w:spacing w:after="60" w:before="160"/>
      </w:pPr>
      <w:r>
        <w:rPr>
          <w:rFonts w:ascii="Arial" w:cs="Arial" w:eastAsia="Arial" w:hAnsi="Arial"/>
          <w:b/>
          <w:bCs/>
          <w:sz w:val="20"/>
          <w:szCs w:val="20"/>
        </w:rPr>
        <w:t xml:space="preserve">Consultant (Contract) | Cisco Australia | Jun 2015 - Dec 2015 | Melbourne</w:t>
      </w:r>
    </w:p>
    <w:p>
      <w:pPr>
        <w:pStyle w:val="ListParagraph"/>
        <w:numPr>
          <w:ilvl w:val="0"/>
          <w:numId w:val="2"/>
        </w:numPr>
        <w:spacing w:after="40" w:line="276"/>
      </w:pPr>
      <w:r>
        <w:rPr>
          <w:rFonts w:ascii="Arial" w:cs="Arial" w:eastAsia="Arial" w:hAnsi="Arial"/>
          <w:sz w:val="20"/>
          <w:szCs w:val="20"/>
        </w:rPr>
        <w:t xml:space="preserve">Led cloud infrastructure POCs and UCS Director competitive positioning versus HPE OneView for APJC GES/GSP accounts across AWS and Azure multi-cloud environments.</w:t>
      </w:r>
    </w:p>
    <w:p>
      <w:pPr>
        <w:spacing w:after="60" w:before="160"/>
      </w:pPr>
      <w:r>
        <w:rPr>
          <w:rFonts w:ascii="Arial" w:cs="Arial" w:eastAsia="Arial" w:hAnsi="Arial"/>
          <w:b/>
          <w:bCs/>
          <w:sz w:val="20"/>
          <w:szCs w:val="20"/>
        </w:rPr>
        <w:t xml:space="preserve">Product Manager, Telstra Cloud | Accenture Consulting Australia | Apr 2014 - Apr 2015 | Melbourne (Staff Augmentation)</w:t>
      </w:r>
    </w:p>
    <w:p>
      <w:pPr>
        <w:pStyle w:val="ListParagraph"/>
        <w:numPr>
          <w:ilvl w:val="0"/>
          <w:numId w:val="2"/>
        </w:numPr>
        <w:spacing w:after="40" w:line="276"/>
      </w:pPr>
      <w:r>
        <w:rPr>
          <w:rFonts w:ascii="Arial" w:cs="Arial" w:eastAsia="Arial" w:hAnsi="Arial"/>
          <w:sz w:val="20"/>
          <w:szCs w:val="20"/>
        </w:rPr>
        <w:t xml:space="preserve">Productized Telstra CSX cloud and hosted IT offerings with Cisco, VMware, and EMC partners for a global cloud build program.</w:t>
      </w:r>
    </w:p>
    <w:p>
      <w:pPr>
        <w:pStyle w:val="ListParagraph"/>
        <w:numPr>
          <w:ilvl w:val="0"/>
          <w:numId w:val="2"/>
        </w:numPr>
        <w:spacing w:after="40" w:line="276"/>
      </w:pPr>
      <w:r>
        <w:rPr>
          <w:rFonts w:ascii="Arial" w:cs="Arial" w:eastAsia="Arial" w:hAnsi="Arial"/>
          <w:sz w:val="20"/>
          <w:szCs w:val="20"/>
        </w:rPr>
        <w:t xml:space="preserve">Delivered Gen 2 CSX and VMware NSX POCs, managing product roadmap and internal/vendor stakeholder relationships.</w:t>
      </w:r>
    </w:p>
    <w:p>
      <w:pPr>
        <w:spacing w:after="60" w:before="160"/>
      </w:pPr>
      <w:r>
        <w:rPr>
          <w:rFonts w:ascii="Arial" w:cs="Arial" w:eastAsia="Arial" w:hAnsi="Arial"/>
          <w:b/>
          <w:bCs/>
          <w:sz w:val="20"/>
          <w:szCs w:val="20"/>
        </w:rPr>
        <w:t xml:space="preserve">Network Consulting Engineer | Cisco Systems, Advanced Services | Jan 2013 - Mar 2014 | Singapore</w:t>
      </w:r>
    </w:p>
    <w:p>
      <w:pPr>
        <w:pStyle w:val="ListParagraph"/>
        <w:numPr>
          <w:ilvl w:val="0"/>
          <w:numId w:val="2"/>
        </w:numPr>
        <w:spacing w:after="40" w:line="276"/>
      </w:pPr>
      <w:r>
        <w:rPr>
          <w:rFonts w:ascii="Arial" w:cs="Arial" w:eastAsia="Arial" w:hAnsi="Arial"/>
          <w:sz w:val="20"/>
          <w:szCs w:val="20"/>
        </w:rPr>
        <w:t xml:space="preserve">Designed IPNGN migration strategies for tier-1 service providers (AT&amp;T, Verizon Business, Cablevision) across ASR9K, Nexus, CRS, and UCS platforms.</w:t>
      </w:r>
    </w:p>
    <w:p>
      <w:pPr>
        <w:spacing w:after="60" w:before="160"/>
      </w:pPr>
      <w:r>
        <w:rPr>
          <w:rFonts w:ascii="Arial" w:cs="Arial" w:eastAsia="Arial" w:hAnsi="Arial"/>
          <w:b/>
          <w:bCs/>
          <w:sz w:val="20"/>
          <w:szCs w:val="20"/>
        </w:rPr>
        <w:t xml:space="preserve">Pre-Sales Solutions Consultant / IP Transition Delivery | SingTel | Apr 2012 - Nov 2012 | Singapore</w:t>
      </w:r>
    </w:p>
    <w:p>
      <w:pPr>
        <w:pStyle w:val="ListParagraph"/>
        <w:numPr>
          <w:ilvl w:val="0"/>
          <w:numId w:val="2"/>
        </w:numPr>
        <w:spacing w:after="40" w:line="276"/>
      </w:pPr>
      <w:r>
        <w:rPr>
          <w:rFonts w:ascii="Arial" w:cs="Arial" w:eastAsia="Arial" w:hAnsi="Arial"/>
          <w:sz w:val="20"/>
          <w:szCs w:val="20"/>
        </w:rPr>
        <w:t xml:space="preserve">Led WAN/ICT solution validation, RFP reviews, and technical architecture workshops as technical lead across SI, engineering, and partner teams.</w:t>
      </w:r>
    </w:p>
    <w:p>
      <w:pPr>
        <w:spacing w:after="60" w:before="160"/>
      </w:pPr>
      <w:r>
        <w:rPr>
          <w:rFonts w:ascii="Arial" w:cs="Arial" w:eastAsia="Arial" w:hAnsi="Arial"/>
          <w:b/>
          <w:bCs/>
          <w:sz w:val="20"/>
          <w:szCs w:val="20"/>
        </w:rPr>
        <w:t xml:space="preserve">Network Planning Engineer | SingTel | Apr 2010 - Apr 2012 | Singapore</w:t>
      </w:r>
    </w:p>
    <w:p>
      <w:pPr>
        <w:pStyle w:val="ListParagraph"/>
        <w:numPr>
          <w:ilvl w:val="0"/>
          <w:numId w:val="2"/>
        </w:numPr>
        <w:spacing w:after="40" w:line="276"/>
      </w:pPr>
      <w:r>
        <w:rPr>
          <w:rFonts w:ascii="Arial" w:cs="Arial" w:eastAsia="Arial" w:hAnsi="Arial"/>
          <w:sz w:val="20"/>
          <w:szCs w:val="20"/>
        </w:rPr>
        <w:t xml:space="preserve">Managed ConnectPlus MPLS IP-VPN global POP deployment, Tier 3 escalations, and vendor POC evaluations in IP Engineering.</w:t>
      </w:r>
    </w:p>
    <w:p>
      <w:pPr>
        <w:pStyle w:val="Heading1"/>
        <w:pBdr>
          <w:bottom w:val="single" w:color="2E75B6" w:sz="6" w:space="1"/>
        </w:pBdr>
        <w:spacing w:after="80" w:before="240"/>
      </w:pPr>
      <w:r>
        <w:rPr>
          <w:rFonts w:ascii="Arial" w:cs="Arial" w:eastAsia="Arial" w:hAnsi="Arial"/>
          <w:b/>
          <w:bCs/>
          <w:color w:val="1F4E79"/>
          <w:sz w:val="22"/>
          <w:szCs w:val="22"/>
        </w:rPr>
        <w:t xml:space="preserve">References</w:t>
      </w:r>
    </w:p>
    <w:p>
      <w:pPr>
        <w:spacing w:after="80" w:line="276"/>
      </w:pPr>
      <w:r>
        <w:rPr>
          <w:rFonts w:ascii="Arial" w:cs="Arial" w:eastAsia="Arial" w:hAnsi="Arial"/>
          <w:sz w:val="20"/>
          <w:szCs w:val="20"/>
        </w:rPr>
        <w:t xml:space="preserve">Available upon request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dzjwemusximl8h-7466a" Type="http://schemas.openxmlformats.org/officeDocument/2006/relationships/hyperlink" Target="https://github.com/swami086" TargetMode="External"/><Relationship Id="rId3pjgqce39kubxmey3rkq1" Type="http://schemas.openxmlformats.org/officeDocument/2006/relationships/hyperlink" Target="https://linkedin.com/in/swaminathanr1"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2026-09-08T01:25:10.269Z</dcterms:created>
  <dcterms:modified xsi:type="dcterms:W3CDTF">2026-09-08T01:25:10.270Z</dcterms:modified>
</cp:coreProperties>
</file>

<file path=docProps/custom.xml><?xml version="1.0" encoding="utf-8"?>
<Properties xmlns="http://schemas.openxmlformats.org/officeDocument/2006/custom-properties" xmlns:vt="http://schemas.openxmlformats.org/officeDocument/2006/docPropsVTypes"/>
</file>