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Part 3 — Graph Recommender Architectures: From LightGCN to a Custom Hybrid</w:t>
      </w:r>
    </w:p>
    <w:p>
      <w:pPr>
        <w:pStyle w:val="BodyText"/>
        <w:bidi w:val="0"/>
        <w:jc w:val="left"/>
        <w:rPr/>
      </w:pPr>
      <w:r>
        <w:rPr>
          <w:rStyle w:val="Emphasis"/>
        </w:rPr>
        <w:t>Turning a featured graph into "where will they go next" — a survey of graph-neural-network recommenders, six recent papers reimplemented, and a hybrid that fuses knowledge-graph attention with contrastive learning.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Series:</w:t>
      </w:r>
      <w:r>
        <w:rPr/>
        <w:t xml:space="preserve"> </w:t>
      </w:r>
      <w:r>
        <w:rPr>
          <w:rStyle w:val="Emphasis"/>
        </w:rPr>
        <w:t>Building a restaurant recommender from 2.5M Google reviews — graphs, local LLMs, and geography.</w:t>
      </w:r>
      <w:r>
        <w:rPr/>
        <w:t xml:space="preserve"> Part 3 of 4. (</w:t>
      </w:r>
      <w:hyperlink r:id="rId2">
        <w:r>
          <w:rPr>
            <w:rStyle w:val="Hyperlink"/>
          </w:rPr>
          <w:t>Part 1</w:t>
        </w:r>
      </w:hyperlink>
      <w:r>
        <w:rPr/>
        <w:t xml:space="preserve"> · </w:t>
      </w:r>
      <w:hyperlink r:id="rId3">
        <w:r>
          <w:rPr>
            <w:rStyle w:val="Hyperlink"/>
          </w:rPr>
          <w:t>Part 2</w:t>
        </w:r>
      </w:hyperlink>
      <w:r>
        <w:rPr/>
        <w:t>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The prediction task: ranking, not rating</w:t>
      </w:r>
    </w:p>
    <w:p>
      <w:pPr>
        <w:pStyle w:val="BodyText"/>
        <w:bidi w:val="0"/>
        <w:jc w:val="left"/>
        <w:rPr/>
      </w:pPr>
      <w:r>
        <w:rPr/>
        <w:t xml:space="preserve">A common misconception about recommenders is that they predict a star rating. Ours doesn't. The job is to </w:t>
      </w:r>
      <w:r>
        <w:rPr>
          <w:rStyle w:val="Strong"/>
        </w:rPr>
        <w:t>rank</w:t>
      </w:r>
      <w:r>
        <w:rPr/>
        <w:t xml:space="preserve"> — out of ~19,000 restaurants, surface the handful a particular diner will actually visit next. We treat each review as </w:t>
      </w:r>
      <w:r>
        <w:rPr>
          <w:rStyle w:val="Strong"/>
        </w:rPr>
        <w:t>implicit positive feedback</w:t>
      </w:r>
      <w:r>
        <w:rPr/>
        <w:t xml:space="preserve"> (they showed up, so they were interested) and train every model with a </w:t>
      </w:r>
      <w:r>
        <w:rPr>
          <w:rStyle w:val="Emphasis"/>
        </w:rPr>
        <w:t>ranking</w:t>
      </w:r>
      <w:r>
        <w:rPr/>
        <w:t xml:space="preserve"> objective: score a place the diner visited above one they didn't. At evaluation we ask the blunt question from Part 1 — </w:t>
      </w:r>
      <w:r>
        <w:rPr>
          <w:rStyle w:val="Emphasis"/>
        </w:rPr>
        <w:t>was the restaurant they actually visited next in our top 10?</w:t>
      </w:r>
    </w:p>
    <w:p>
      <w:pPr>
        <w:pStyle w:val="BodyText"/>
        <w:bidi w:val="0"/>
        <w:jc w:val="left"/>
        <w:rPr/>
      </w:pPr>
      <w:r>
        <w:rPr/>
        <w:t xml:space="preserve">The features from Part 2 don't sit on the sidelines: each model starts from those user and restaurant feature vectors and refines them as it learns. The interesting question this part answers is </w:t>
      </w:r>
      <w:r>
        <w:rPr>
          <w:rStyle w:val="Strong"/>
        </w:rPr>
        <w:t>what architecture does the refining</w:t>
      </w:r>
      <w:r>
        <w:rPr/>
        <w:t xml:space="preserve"> — and whether the fancy ones are worth it.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10812780" cy="5532120"/>
            <wp:effectExtent l="0" t="0" r="0" b="0"/>
            <wp:docPr id="1" name="Image1" descr="The model landscape, from baselines to the hyb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he model landscape, from baselines to the hybri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278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Baselines: non-graph models</w:t>
      </w:r>
    </w:p>
    <w:p>
      <w:pPr>
        <w:pStyle w:val="BodyText"/>
        <w:bidi w:val="0"/>
        <w:jc w:val="left"/>
        <w:rPr/>
      </w:pPr>
      <w:r>
        <w:rPr/>
        <w:t>Before reaching for graph neural networks, you need a yardstick.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Matrix factorization (ALS)</w:t>
      </w:r>
      <w:r>
        <w:rPr/>
        <w:t xml:space="preserve"> is the classic move: arrange every diner-visited-restaurant pair into a giant sparse matrix and factor it into compact "taste" vectors for users and restaurants. No graph, no review text — just who-visited-what. If a GNN can't beat this, the complexity isn't earning its keep.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Neural collaborative filtering</w:t>
      </w:r>
      <w:r>
        <w:rPr/>
        <w:t xml:space="preserve"> swaps the dot-product for a small neural network over the same embeddings — a little more flexible, still no graph. </w:t>
      </w:r>
    </w:p>
    <w:p>
      <w:pPr>
        <w:pStyle w:val="BodyText"/>
        <w:bidi w:val="0"/>
        <w:jc w:val="left"/>
        <w:rPr/>
      </w:pPr>
      <w:r>
        <w:rPr/>
        <w:t>These set the bar. Everything that follows is an argument for why structure helps.</w:t>
      </w:r>
    </w:p>
    <w:p>
      <w:pPr>
        <w:pStyle w:val="Heading2"/>
        <w:bidi w:val="0"/>
        <w:jc w:val="left"/>
        <w:rPr/>
      </w:pPr>
      <w:r>
        <w:rPr/>
        <w:t>Graph-based collaborative filtering</w:t>
      </w:r>
    </w:p>
    <w:p>
      <w:pPr>
        <w:pStyle w:val="BodyText"/>
        <w:bidi w:val="0"/>
        <w:jc w:val="left"/>
        <w:rPr/>
      </w:pPr>
      <w:r>
        <w:rPr/>
        <w:t xml:space="preserve">The core idea of a graph recommender is almost folk wisdom: </w:t>
      </w:r>
      <w:r>
        <w:rPr>
          <w:rStyle w:val="Strong"/>
        </w:rPr>
        <w:t>a diner's taste is defined by the places they go, and a place's character by who goes there.</w:t>
      </w:r>
      <w:r>
        <w:rPr/>
        <w:t xml:space="preserve"> A graph neural network makes that literal. Information flows along the review edges in rounds ("message passing"): after one round, your embedding has absorbed the restaurants you've visited; after two, the </w:t>
      </w:r>
      <w:r>
        <w:rPr>
          <w:rStyle w:val="Emphasis"/>
        </w:rPr>
        <w:t>other</w:t>
      </w:r>
      <w:r>
        <w:rPr/>
        <w:t xml:space="preserve"> diners who visit those restaurants; after three, </w:t>
      </w:r>
      <w:r>
        <w:rPr>
          <w:rStyle w:val="Emphasis"/>
        </w:rPr>
        <w:t>their</w:t>
      </w:r>
      <w:r>
        <w:rPr/>
        <w:t xml:space="preserve"> favorites. Stack a few rounds and a diner who loves three ramen shops drifts, in embedding space, toward the broader ramen-loving crowd — and toward ramen places they haven't tried yet.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LightGCN</w:t>
      </w:r>
      <w:r>
        <w:rPr/>
        <w:t xml:space="preserve"> is the workhorse. Its insight was subtractive: throw away the heavy transformations earlier graph models inherited from other domains and keep </w:t>
      </w:r>
      <w:r>
        <w:rPr>
          <w:rStyle w:val="Emphasis"/>
        </w:rPr>
        <w:t>only</w:t>
      </w:r>
      <w:r>
        <w:rPr/>
        <w:t xml:space="preserve"> neighbor averaging. Simpler, faster, and a stronger recommender. It's our reference point.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UltraGCN</w:t>
      </w:r>
      <w:r>
        <w:rPr/>
        <w:t xml:space="preserve"> notices that stacking message-passing rounds is expensive and instead approximates "infinitely many rounds" with a clever training constraint — much faster, similar spirit.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SimGCL</w:t>
      </w:r>
      <w:r>
        <w:rPr/>
        <w:t xml:space="preserve"> adds a contrastive twist (more on that below): nudge the graph with a little random noise twice, and train the model to recognize the two noisy versions as the same place. It spreads embeddings out and resists over-popular items dominating.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DGCF</w:t>
      </w:r>
      <w:r>
        <w:rPr/>
        <w:t xml:space="preserve"> disentangles </w:t>
      </w:r>
      <w:r>
        <w:rPr>
          <w:rStyle w:val="Emphasis"/>
        </w:rPr>
        <w:t>intent</w:t>
      </w:r>
      <w:r>
        <w:rPr/>
        <w:t xml:space="preserve">: you might visit one restaurant for a quick weekday lunch and another for a date, so it splits each embedding into separate intent channels. </w:t>
      </w:r>
    </w:p>
    <w:p>
      <w:pPr>
        <w:pStyle w:val="Heading2"/>
        <w:bidi w:val="0"/>
        <w:jc w:val="left"/>
        <w:rPr/>
      </w:pPr>
      <w:r>
        <w:rPr/>
        <w:t>Adding a knowledge graph: KGAT</w:t>
      </w:r>
    </w:p>
    <w:p>
      <w:pPr>
        <w:pStyle w:val="BodyText"/>
        <w:bidi w:val="0"/>
        <w:jc w:val="left"/>
        <w:rPr/>
      </w:pPr>
      <w:r>
        <w:rPr/>
        <w:t xml:space="preserve">LightGCN only knows the review edges — it's blind to </w:t>
      </w:r>
      <w:r>
        <w:rPr>
          <w:rStyle w:val="Emphasis"/>
        </w:rPr>
        <w:t>why</w:t>
      </w:r>
      <w:r>
        <w:rPr/>
        <w:t xml:space="preserve"> two restaurants are similar. But Part 1 handed us a </w:t>
      </w:r>
      <w:r>
        <w:rPr>
          <w:rStyle w:val="Strong"/>
        </w:rPr>
        <w:t>knowledge graph</w:t>
      </w:r>
      <w:r>
        <w:rPr/>
        <w:t xml:space="preserve">: restaurants link to the dishes they serve, the cuisine they belong to, and the neighborhood they sit in. </w:t>
      </w:r>
      <w:r>
        <w:rPr>
          <w:rStyle w:val="Strong"/>
        </w:rPr>
        <w:t>KGAT</w:t>
      </w:r>
      <w:r>
        <w:rPr/>
        <w:t xml:space="preserve"> (Knowledge Graph Attention Network) propagates over the review edges </w:t>
      </w:r>
      <w:r>
        <w:rPr>
          <w:rStyle w:val="Emphasis"/>
        </w:rPr>
        <w:t>and</w:t>
      </w:r>
      <w:r>
        <w:rPr/>
        <w:t xml:space="preserve"> those knowledge edges together, using attention to learn which connections matter.</w:t>
      </w:r>
    </w:p>
    <w:p>
      <w:pPr>
        <w:pStyle w:val="BodyText"/>
        <w:bidi w:val="0"/>
        <w:jc w:val="left"/>
        <w:rPr/>
      </w:pPr>
      <w:r>
        <w:rPr/>
        <w:t xml:space="preserve">The payoff is concrete. Suppose you've loved several pad-thai-and-drunken-noodle spots. A pure collaborative model can only recommend a new Thai place once enough </w:t>
      </w:r>
      <w:r>
        <w:rPr>
          <w:rStyle w:val="Emphasis"/>
        </w:rPr>
        <w:t>other</w:t>
      </w:r>
      <w:r>
        <w:rPr/>
        <w:t xml:space="preserve"> people have linked it to your crowd. KGAT can route through the shared </w:t>
      </w:r>
      <w:r>
        <w:rPr>
          <w:rStyle w:val="Strong"/>
        </w:rPr>
        <w:t>dish</w:t>
      </w:r>
      <w:r>
        <w:rPr/>
        <w:t xml:space="preserve"> and </w:t>
      </w:r>
      <w:r>
        <w:rPr>
          <w:rStyle w:val="Strong"/>
        </w:rPr>
        <w:t>cuisine</w:t>
      </w:r>
      <w:r>
        <w:rPr/>
        <w:t xml:space="preserve"> nodes and surface it immediately — even with almost no reviews. That's a direct attack on the cold-start problem.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KGAT-SAL</w:t>
      </w:r>
      <w:r>
        <w:rPr/>
        <w:t xml:space="preserve"> goes further with "self-augmented learning" (borrowed from the </w:t>
      </w:r>
      <w:r>
        <w:rPr>
          <w:rStyle w:val="Emphasis"/>
        </w:rPr>
        <w:t>Self-GNN</w:t>
      </w:r>
      <w:r>
        <w:rPr/>
        <w:t xml:space="preserve"> paper): it splits each diner's history into time periods and learns to </w:t>
      </w:r>
      <w:r>
        <w:rPr>
          <w:rStyle w:val="Strong"/>
        </w:rPr>
        <w:t>denoise</w:t>
      </w:r>
      <w:r>
        <w:rPr/>
        <w:t xml:space="preserve"> them — recognizing that tastes drift and that a one-off airport-McDonald's visit shouldn't define you. A stability weighting quietly down-weights the noisy, out-of-character visits. </w:t>
      </w:r>
    </w:p>
    <w:p>
      <w:pPr>
        <w:pStyle w:val="Heading2"/>
        <w:bidi w:val="0"/>
        <w:jc w:val="left"/>
        <w:rPr/>
      </w:pPr>
      <w:r>
        <w:rPr/>
        <w:t>Contrastive and robustness models from the literature</w:t>
      </w:r>
    </w:p>
    <w:p>
      <w:pPr>
        <w:pStyle w:val="BodyText"/>
        <w:bidi w:val="0"/>
        <w:jc w:val="left"/>
        <w:rPr/>
      </w:pPr>
      <w:r>
        <w:rPr/>
        <w:t>Recent recommender research is full of self-supervised and robustness ideas, and we reimplemented six recent papers to see whether they'd transfer to messy, real-world review data:</w:t>
      </w:r>
    </w:p>
    <w:tbl>
      <w:tblPr>
        <w:tblW w:w="187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56"/>
        <w:gridCol w:w="11026"/>
        <w:gridCol w:w="3856"/>
      </w:tblGrid>
      <w:tr>
        <w:trPr>
          <w:tblHeader w:val="true"/>
        </w:trPr>
        <w:tc>
          <w:tcPr>
            <w:tcW w:w="3856" w:type="dxa"/>
            <w:tcBorders/>
            <w:vAlign w:val="center"/>
          </w:tcPr>
          <w:p>
            <w:pPr>
              <w:pStyle w:val="TableHeading"/>
              <w:suppressLineNumbers/>
              <w:shd w:fill="F0F2F4" w:val="clear"/>
              <w:bidi w:val="0"/>
              <w:spacing w:before="0" w:after="180"/>
              <w:jc w:val="left"/>
              <w:rPr/>
            </w:pPr>
            <w:r>
              <w:rPr/>
              <w:t>Paper (idea)</w:t>
            </w:r>
          </w:p>
        </w:tc>
        <w:tc>
          <w:tcPr>
            <w:tcW w:w="11026" w:type="dxa"/>
            <w:tcBorders/>
            <w:vAlign w:val="center"/>
          </w:tcPr>
          <w:p>
            <w:pPr>
              <w:pStyle w:val="TableHeading"/>
              <w:suppressLineNumbers/>
              <w:shd w:fill="F0F2F4" w:val="clear"/>
              <w:bidi w:val="0"/>
              <w:spacing w:before="0" w:after="180"/>
              <w:jc w:val="left"/>
              <w:rPr/>
            </w:pPr>
            <w:r>
              <w:rPr/>
              <w:t>What it does</w:t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Heading"/>
              <w:suppressLineNumbers/>
              <w:shd w:fill="F0F2F4" w:val="clear"/>
              <w:bidi w:val="0"/>
              <w:spacing w:before="0" w:after="180"/>
              <w:jc w:val="left"/>
              <w:rPr/>
            </w:pPr>
            <w:r>
              <w:rPr/>
              <w:t>Our model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INFONCE-GCL</w:t>
            </w:r>
            <w:r>
              <w:rPr/>
              <w:t xml:space="preserve"> — Wang et al., 2025 [1]</w:t>
            </w:r>
          </w:p>
        </w:tc>
        <w:tc>
          <w:tcPr>
            <w:tcW w:w="1102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/>
              <w:t xml:space="preserve">Reframes contrastive learning as a positive-unlabeled problem, mining </w:t>
            </w:r>
            <w:r>
              <w:rPr>
                <w:rStyle w:val="Emphasis"/>
              </w:rPr>
              <w:t>true</w:t>
            </w:r>
            <w:r>
              <w:rPr/>
              <w:t xml:space="preserve"> positive pairs instead of trusting random ones</w:t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/>
              <w:t>IFL-GCL (and a KG-aware variant)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RaDAR</w:t>
            </w:r>
            <w:r>
              <w:rPr/>
              <w:t xml:space="preserve"> — Huang et al., 2026 [2]</w:t>
            </w:r>
          </w:p>
        </w:tc>
        <w:tc>
          <w:tcPr>
            <w:tcW w:w="1102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/>
              <w:t>Diffusion-style denoising plus asymmetric negative sampling for sparse, noisy graphs</w:t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/>
              <w:t>RaDAR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HEK-CL</w:t>
            </w:r>
            <w:r>
              <w:rPr/>
              <w:t xml:space="preserve"> — Yuan et al., 2024 [3]</w:t>
            </w:r>
          </w:p>
        </w:tc>
        <w:tc>
          <w:tcPr>
            <w:tcW w:w="1102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/>
              <w:t xml:space="preserve">Embeds nodes in </w:t>
            </w:r>
            <w:r>
              <w:rPr>
                <w:rStyle w:val="Emphasis"/>
              </w:rPr>
              <w:t>hyperbolic</w:t>
            </w:r>
            <w:r>
              <w:rPr/>
              <w:t xml:space="preserve"> (curved) space — a natural fit for hierarchy — with denoising and a robust contrastive loss</w:t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/>
              <w:t>HEK-CL (and a hyperbolic-loss SimGCL)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Self-GNN</w:t>
            </w:r>
            <w:r>
              <w:rPr/>
              <w:t xml:space="preserve"> — Liu et al., 2024 [4]</w:t>
            </w:r>
          </w:p>
        </w:tc>
        <w:tc>
          <w:tcPr>
            <w:tcW w:w="1102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/>
              <w:t>Combines short-term and long-term behavior with self-augmented denoising</w:t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/>
              <w:t>the SAL component of KGAT-SAL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HGNN-AR</w:t>
            </w:r>
            <w:r>
              <w:rPr/>
              <w:t xml:space="preserve"> — Lin et al., 2025 [5]</w:t>
            </w:r>
          </w:p>
        </w:tc>
        <w:tc>
          <w:tcPr>
            <w:tcW w:w="1102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/>
              <w:t xml:space="preserve">Adaptively </w:t>
            </w:r>
            <w:r>
              <w:rPr>
                <w:rStyle w:val="Emphasis"/>
              </w:rPr>
              <w:t>rebuilds</w:t>
            </w:r>
            <w:r>
              <w:rPr/>
              <w:t xml:space="preserve"> missing graph edges to fix connection gaps</w:t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/>
              <w:t>KG edge refinement in the hybrid</w:t>
            </w:r>
          </w:p>
        </w:tc>
      </w:tr>
      <w:tr>
        <w:trPr/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>
                <w:rStyle w:val="Strong"/>
              </w:rPr>
              <w:t>LIT-GRAPH GCN</w:t>
            </w:r>
            <w:r>
              <w:rPr/>
              <w:t xml:space="preserve"> — Gelal et al., 2025 [6]</w:t>
            </w:r>
          </w:p>
        </w:tc>
        <w:tc>
          <w:tcPr>
            <w:tcW w:w="1102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/>
              <w:t>Shows deep relational embeddings beat shallow ones on knowledge graphs</w:t>
            </w:r>
          </w:p>
        </w:tc>
        <w:tc>
          <w:tcPr>
            <w:tcW w:w="3856" w:type="dxa"/>
            <w:tcBorders/>
            <w:vAlign w:val="center"/>
          </w:tcPr>
          <w:p>
            <w:pPr>
              <w:pStyle w:val="TableContents"/>
              <w:bidi w:val="0"/>
              <w:spacing w:before="0" w:after="180"/>
              <w:jc w:val="left"/>
              <w:rPr/>
            </w:pPr>
            <w:r>
              <w:rPr/>
              <w:t>the relational rationale behind KGAT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Contrastive learning, in one sentence:</w:t>
      </w:r>
      <w:r>
        <w:rPr/>
        <w:t xml:space="preserve"> make two slightly-perturbed views of the graph and train the model to recognize that a given diner (or restaurant) is "the same" across both views. It pulls meaningful things together, pushes unrelated things apart, and — crucially for a long-tail dataset — stops a handful of mega-popular restaurants from swallowing the embedding space.</w:t>
      </w:r>
    </w:p>
    <w:p>
      <w:pPr>
        <w:pStyle w:val="Heading2"/>
        <w:bidi w:val="0"/>
        <w:jc w:val="left"/>
        <w:rPr/>
      </w:pPr>
      <w:r>
        <w:rPr/>
        <w:t>The custom hybrid: combining the knowledge graph with contrastive learning</w:t>
      </w:r>
    </w:p>
    <w:p>
      <w:pPr>
        <w:pStyle w:val="BodyText"/>
        <w:bidi w:val="0"/>
        <w:jc w:val="left"/>
        <w:rPr/>
      </w:pPr>
      <w:r>
        <w:rPr/>
        <w:t xml:space="preserve">Each family above has a different strength: KGAT-SAL brings the knowledge graph and temporal denoising; contrastive methods bring robustness and well-spread embeddings. So we built a </w:t>
      </w:r>
      <w:r>
        <w:rPr>
          <w:rStyle w:val="Strong"/>
        </w:rPr>
        <w:t>hybrid — InfoNCE-KGAT-SAL</w:t>
      </w:r>
      <w:r>
        <w:rPr/>
        <w:t xml:space="preserve"> — that runs a contrastive objective </w:t>
      </w:r>
      <w:r>
        <w:rPr>
          <w:rStyle w:val="Emphasis"/>
        </w:rPr>
        <w:t>on top of</w:t>
      </w:r>
      <w:r>
        <w:rPr/>
        <w:t xml:space="preserve"> the KGAT-SAL knowledge-graph backbone, getting both at once.</w:t>
      </w:r>
    </w:p>
    <w:p>
      <w:pPr>
        <w:pStyle w:val="BodyText"/>
        <w:bidi w:val="0"/>
        <w:jc w:val="left"/>
        <w:rPr/>
      </w:pPr>
      <w:r>
        <w:rPr/>
        <w:t>The figure below sketches the three ideas the hybrid combines — KGAT's knowledge-graph attention, SAL's temporal denoising, and InfoNCE's contrastive learning — and how they roll up into a single training objective.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20955000" cy="16592550"/>
            <wp:effectExtent l="0" t="0" r="0" b="0"/>
            <wp:docPr id="2" name="Image2" descr="Inside the models: KGAT, SAL, InfoNCE, and the hybrid that fuses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nside the models: KGAT, SAL, InfoNCE, and the hybrid that fuses the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0" cy="165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Getting it to train well took one nice debugging story. A pure contrastive objective </w:t>
      </w:r>
      <w:r>
        <w:rPr>
          <w:rStyle w:val="Strong"/>
        </w:rPr>
        <w:t>plateaued</w:t>
      </w:r>
      <w:r>
        <w:rPr/>
        <w:t xml:space="preserve">: once it had pulled every matching diner-restaurant pair together, the remaining negatives were all easy, produced almost no gradient, and learning stalled. Three changes fixed it: keep a </w:t>
      </w:r>
      <w:r>
        <w:rPr>
          <w:rStyle w:val="Strong"/>
        </w:rPr>
        <w:t>ranking objective</w:t>
      </w:r>
      <w:r>
        <w:rPr/>
        <w:t xml:space="preserve"> running alongside the contrastive one so there's always a useful signal; </w:t>
      </w:r>
      <w:r>
        <w:rPr>
          <w:rStyle w:val="Strong"/>
        </w:rPr>
        <w:t>mine hard negatives</w:t>
      </w:r>
      <w:r>
        <w:rPr/>
        <w:t xml:space="preserve"> (restaurants that look similar to a diner's favorites but that they didn't choose — the genuinely informative mistakes); and gradually </w:t>
      </w:r>
      <w:r>
        <w:rPr>
          <w:rStyle w:val="Strong"/>
        </w:rPr>
        <w:t>sharpen</w:t>
      </w:r>
      <w:r>
        <w:rPr/>
        <w:t xml:space="preserve"> the contrastive objective over training rather than starting it at full strength.</w:t>
      </w:r>
    </w:p>
    <w:p>
      <w:pPr>
        <w:pStyle w:val="BodyText"/>
        <w:bidi w:val="0"/>
        <w:jc w:val="left"/>
        <w:rPr/>
      </w:pPr>
      <w:r>
        <w:rPr/>
        <w:t>Whether all this machinery actually paid off is Part 4's subject — and the answer is sobering: the gaps between these models turned out to be small, and a simple geographic re-ranking outperformed every one of them.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Which architectures fit this problem?</w:t>
      </w:r>
    </w:p>
    <w:p>
      <w:pPr>
        <w:pStyle w:val="BodyText"/>
        <w:bidi w:val="0"/>
        <w:jc w:val="left"/>
        <w:rPr/>
      </w:pPr>
      <w:r>
        <w:rPr/>
        <w:t xml:space="preserve">Benchmarks aside, it's worth asking </w:t>
      </w:r>
      <w:r>
        <w:rPr>
          <w:rStyle w:val="Emphasis"/>
        </w:rPr>
        <w:t>why</w:t>
      </w:r>
      <w:r>
        <w:rPr/>
        <w:t xml:space="preserve"> some families suit restaurant recommendation and others don't — because this scenario has a particular shape. The signal is </w:t>
      </w:r>
      <w:r>
        <w:rPr>
          <w:rStyle w:val="Strong"/>
        </w:rPr>
        <w:t>extremely sparse</w:t>
      </w:r>
      <w:r>
        <w:rPr/>
        <w:t xml:space="preserve"> (2.5M reviews spread over ~2M diners and ~19K restaurants, with a long tail of one-or-two-review users and restaurants), the feedback is </w:t>
      </w:r>
      <w:r>
        <w:rPr>
          <w:rStyle w:val="Strong"/>
        </w:rPr>
        <w:t>implicit and noisy</w:t>
      </w:r>
      <w:r>
        <w:rPr/>
        <w:t xml:space="preserve"> (a visit isn't an endorsement; some visits are one-off or occasion-driven), and — the theme of Part 4 — behavior is </w:t>
      </w:r>
      <w:r>
        <w:rPr>
          <w:rStyle w:val="Strong"/>
        </w:rPr>
        <w:t>intensely local.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Matrix factorization and neural CF</w:t>
      </w:r>
      <w:r>
        <w:rPr/>
        <w:t xml:space="preserve"> are honest baselines but structurally limited here: with no side information and no message passing, they have nothing to fall back on for a restaurant with five reviews. They drown in the sparsity.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LightGCN / UltraGCN</w:t>
      </w:r>
      <w:r>
        <w:rPr/>
        <w:t xml:space="preserve"> help precisely </w:t>
      </w:r>
      <w:r>
        <w:rPr>
          <w:rStyle w:val="Emphasis"/>
        </w:rPr>
        <w:t>because</w:t>
      </w:r>
      <w:r>
        <w:rPr/>
        <w:t xml:space="preserve"> propagation lets a sparse node borrow signal from its neighbors — a real fit for this data. But pure collaborative filtering still can't speak to a brand-new restaurant, and it tends to </w:t>
      </w:r>
      <w:r>
        <w:rPr>
          <w:rStyle w:val="Strong"/>
        </w:rPr>
        <w:t>amplify popularity bias</w:t>
      </w:r>
      <w:r>
        <w:rPr/>
        <w:t xml:space="preserve"> (a problem we measure in Part 4).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Contrastive methods (SimGCL, InfoNCE, IFL-GCL)</w:t>
      </w:r>
      <w:r>
        <w:rPr/>
        <w:t xml:space="preserve"> are, in principle, well-suited to a long-tail catalog: spreading embeddings out counters the pull of mega-popular items. In practice they were </w:t>
      </w:r>
      <w:r>
        <w:rPr>
          <w:rStyle w:val="Strong"/>
        </w:rPr>
        <w:t>finicky</w:t>
      </w:r>
      <w:r>
        <w:rPr/>
        <w:t xml:space="preserve"> — pure InfoNCE plateaued and some variants collapsed — so the benefit came only with careful tuning.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Hyperbolic embeddings (HEK-CL)</w:t>
      </w:r>
      <w:r>
        <w:rPr/>
        <w:t xml:space="preserve"> are theoretically appealing for hierarchical structure (cuisines contain sub-cuisines contain dishes), but were the hardest to train and underperformed on our messy real-world data — an elegant idea that didn't pay off here.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Disentangled intent (DGCF)</w:t>
      </w:r>
      <w:r>
        <w:rPr/>
        <w:t xml:space="preserve"> captures something true — a diner has a lunch self and a date-night self — but separating those intents from sparse implicit signals proved hard, and the payoff was modest.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Knowledge-graph models (KGAT)</w:t>
      </w:r>
      <w:r>
        <w:rPr/>
        <w:t xml:space="preserve"> are the best conceptual fit, and the leaderboard agreed. The dish/cuisine/neighborhood side information directly attacks the cold-start problem: a new ramen shop can be recommended through the </w:t>
      </w:r>
      <w:r>
        <w:rPr>
          <w:rStyle w:val="Emphasis"/>
        </w:rPr>
        <w:t>dishes it serves</w:t>
      </w:r>
      <w:r>
        <w:rPr/>
        <w:t xml:space="preserve">, before anyone has reviewed it. That's the one thing pure CF cannot do, and it's exactly what this long-tail, high-turnover domain needs. </w:t>
      </w:r>
      <w:r>
        <w:rPr>
          <w:rStyle w:val="Strong"/>
        </w:rPr>
        <w:t>KGAT-SAL</w:t>
      </w:r>
      <w:r>
        <w:rPr/>
        <w:t xml:space="preserve">'s temporal denoising further targets the noisy, occasion-driven visits. </w:t>
      </w:r>
    </w:p>
    <w:p>
      <w:pPr>
        <w:pStyle w:val="BodyText"/>
        <w:bidi w:val="0"/>
        <w:jc w:val="left"/>
        <w:rPr/>
      </w:pPr>
      <w:r>
        <w:rPr/>
        <w:t xml:space="preserve">The meta-lesson sets up Part 4: the architectures that helped most were the ones that </w:t>
      </w:r>
      <w:r>
        <w:rPr>
          <w:rStyle w:val="Strong"/>
        </w:rPr>
        <w:t>injected structure the interactions alone couldn't provide</w:t>
      </w:r>
      <w:r>
        <w:rPr/>
        <w:t xml:space="preserve"> (the knowledge graph). And even the best of them was about to be outdone by something none of them modeled — </w:t>
      </w:r>
      <w:r>
        <w:rPr>
          <w:rStyle w:val="Emphasis"/>
        </w:rPr>
        <w:t>where the diner actually is.</w:t>
      </w:r>
    </w:p>
    <w:p>
      <w:pPr>
        <w:pStyle w:val="Heading2"/>
        <w:bidi w:val="0"/>
        <w:jc w:val="left"/>
        <w:rPr/>
      </w:pPr>
      <w:r>
        <w:rPr/>
        <w:t>Next steps</w:t>
      </w:r>
    </w:p>
    <w:p>
      <w:pPr>
        <w:pStyle w:val="BodyText"/>
        <w:bidi w:val="0"/>
        <w:jc w:val="left"/>
        <w:rPr/>
      </w:pPr>
      <w:r>
        <w:rPr/>
        <w:t xml:space="preserve">We have more than a dozen trained models, from a humble matrix factorization to a knowledge-graph-plus-contrastive hybrid. </w:t>
      </w:r>
      <w:r>
        <w:rPr>
          <w:rStyle w:val="Strong"/>
        </w:rPr>
        <w:t>Part 4</w:t>
      </w:r>
      <w:r>
        <w:rPr/>
        <w:t xml:space="preserve"> puts numbers on all of them and develops the central finding of the series: </w:t>
      </w:r>
      <w:r>
        <w:rPr>
          <w:rStyle w:val="Strong"/>
        </w:rPr>
        <w:t>geography beats architecture.</w:t>
      </w:r>
      <w:r>
        <w:rPr/>
        <w:t xml:space="preserve"> A single spatial re-ranking step lifts precision sharply across every model, outweighing the differences between them. We'll also look at </w:t>
      </w:r>
      <w:r>
        <w:rPr>
          <w:rStyle w:val="Emphasis"/>
        </w:rPr>
        <w:t>where</w:t>
      </w:r>
      <w:r>
        <w:rPr/>
        <w:t xml:space="preserve"> the recommender works, </w:t>
      </w:r>
      <w:r>
        <w:rPr>
          <w:rStyle w:val="Emphasis"/>
        </w:rPr>
        <w:t>who</w:t>
      </w:r>
      <w:r>
        <w:rPr/>
        <w:t xml:space="preserve"> it works for, and the popularity bias in its recommendations.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References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Z. Wang, B. Xu, Y. Yuan, et al. </w:t>
      </w:r>
      <w:r>
        <w:rPr>
          <w:rStyle w:val="Emphasis"/>
        </w:rPr>
        <w:t>InfoNCE is a Free Lunch for Semantically Guided Graph Contrastive Learning.</w:t>
      </w:r>
      <w:r>
        <w:rPr/>
        <w:t xml:space="preserve"> arXiv:2505.06282, 2025. </w:t>
      </w:r>
      <w:hyperlink r:id="rId6">
        <w:r>
          <w:rPr>
            <w:rStyle w:val="Hyperlink"/>
          </w:rPr>
          <w:t>arxiv.org/abs/2505.06282</w:t>
        </w:r>
      </w:hyperlink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Y. Huang, J. Chen, S. Zhang, Z. Cao. </w:t>
      </w:r>
      <w:r>
        <w:rPr>
          <w:rStyle w:val="Emphasis"/>
        </w:rPr>
        <w:t>RaDAR: Relation-aware Diffusion-Asymmetric Graph Contrastive Learning for Recommendation.</w:t>
      </w:r>
      <w:r>
        <w:rPr/>
        <w:t xml:space="preserve"> arXiv:2603.16800, 2026. </w:t>
      </w:r>
      <w:hyperlink r:id="rId7">
        <w:r>
          <w:rPr>
            <w:rStyle w:val="Hyperlink"/>
          </w:rPr>
          <w:t>arxiv.org/abs/2603.16800</w:t>
        </w:r>
      </w:hyperlink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M. Yuan, Z. Zhang, W. Chen, C. Zhao, T. Cai, D. Wang, R. Liu, F. Zhuang. </w:t>
      </w:r>
      <w:r>
        <w:rPr>
          <w:rStyle w:val="Emphasis"/>
        </w:rPr>
        <w:t>HEK-CL: Hierarchical Enhanced Knowledge-Aware Contrastive Learning for Recommendation.</w:t>
      </w:r>
      <w:r>
        <w:rPr/>
        <w:t xml:space="preserve"> Beihang University, 2024.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Y. Liu, L. Xia, C. Huang. </w:t>
      </w:r>
      <w:r>
        <w:rPr>
          <w:rStyle w:val="Emphasis"/>
        </w:rPr>
        <w:t>SelfGNN: Self-Supervised Graph Neural Networks for Sequential Recommendation.</w:t>
      </w:r>
      <w:r>
        <w:rPr/>
        <w:t xml:space="preserve"> SIGIR, 2024.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W. Lin, Z. Chen, Y. Chen, S. Wang. </w:t>
      </w:r>
      <w:r>
        <w:rPr>
          <w:rStyle w:val="Emphasis"/>
        </w:rPr>
        <w:t>Heterogeneous Graph Neural Network with Adaptive Relation Reconstruction.</w:t>
      </w:r>
      <w:r>
        <w:rPr/>
        <w:t xml:space="preserve"> Neural Networks 187:107313, 2025.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N. Gelal, C. Snow, K. M. Jagodnik, A. Rios, H. Küçük McGinty. </w:t>
      </w:r>
      <w:r>
        <w:rPr>
          <w:rStyle w:val="Emphasis"/>
        </w:rPr>
        <w:t>LIT-GRAPH: Evaluating Deep vs. Shallow Graph Embeddings for High-Quality Text Recommendation in Domain-Specific Knowledge Graphs.</w:t>
      </w:r>
      <w:r>
        <w:rPr/>
        <w:t xml:space="preserve"> Kansas State University, 2025.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Appendix: the canonical-data note</w:t>
      </w:r>
    </w:p>
    <w:p>
      <w:pPr>
        <w:pStyle w:val="BodyText"/>
        <w:bidi w:val="0"/>
        <w:spacing w:before="0" w:after="180"/>
        <w:jc w:val="left"/>
        <w:rPr/>
      </w:pPr>
      <w:r>
        <w:rPr/>
        <w:t xml:space="preserve">All model numbers in this series come from the </w:t>
      </w:r>
      <w:r>
        <w:rPr>
          <w:rStyle w:val="Strong"/>
        </w:rPr>
        <w:t>unextended</w:t>
      </w:r>
      <w:r>
        <w:rPr/>
        <w:t xml:space="preserve"> dataset (the graph from Part 1, embedding dimension 2048). See </w:t>
      </w:r>
      <w:r>
        <w:rPr>
          <w:rStyle w:val="SourceText"/>
        </w:rPr>
        <w:t>RECONCILIATION.md</w:t>
      </w:r>
      <w:r>
        <w:rPr/>
        <w:t xml:space="preserve"> for provenance.</w:t>
      </w:r>
    </w:p>
    <w:sectPr>
      <w:type w:val="nextPage"/>
      <w:pgSz w:w="12240" w:h="15840"/>
      <w:pgMar w:left="1247" w:right="1247" w:gutter="0" w:header="0" w:top="1247" w:footer="0" w:bottom="1247"/>
      <w:pgNumType w:fmt="decimal"/>
      <w:formProt w:val="false"/>
      <w:textDirection w:val="lrTb"/>
      <w:docGrid w:type="default" w:linePitch="600" w:charSpace="348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Calibri;Arial;sans-serif" w:hAnsi="Calibri;Arial;sans-serif" w:eastAsia="Calibri;Arial;sans-serif" w:cs="Calibri;Arial;sans-serif"/>
      <w:color w:val="1A1A1A"/>
      <w:sz w:val="23"/>
      <w:szCs w:val="23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rFonts w:ascii="Noto Sans" w:hAnsi="Noto Sans"/>
      <w:b/>
      <w:bCs/>
      <w:sz w:val="46"/>
      <w:szCs w:val="46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DDDDDD"/>
      </w:pBdr>
      <w:spacing w:before="400" w:after="120"/>
      <w:ind w:left="400" w:right="400"/>
      <w:outlineLvl w:val="1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80" w:after="80"/>
      <w:ind w:left="280" w:right="280"/>
      <w:outlineLvl w:val="2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20"/>
      <w:szCs w:val="20"/>
      <w:shd w:fill="F4F4F4" w:val="clear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>
      <w:sz w:val="21"/>
      <w:szCs w:val="21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8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18" w:space="12" w:color="BBBBBB"/>
      </w:pBdr>
      <w:spacing w:before="180" w:after="180"/>
      <w:ind w:hanging="0" w:left="180" w:right="180"/>
    </w:pPr>
    <w:rPr>
      <w:color w:val="555555"/>
    </w:rPr>
  </w:style>
  <w:style w:type="paragraph" w:styleId="TableHeading">
    <w:name w:val="Table Heading"/>
    <w:basedOn w:val="TableContents"/>
    <w:qFormat/>
    <w:pPr>
      <w:suppressLineNumbers/>
      <w:shd w:fill="F0F2F4" w:val="clear"/>
      <w:jc w:val="left"/>
    </w:pPr>
    <w:rPr>
      <w:b/>
      <w:bCs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ARTICLE_PART1_DATA_COLLECTION.md" TargetMode="External"/><Relationship Id="rId3" Type="http://schemas.openxmlformats.org/officeDocument/2006/relationships/hyperlink" Target="ARTICLE_PART2_FEATURE_ENGINEERING.md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arxiv.org/abs/2505.06282" TargetMode="External"/><Relationship Id="rId7" Type="http://schemas.openxmlformats.org/officeDocument/2006/relationships/hyperlink" Target="https://arxiv.org/abs/2603.16800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