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of LLM-augmented graph recommendation and proximity reranking</w:t>
      </w:r>
    </w:p>
    <w:p>
      <w:pPr>
        <w:pStyle w:val="Heading1"/>
      </w:pPr>
      <w:r>
        <w:t>Abstract</w:t>
      </w:r>
    </w:p>
    <w:p>
      <w:r>
        <w:t>We compare a feature-aware Two-Tower reference, LightGCN, and KGAT-SAL under conventional and LLM-augmented feature conditions. The experiment uses a chronological validation/test protocol, three seeds, and full-catalog ranking over 61,204 interacted restaurants. LLM-derived semantics provide their largest relative gain to KGAT-SAL, the architecture with the richest typed graph. A separately tuned proximity reranker produces a still larger improvement. Segment and rating-aware diagnostics identify where those aggregate metrics do and do not translate into uniform behavior.</w:t>
      </w:r>
    </w:p>
    <w:p>
      <w:pPr>
        <w:pStyle w:val="Heading1"/>
      </w:pPr>
      <w:r>
        <w:t>Experimental design and controlled comparison</w:t>
      </w:r>
    </w:p>
    <w:p>
      <w:r>
        <w:t>Every model uses the same 772,170 training interactions, 156,261 validation targets, and 156,261 test targets. Models train for 300 epochs with 1,024-dimensional embeddings under seeds 42, 43, and 44. LightGCN uses three propagation layers. KGAT-SAL uses four collaborative-filtering layers, two knowledge-graph layers, three temporal periods, training-only dish edges, and spatial edges between each CBG and its five nearest CBGs. Validation NDCG@10 selects checkpoints.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</w:trPr>
        <w:tc>
          <w:tcPr>
            <w:tcW w:type="dxa" w:w="2033"/>
            <w:vAlign w:val="center"/>
            <w:shd w:fill="3977A8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2033"/>
            <w:vAlign w:val="center"/>
            <w:shd w:fill="3977A8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Features</w:t>
            </w:r>
          </w:p>
        </w:tc>
        <w:tc>
          <w:tcPr>
            <w:tcW w:type="dxa" w:w="2033"/>
            <w:vAlign w:val="center"/>
            <w:shd w:fill="3977A8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Hit@10</w:t>
            </w:r>
          </w:p>
        </w:tc>
        <w:tc>
          <w:tcPr>
            <w:tcW w:type="dxa" w:w="2033"/>
            <w:vAlign w:val="center"/>
            <w:shd w:fill="3977A8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NDCG@10</w:t>
            </w:r>
          </w:p>
        </w:tc>
        <w:tc>
          <w:tcPr>
            <w:tcW w:type="dxa" w:w="2033"/>
            <w:vAlign w:val="center"/>
            <w:shd w:fill="3977A8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Relative NDCG gain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Two-Tower</w:t>
            </w:r>
          </w:p>
        </w:tc>
        <w:tc>
          <w:tcPr>
            <w:tcW w:type="dxa" w:w="203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Conventional</w:t>
            </w:r>
          </w:p>
        </w:tc>
        <w:tc>
          <w:tcPr>
            <w:tcW w:type="dxa" w:w="203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0.01634 ± 0.00015</w:t>
            </w:r>
          </w:p>
        </w:tc>
        <w:tc>
          <w:tcPr>
            <w:tcW w:type="dxa" w:w="203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0.00785 ± 0.00010</w:t>
            </w:r>
          </w:p>
        </w:tc>
        <w:tc>
          <w:tcPr>
            <w:tcW w:type="dxa" w:w="203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03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Two-Tower</w:t>
            </w:r>
          </w:p>
        </w:tc>
        <w:tc>
          <w:tcPr>
            <w:tcW w:type="dxa" w:w="203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+ LLM</w:t>
            </w:r>
          </w:p>
        </w:tc>
        <w:tc>
          <w:tcPr>
            <w:tcW w:type="dxa" w:w="203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0.01649 ± 0.00015</w:t>
            </w:r>
          </w:p>
        </w:tc>
        <w:tc>
          <w:tcPr>
            <w:tcW w:type="dxa" w:w="203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0.00796 ± 0.00007</w:t>
            </w:r>
          </w:p>
        </w:tc>
        <w:tc>
          <w:tcPr>
            <w:tcW w:type="dxa" w:w="203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+1.4%</w:t>
            </w:r>
          </w:p>
        </w:tc>
      </w:tr>
      <w:tr>
        <w:trPr>
          <w:cantSplit/>
        </w:trPr>
        <w:tc>
          <w:tcPr>
            <w:tcW w:type="dxa" w:w="203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LightGCN</w:t>
            </w:r>
          </w:p>
        </w:tc>
        <w:tc>
          <w:tcPr>
            <w:tcW w:type="dxa" w:w="203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Conventional</w:t>
            </w:r>
          </w:p>
        </w:tc>
        <w:tc>
          <w:tcPr>
            <w:tcW w:type="dxa" w:w="203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0.02556 ± 0.00035</w:t>
            </w:r>
          </w:p>
        </w:tc>
        <w:tc>
          <w:tcPr>
            <w:tcW w:type="dxa" w:w="203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0.01274 ± 0.00007</w:t>
            </w:r>
          </w:p>
        </w:tc>
        <w:tc>
          <w:tcPr>
            <w:tcW w:type="dxa" w:w="203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03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LightGCN</w:t>
            </w:r>
          </w:p>
        </w:tc>
        <w:tc>
          <w:tcPr>
            <w:tcW w:type="dxa" w:w="203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+ LLM</w:t>
            </w:r>
          </w:p>
        </w:tc>
        <w:tc>
          <w:tcPr>
            <w:tcW w:type="dxa" w:w="203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0.02677 ± 0.00005</w:t>
            </w:r>
          </w:p>
        </w:tc>
        <w:tc>
          <w:tcPr>
            <w:tcW w:type="dxa" w:w="203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0.01338 ± 0.00008</w:t>
            </w:r>
          </w:p>
        </w:tc>
        <w:tc>
          <w:tcPr>
            <w:tcW w:type="dxa" w:w="203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+5.0%</w:t>
            </w:r>
          </w:p>
        </w:tc>
      </w:tr>
      <w:tr>
        <w:trPr>
          <w:cantSplit/>
        </w:trPr>
        <w:tc>
          <w:tcPr>
            <w:tcW w:type="dxa" w:w="203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KGAT-SAL</w:t>
            </w:r>
          </w:p>
        </w:tc>
        <w:tc>
          <w:tcPr>
            <w:tcW w:type="dxa" w:w="203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Conventional</w:t>
            </w:r>
          </w:p>
        </w:tc>
        <w:tc>
          <w:tcPr>
            <w:tcW w:type="dxa" w:w="203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0.02862 ± 0.00026</w:t>
            </w:r>
          </w:p>
        </w:tc>
        <w:tc>
          <w:tcPr>
            <w:tcW w:type="dxa" w:w="203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0.01437 ± 0.00018</w:t>
            </w:r>
          </w:p>
        </w:tc>
        <w:tc>
          <w:tcPr>
            <w:tcW w:type="dxa" w:w="203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03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KGAT-SAL</w:t>
            </w:r>
          </w:p>
        </w:tc>
        <w:tc>
          <w:tcPr>
            <w:tcW w:type="dxa" w:w="203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+ LLM</w:t>
            </w:r>
          </w:p>
        </w:tc>
        <w:tc>
          <w:tcPr>
            <w:tcW w:type="dxa" w:w="203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0.03200 ± 0.00059</w:t>
            </w:r>
          </w:p>
        </w:tc>
        <w:tc>
          <w:tcPr>
            <w:tcW w:type="dxa" w:w="203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0.01614 ± 0.00029</w:t>
            </w:r>
          </w:p>
        </w:tc>
        <w:tc>
          <w:tcPr>
            <w:tcW w:type="dxa" w:w="203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+12.3%</w:t>
            </w:r>
          </w:p>
        </w:tc>
      </w:tr>
    </w:tbl>
    <w:p>
      <w:pPr>
        <w:spacing w:after="0"/>
      </w:pP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2585705"/>
            <wp:docPr id="1" name="Picture 1" descr="Model and feature comparis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ation_model_llm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85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1. LLM features improve KGAT-SAL more than LightGCN or the Two-Tower reference. Values are means over three seeds; uncertainty is sample standard deviation.</w:t>
      </w:r>
    </w:p>
    <w:p>
      <w:r>
        <w:t>The result establishes an architecture–feature interaction, not a causal account of a particular message-passing path. The same augmented contract changes Two-Tower NDCG@10 by 1.4%, LightGCN by 5.0%, and KGAT-SAL by 12.3%. A focused structured-only versus embedding-only ablation would be required to attribute the gain to one LLM-derived component.</w:t>
      </w:r>
    </w:p>
    <w:p>
      <w:pPr>
        <w:pStyle w:val="Heading1"/>
      </w:pPr>
      <w:r>
        <w:t>Proximity reranking</w:t>
      </w:r>
    </w:p>
    <w:p>
      <w:r>
        <w:t>Spatial CBG edges allow KGAT-SAL to propagate information among neighboring areas, but they do not force the final top ten to remain near a diner’s observed activity. We therefore compute the median coordinate of each user’s training history and blend a distance-decay term into the model’s top 100 candidates. Alpha, bandwidth, and candidate depth are selected using validation predictions only.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3977A8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Proximity setting</w:t>
            </w:r>
          </w:p>
        </w:tc>
        <w:tc>
          <w:tcPr>
            <w:tcW w:type="dxa" w:w="5083"/>
            <w:vAlign w:val="center"/>
            <w:shd w:fill="3977A8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Distance weight</w:t>
            </w:r>
          </w:p>
        </w:tc>
        <w:tc>
          <w:tcPr>
            <w:tcW w:type="dxa" w:w="508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0.7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Exponential bandwidth</w:t>
            </w:r>
          </w:p>
        </w:tc>
        <w:tc>
          <w:tcPr>
            <w:tcW w:type="dxa" w:w="508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5 km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Candidate depth</w:t>
            </w:r>
          </w:p>
        </w:tc>
        <w:tc>
          <w:tcPr>
            <w:tcW w:type="dxa" w:w="508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100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3977A8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Evaluation stage</w:t>
            </w:r>
          </w:p>
        </w:tc>
        <w:tc>
          <w:tcPr>
            <w:tcW w:type="dxa" w:w="3389"/>
            <w:vAlign w:val="center"/>
            <w:shd w:fill="3977A8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Hit@10</w:t>
            </w:r>
          </w:p>
        </w:tc>
        <w:tc>
          <w:tcPr>
            <w:tcW w:type="dxa" w:w="3389"/>
            <w:vAlign w:val="center"/>
            <w:shd w:fill="3977A8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NDCG@10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KGAT-SAL + LLM</w:t>
            </w:r>
          </w:p>
        </w:tc>
        <w:tc>
          <w:tcPr>
            <w:tcW w:type="dxa" w:w="3389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0.03200 ± 0.00059</w:t>
            </w:r>
          </w:p>
        </w:tc>
        <w:tc>
          <w:tcPr>
            <w:tcW w:type="dxa" w:w="3389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0.01614 ± 0.00029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+ proximity reranking</w:t>
            </w:r>
          </w:p>
        </w:tc>
        <w:tc>
          <w:tcPr>
            <w:tcW w:type="dxa" w:w="3389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0.04803 ± 0.00038</w:t>
            </w:r>
          </w:p>
        </w:tc>
        <w:tc>
          <w:tcPr>
            <w:tcW w:type="dxa" w:w="3389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0.02378 ± 0.00018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Relative change</w:t>
            </w:r>
          </w:p>
        </w:tc>
        <w:tc>
          <w:tcPr>
            <w:tcW w:type="dxa" w:w="3389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+50.1%</w:t>
            </w:r>
          </w:p>
        </w:tc>
        <w:tc>
          <w:tcPr>
            <w:tcW w:type="dxa" w:w="3389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+47.3%</w:t>
            </w:r>
          </w:p>
        </w:tc>
      </w:tr>
    </w:tbl>
    <w:p>
      <w:pPr>
        <w:spacing w:after="0"/>
      </w:pP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2962458"/>
            <wp:docPr id="2" name="Picture 2" descr="Proximity uplif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ation_proximity_uplif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62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color w:val="667085"/>
          <w:sz w:val="17"/>
        </w:rPr>
        <w:t>Figure 2. Explicit distance improves both ranking metrics after graph-based candidate generation.</w:t>
      </w:r>
    </w:p>
    <w:p>
      <w:pPr>
        <w:pStyle w:val="Heading1"/>
      </w:pPr>
      <w:r>
        <w:t>Subgroup performance analysis</w:t>
      </w:r>
    </w:p>
    <w:p>
      <w:r>
        <w:t>The final pipeline is similar across the displayed inferred demographic groups. Female and male Hit@10 values are 0.04859 and 0.04954; corresponding NDCG@10 values are 0.02385 and 0.02456. Across the four reported inferred race/ethnicity groups, Hit@10 ranges from 0.04663 to 0.04874. Because these labels are probabilistic name-inference outputs, this is a descriptive diagnostic rather than a fairness certification.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4695914"/>
            <wp:docPr id="3" name="Picture 3" descr="Final-model demographic performa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rness_perform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95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3. Hit@10 and NDCG@10 by inferred demographic group. Unknown labels are omitted; error bars show variation over three seeds.</w:t>
      </w:r>
    </w:p>
    <w:p>
      <w:r>
        <w:t>Cuisine differences are larger. Among the fourteen most frequent supported target cuisines, Hit@10 ranges from 0.02896 for Mediterranean &amp; Middle Eastern restaurants to 0.07220 for Fast Food &amp; Burgers. Catalogue frequency, chain repetition, interaction density, geographic concentration, and taxonomy breadth are plausible contributors, but the segmented metric alone cannot separate them.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269923"/>
            <wp:docPr id="4" name="Picture 4" descr="Final-model performance by cuis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ment_perform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69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color w:val="667085"/>
          <w:sz w:val="17"/>
        </w:rPr>
        <w:t>Figure 4. Metrics grouped by the corrected cuisine of the held-out restaurant.</w:t>
      </w:r>
    </w:p>
    <w:p>
      <w:pPr>
        <w:pStyle w:val="Heading1"/>
      </w:pPr>
      <w:r>
        <w:t>Rating-aware evaluation of retrieved targets</w:t>
      </w:r>
    </w:p>
    <w:p>
      <w:r>
        <w:t>The primary objective treats a visit as relevant regardless of its star rating. A rating-aware diagnostic therefore classifies four- and five-star targets as liked, three-star targets as neutral, and one- and two-star targets as disliked.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vAlign w:val="center"/>
            <w:shd w:fill="3977A8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Diagnostic after proximity</w:t>
            </w:r>
          </w:p>
        </w:tc>
        <w:tc>
          <w:tcPr>
            <w:tcW w:type="dxa" w:w="5083"/>
            <w:vAlign w:val="center"/>
            <w:shd w:fill="3977A8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Positive Hit@10</w:t>
            </w:r>
          </w:p>
        </w:tc>
        <w:tc>
          <w:tcPr>
            <w:tcW w:type="dxa" w:w="508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0.03764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Neutral Hit@10</w:t>
            </w:r>
          </w:p>
        </w:tc>
        <w:tc>
          <w:tcPr>
            <w:tcW w:type="dxa" w:w="508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0.00439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Disliked-target Hit@10</w:t>
            </w:r>
          </w:p>
        </w:tc>
        <w:tc>
          <w:tcPr>
            <w:tcW w:type="dxa" w:w="508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0.00600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Liked share among hits</w:t>
            </w:r>
          </w:p>
        </w:tc>
        <w:tc>
          <w:tcPr>
            <w:tcW w:type="dxa" w:w="508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78.4%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Liked share among all targets</w:t>
            </w:r>
          </w:p>
        </w:tc>
        <w:tc>
          <w:tcPr>
            <w:tcW w:type="dxa" w:w="508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80.1%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Disliked share among hits</w:t>
            </w:r>
          </w:p>
        </w:tc>
        <w:tc>
          <w:tcPr>
            <w:tcW w:type="dxa" w:w="508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12.5%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Disliked share among all targets</w:t>
            </w:r>
          </w:p>
        </w:tc>
        <w:tc>
          <w:tcPr>
            <w:tcW w:type="dxa" w:w="5083"/>
            <w:vAlign w:val="center"/>
            <w:shd w:fill="FFFFFF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11.4%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Rating-signed discounted utility@10</w:t>
            </w:r>
          </w:p>
        </w:tc>
        <w:tc>
          <w:tcPr>
            <w:tcW w:type="dxa" w:w="5083"/>
            <w:vAlign w:val="center"/>
            <w:shd w:fill="EEF2F6"/>
            <w:tcBorders>
              <w:top w:val="single" w:sz="4" w:color="D9DEE5"/>
              <w:left w:val="single" w:sz="4" w:color="D9DEE5"/>
              <w:bottom w:val="single" w:sz="4" w:color="D9DEE5"/>
              <w:right w:val="single" w:sz="4" w:color="D9DEE5"/>
              <w:insideH w:val="single" w:sz="4" w:color="D9DEE5"/>
              <w:insideV w:val="single" w:sz="4" w:color="D9DEE5"/>
            </w:tcBorders>
          </w:tcPr>
          <w:p>
            <w:pPr>
              <w:keepNext w:val="0"/>
              <w:spacing w:after="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sz w:val="18"/>
              </w:rPr>
              <w:t>0.01553</w:t>
            </w:r>
          </w:p>
        </w:tc>
      </w:tr>
    </w:tbl>
    <w:p>
      <w:pPr>
        <w:spacing w:after="0"/>
      </w:pP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119960"/>
            <wp:docPr id="5" name="Picture 5" descr="Rating-aware hit decomposi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ation_rating_aware_hi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1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5. Recovered visits are decomposed by held-out rating. The final model improves visit retrieval but does not preferentially recover more positive experiences than the test population.</w:t>
      </w:r>
    </w:p>
    <w:p>
      <w:r>
        <w:t>The architecture comparison remains valid because all conditions share the same implicit objective. Product interpretation is narrower: if the target is satisfaction rather than revisitation, future work should threshold relevance, weight interactions by sentiment, or train against a utility-aware ranking loss.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7085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7085"/>
        <w:sz w:val="16"/>
      </w:rPr>
      <w:t>Evaluation of LLM-augmented graph recommendation and proximity reranking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rial" w:hAnsi="Arial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632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3977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6323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Evaluation of LLM-augmented graph recommendation and proximity reranking</dc:title>
  <dc:subject>Technical restaurant-recommendation study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