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of a post-ranking GraphRAG explanation layer</w:t>
      </w:r>
    </w:p>
    <w:p>
      <w:pPr>
        <w:pStyle w:val="Heading1"/>
      </w:pPr>
      <w:r>
        <w:t>Abstract</w:t>
      </w:r>
    </w:p>
    <w:p>
      <w:r>
        <w:t>The final recommender separates selection from explanation. KGAT-SAL scores the restaurant catalogue, a frozen proximity function reranks the top 100 candidates, and GraphRAG operates only after a restaurant has been selected. It retrieves a compact, training-safe evidence subgraph and asks a local LLM to produce a cited explanation. This design provides traceability without claiming that generated prose is a causal account of the GNN’s internal computation.</w:t>
      </w:r>
    </w:p>
    <w:p>
      <w:pPr>
        <w:pStyle w:val="Heading1"/>
      </w:pPr>
      <w:r>
        <w:t>Post-ranking explanation architecture</w:t>
      </w:r>
    </w:p>
    <w:p>
      <w:r>
        <w:t>The retrieved subgraph may include:</w:t>
      </w:r>
    </w:p>
    <w:p>
      <w:pPr>
        <w:pStyle w:val="ListBullet"/>
      </w:pPr>
      <w:r>
        <w:t>restaurants in the diner’s training history and their observed ratings;</w:t>
      </w:r>
    </w:p>
    <w:p>
      <w:pPr>
        <w:pStyle w:val="ListBullet"/>
      </w:pPr>
      <w:r>
        <w:t>user attributes inferred exclusively from training reviews;</w:t>
      </w:r>
    </w:p>
    <w:p>
      <w:pPr>
        <w:pStyle w:val="ListBullet"/>
      </w:pPr>
      <w:r>
        <w:t>metadata and supported structured attributes for the selected restaurant;</w:t>
      </w:r>
    </w:p>
    <w:p>
      <w:pPr>
        <w:pStyle w:val="ListBullet"/>
      </w:pPr>
      <w:r>
        <w:t>cuisine, dish, temporal, and CBG relations; and</w:t>
      </w:r>
    </w:p>
    <w:p>
      <w:pPr>
        <w:pStyle w:val="ListBullet"/>
      </w:pPr>
      <w:r>
        <w:t>short restaurant-review evidence whose review IDs do not occur in validation or test.</w:t>
      </w:r>
    </w:p>
    <w:p>
      <w:r>
        <w:t>The generator must cite every factual claim using an evidence-node identifier. It cannot access private profile fields, held-out review text, or restaurants outside the already ranked result. The explanation is therefore a grounded rationale for a fixed recommendation, not another ranking step.</w:t>
      </w:r>
    </w:p>
    <w:p>
      <w:pPr>
        <w:pStyle w:val="Heading1"/>
      </w:pPr>
      <w:r>
        <w:t>GraphRAG recommendation case study</w:t>
      </w:r>
    </w:p>
    <w:p>
      <w:r>
        <w:t>For one activity-stratified audit case, KGAT-SAL and proximity select Elizabeth’s, a fine-dining restaurant in Washington, DC. The diner has 18 training interactions. Four displayed five-star reviews contain direct vegan-related evidence: The Modern was “accommodating to vegan,” Family Meal at Blue Hill was a “good option for vegans,” Stretch Pizza was “vegan with no cheese,” and a Sushi Yasu Tanaka review states “I’m vegan.” The structured user profile summarizes this evidence as a plant-based preference score of 0.9. Elizabeth’s has a supported plant-based offering score of 1.0 and a Google rating of 4.7 from 362 ratings. Training-safe restaurant reviews describe a fully vegan tasting menu, atmosphere, prompt service, and an alcohol-free pairing option.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650960"/>
            <wp:docPr id="1" name="Picture 1" descr="Evidence-grounded GraphRAG ex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rag_explanation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5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The graph exposes user-side and restaurant-side evidence separately. Node M1 supports the personalized attribute match; Q1 and Q2 support the restaurant description.</w:t>
      </w:r>
    </w:p>
    <w:p>
      <w:r>
        <w:t>The constrained generator produced:</w:t>
      </w:r>
    </w:p>
    <w:p>
      <w:pPr>
        <w:spacing w:before="100" w:after="160"/>
        <w:ind w:left="403" w:right="259"/>
      </w:pPr>
      <w:r>
        <w:rPr>
          <w:i/>
          <w:color w:val="667085"/>
        </w:rPr>
        <w:t>The evidence shows a shared attribute where the user's plant-based score is 0.9 and the restaurant's corresponding score is 1.0 [M1]. Reviewers describe the establishment as offering a fully vegan tasting menu with a fantastic atmosphere and prompt service [Q1][Q2].</w:t>
      </w:r>
    </w:p>
    <w:p>
      <w:r>
        <w:t>The user-facing rationale and restaurant description have different provenance: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Explanation component</w:t>
            </w:r>
          </w:p>
        </w:tc>
        <w:tc>
          <w:tcPr>
            <w:tcW w:type="dxa" w:w="3389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Supporting evidence</w:t>
            </w:r>
          </w:p>
        </w:tc>
        <w:tc>
          <w:tcPr>
            <w:tcW w:type="dxa" w:w="3389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What it establishes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Why it may fit the diner</w:t>
            </w:r>
          </w:p>
        </w:tc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H2/H3/H5/H6 → U1; A1; M1</w:t>
            </w:r>
          </w:p>
        </w:tc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Multiple training reviews support the user profile, which aligns with the restaurant attribute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What the restaurant offers</w:t>
            </w:r>
          </w:p>
        </w:tc>
        <w:tc>
          <w:tcPr>
            <w:tcW w:type="dxa" w:w="3389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Q1 and Q2</w:t>
            </w:r>
          </w:p>
        </w:tc>
        <w:tc>
          <w:tcPr>
            <w:tcW w:type="dxa" w:w="3389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Reviewers explicitly describe a vegan tasting menu, atmosphere, and prompt service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Restaurant identity/context</w:t>
            </w:r>
          </w:p>
        </w:tc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R1</w:t>
            </w:r>
          </w:p>
        </w:tc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Name, category, location, Google rating, and rating count</w:t>
            </w:r>
          </w:p>
        </w:tc>
      </w:tr>
    </w:tbl>
    <w:p>
      <w:pPr>
        <w:spacing w:after="0"/>
      </w:pPr>
    </w:p>
    <w:p>
      <w:r>
        <w:t>The independent local judge gave this example 4/5 entailment, 5/5 personalization, 4/5 usefulness, and 5/5 citation correctness, with zero unsupported claims.</w:t>
      </w:r>
    </w:p>
    <w:p>
      <w:pPr>
        <w:pStyle w:val="Heading1"/>
      </w:pPr>
      <w:r>
        <w:t>Automated explanation audit</w:t>
      </w:r>
    </w:p>
    <w:p>
      <w:r>
        <w:t>The audit uses 100 deterministic top-1 recommendations, with 25 users sampled from each activity quartile. The audit separates deterministic provenance checks from local-LLM quality judgments.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Audit dimension</w:t>
            </w:r>
          </w:p>
        </w:tc>
        <w:tc>
          <w:tcPr>
            <w:tcW w:type="dxa" w:w="508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Supported personalization match available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79%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Available match cited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Valid inline evidence identifiers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Restaurant evidence cited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Evidence bundles free of held-out review IDs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Exact short-quote fidelity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95%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Mean entailment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3.39 / 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Mean personalization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2.34 / 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Mean usefulness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2.71 / 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Mean citation correctness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3.75 / 5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Unsupported claims per explanation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0.81</w:t>
            </w:r>
          </w:p>
        </w:tc>
      </w:tr>
    </w:tbl>
    <w:p>
      <w:pPr>
        <w:spacing w:after="0"/>
      </w:pPr>
    </w:p>
    <w:p>
      <w:r>
        <w:t>The former “passing checks” plot is intentionally not included in the main article. Binary-looking pass rates combine rule compliance, evidence availability, and generation quality, which can be misread as a single certification. The table preserves the distinctions and makes the central limitation visible: a citation identifier can be valid even when nearby prose overgeneralizes its evidence. The plot remains available as an appendix asset if required.</w:t>
      </w:r>
    </w:p>
    <w:p>
      <w:pPr>
        <w:pStyle w:val="Heading1"/>
      </w:pPr>
      <w:r>
        <w:t>Scope and limitations</w:t>
      </w:r>
    </w:p>
    <w:p>
      <w:r>
        <w:t>The experiment demonstrates a leakage-safe and auditable explanation architecture. It does not show that GraphRAG reveals the causal mechanism behind KGAT-SAL’s score, and the average automated quality scores do not justify deployment claims. A blinded human audit should evaluate factual support, usefulness, calibration, and whether the personalized relation is meaningful to a user.</w:t>
      </w:r>
    </w:p>
    <w:p>
      <w:r>
        <w:t>The modular division remains useful. The GNN handles relational candidate scoring; explicit distance handles geographic utility; GraphRAG retrieves the evidence needed to verbalize a fixed result. Each component is evaluated against a criterion suited to its role rather than asking one LLM to perform ranking, retrieval, and explanation simultaneously.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6"/>
      </w:rPr>
      <w:t>Evaluation of a post-ranking GraphRAG explanation layer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977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23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of a post-ranking GraphRAG explanation layer</dc:title>
  <dc:subject>Technical restaurant-recommendation study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