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Ранитидин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Действующее вещество: Ranitidinum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Лечение и профилактика обострений язвенной болезни желудка и двенадцатиперстной кишки, язвы желудка и 12-перстной кишки, связанные с приемом нестероидных противовоспалительных препаратов (НПВП), рефлюкс-эзофагит, эрозивный эзофагит, синдром Золлингера-Эллисона, лечение и профилактика послеоперационных, &lt;стрессовых&gt; язв верхних отделов желудочно-кишечного тракта, профилактика рецидивов кровотечений из верхних отделов желудочно-кишечного тракта, профилактика аспирации желудочного сока при операциях под общей анестезией (синдром Мендельсона).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Молекулярный механизм действия ранитидина заключается в блокировке H2-рецепторов в желудке. Это препятствует взаимодействию гистамина с этими рецепторами, что приводит к снижению выделения желудочной кислоты. (Чуть подробнее: После приема пищи гормон гастрин, вырабатываемый клетками слизистой оболочки желудка, стимулирует высвобождение гистамина, который затем связывается с рецепторами гистамина H2, что приводит к выделению желудочной кислоты. Ранитидин снижает выделение желудочной кислоты путем обратимого связывания с рецепторами гистамина (H2), которые находятся на париетальных клетках желудка. Этот процесс приводит к ингибированию связывания гистамина с этим рецептором, что вызывает снижение выделения желудочной кислоты).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