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center"/>
      </w:pPr>
      <w:r>
        <w:rPr>
          <w:b/>
          <w:bCs/>
          <w:color w:val="1a3f6f"/>
          <w:sz w:val="56"/>
          <w:szCs w:val="56"/>
        </w:rPr>
        <w:t xml:space="preserve">DigiOpo</w:t>
      </w:r>
    </w:p>
    <w:p>
      <w:pPr>
        <w:spacing w:after="300"/>
        <w:jc w:val="center"/>
      </w:pPr>
      <w:r>
        <w:rPr>
          <w:i/>
          <w:iCs/>
          <w:color w:val="2d9e6b"/>
          <w:sz w:val="26"/>
          <w:szCs w:val="26"/>
        </w:rPr>
        <w:t xml:space="preserve">Omilla Jäljillä — digitaalinen oppilaanohjauksen oppikirja 7.–9. luokille</w:t>
      </w:r>
    </w:p>
    <w:p>
      <w:pPr>
        <w:spacing w:after="40"/>
        <w:jc w:val="center"/>
      </w:pPr>
      <w:r>
        <w:rPr>
          <w:b/>
          <w:bCs/>
          <w:sz w:val="34"/>
          <w:szCs w:val="34"/>
        </w:rPr>
        <w:t xml:space="preserve">Markkinointisuunnitelma</w:t>
      </w:r>
    </w:p>
    <w:p>
      <w:pPr>
        <w:spacing w:after="40"/>
        <w:jc w:val="center"/>
      </w:pPr>
      <w:r>
        <w:rPr>
          <w:color w:val="6b7280"/>
          <w:sz w:val="22"/>
          <w:szCs w:val="22"/>
        </w:rPr>
        <w:t xml:space="preserve">3 kuukauden myyntikampanja: koulut ja opinto-ohjaajat</w:t>
      </w:r>
    </w:p>
    <w:p>
      <w:pPr>
        <w:spacing w:after="400"/>
        <w:jc w:val="center"/>
      </w:pPr>
      <w:r>
        <w:rPr>
          <w:color w:val="6b7280"/>
          <w:sz w:val="22"/>
          <w:szCs w:val="22"/>
        </w:rPr>
        <w:t xml:space="preserve">Heinäkuu – syyskuu 2026</w:t>
      </w:r>
    </w:p>
    <w:p>
      <w:r>
        <w:br w:type="page"/>
      </w:r>
    </w:p>
    <w:p>
      <w:pPr>
        <w:pStyle w:val="Heading1"/>
      </w:pPr>
      <w:r>
        <w:t xml:space="preserve">1. Tiivistelmä</w:t>
      </w:r>
    </w:p>
    <w:p>
      <w:pPr>
        <w:spacing w:after="160"/>
      </w:pPr>
      <w:r>
        <w:t xml:space="preserve">Tämä suunnitelma kuvaa kolmen kuukauden (heinä–syyskuu 2026) myyntipainotteisen markkinointikampanjan DigiOpo:n “Omilla Jäljillä” -digikirjalle. Kohderyhmänä ovat peruskoulujen opinto-ohjaajat (opot), rehtorit ja kuntien opetustoimet, ja tavoitteena on kasvattaa opettajalisenssien myyntiä sekä rakentaa pohjaa vuoden 2027 talousarvioihin vaikuttamiselle.</w:t>
      </w:r>
    </w:p>
    <w:p>
      <w:pPr>
        <w:spacing w:after="160"/>
      </w:pPr>
      <w:r>
        <w:t xml:space="preserve">Kampanjan ydinviesti: DigiOpo tekee oppilaanohjauksesta visuaalisen, motivoivan ja helposti arjessa toimivan kokonaisuuden — ilman erillisiä oppikirjoja tai monisteita, valmiina lukuvuoden alkuun.</w:t>
      </w:r>
    </w:p>
    <w:p>
      <w:pPr>
        <w:spacing w:after="120"/>
      </w:pPr>
      <w:r>
        <w:rPr>
          <w:b/>
          <w:bCs/>
        </w:rPr>
        <w:t xml:space="preserve">Ajoitus on strateginen: </w:t>
      </w:r>
      <w:r>
        <w:t xml:space="preserve">lukuvuosi käynnistyy elokuussa, jolloin opot etsivät aktiivisesti uutta materiaalia syyslukukaudelle, ja kuntien vuoden 2027 talousarviovalmistelu käynnistyy syksyllä 2026 — juuri kampanjan aikana.</w:t>
      </w:r>
    </w:p>
    <w:p>
      <w:pPr>
        <w:pStyle w:val="Heading1"/>
      </w:pPr>
      <w:r>
        <w:t xml:space="preserve">2. Lähtökohta: tuote ja markkina</w:t>
      </w:r>
    </w:p>
    <w:p>
      <w:pPr>
        <w:pStyle w:val="Heading2"/>
      </w:pPr>
      <w:r>
        <w:t xml:space="preserve">2.1 Tuote</w:t>
      </w:r>
    </w:p>
    <w:p>
      <w:pPr>
        <w:spacing w:after="160"/>
      </w:pPr>
      <w:r>
        <w:t xml:space="preserve">DigiOpo – Omilla Jäljillä on peruskoulun oppilaanohjauksen digitaalinen oppikirja 7.–9.-luokkalaisille. Sivusto kokoaa yhteen tehtävät, interaktiiviset sisällöt ja oppilaan oman pohdinnan koko yläkoulun ajalle.</w:t>
      </w:r>
    </w:p>
    <w:p>
      <w:pPr>
        <w:spacing w:after="100"/>
      </w:pPr>
      <w:r>
        <w:rPr>
          <w:b/>
          <w:bCs/>
        </w:rPr>
        <w:t xml:space="preserve">Keskeiset ominaisuudet:</w:t>
      </w:r>
    </w:p>
    <w:p>
      <w:pPr>
        <w:pStyle w:val="ListParagraph"/>
        <w:numPr>
          <w:ilvl w:val="0"/>
          <w:numId w:val="2"/>
        </w:numPr>
        <w:spacing w:after="100"/>
      </w:pPr>
      <w:r>
        <w:t xml:space="preserve">Luokka-asteittain etenevä sisältö (7., 8. ja 9. luokka) sekä opettajan oma “ope”-näkymä: hallintatyökalu, jolla opettaja voi järjestää aiheet omaan haluamaansa järjestykseen ja tarvittaessa piilottaa tulevat osiot oppilaan näkymästä</w:t>
      </w:r>
    </w:p>
    <w:p>
      <w:pPr>
        <w:pStyle w:val="ListParagraph"/>
        <w:numPr>
          <w:ilvl w:val="0"/>
          <w:numId w:val="2"/>
        </w:numPr>
        <w:spacing w:after="100"/>
      </w:pPr>
      <w:r>
        <w:t xml:space="preserve">Samat aihekokonaisuudet toistuvat jokaisella vuosiluokalla, mutta sisältö laajenee ja syvenee oppilaan kasvun ja kehityksen mukana</w:t>
      </w:r>
    </w:p>
    <w:p>
      <w:pPr>
        <w:pStyle w:val="ListParagraph"/>
        <w:numPr>
          <w:ilvl w:val="0"/>
          <w:numId w:val="2"/>
        </w:numPr>
        <w:spacing w:after="100"/>
      </w:pPr>
      <w:r>
        <w:t xml:space="preserve">Interaktiiviset tehtävät ja pelilliset elementit (mm. vahvuusmatka, supervoimat, alavalinnat)</w:t>
      </w:r>
    </w:p>
    <w:p>
      <w:pPr>
        <w:pStyle w:val="ListParagraph"/>
        <w:numPr>
          <w:ilvl w:val="0"/>
          <w:numId w:val="2"/>
        </w:numPr>
        <w:spacing w:after="100"/>
      </w:pPr>
      <w:r>
        <w:t xml:space="preserve">Oppilaan vastausten automaattinen tallennus ja Word-lataus</w:t>
      </w:r>
    </w:p>
    <w:p>
      <w:pPr>
        <w:pStyle w:val="ListParagraph"/>
        <w:numPr>
          <w:ilvl w:val="0"/>
          <w:numId w:val="2"/>
        </w:numPr>
        <w:spacing w:after="100"/>
      </w:pPr>
      <w:r>
        <w:t xml:space="preserve">Tehtävähaku ja responsiivinen käyttöliittymä tietokoneelle ja tabletille</w:t>
      </w:r>
    </w:p>
    <w:p>
      <w:pPr>
        <w:pStyle w:val="ListParagraph"/>
        <w:numPr>
          <w:ilvl w:val="0"/>
          <w:numId w:val="2"/>
        </w:numPr>
        <w:spacing w:after="100"/>
      </w:pPr>
      <w:r>
        <w:t xml:space="preserve">Kevyt, itsepalveluperiaatteinen opettajalisenssi: kirjautuminen sähköpostilla (magic link), tilaus verkkolomakkeella ilman raskasta hankintaprosessia</w:t>
      </w:r>
    </w:p>
    <w:p>
      <w:pPr>
        <w:spacing w:after="160"/>
      </w:pPr>
      <w:r>
        <w:t xml:space="preserve">Tämä itsepalvelumalli on kilpailuetu: yksittäinen opo voi hankkia lisenssin suoraan, ilman että koko kunnan hankintakoneisto pitää käynnistää — mikä nopeuttaa myyntisykliä merkittävästi verrattua perinteisiin kustantajiin.</w:t>
      </w:r>
    </w:p>
    <w:p>
      <w:pPr>
        <w:pStyle w:val="Heading2"/>
      </w:pPr>
      <w:r>
        <w:t xml:space="preserve">2.2 Kilpailutilanne</w:t>
      </w:r>
    </w:p>
    <w:p>
      <w:pPr>
        <w:spacing w:after="160"/>
      </w:pPr>
      <w:r>
        <w:t xml:space="preserve">Suomen oppilaanohjauksen oppimateriaalimarkkina on vakiintunut ja suurten kustantajien hallitsema. Keskeiset kilpailijat:</w:t>
      </w:r>
    </w:p>
    <w:p>
      <w:pPr>
        <w:pStyle w:val="ListParagraph"/>
        <w:numPr>
          <w:ilvl w:val="0"/>
          <w:numId w:val="2"/>
        </w:numPr>
        <w:spacing w:after="100"/>
      </w:pPr>
      <w:r>
        <w:t xml:space="preserve">Sanoma Pro — Valmentaja 7–9: painettu ja digitaalinen oppimateriaalisarja, laaja opettajan digityökalupaketti</w:t>
      </w:r>
    </w:p>
    <w:p>
      <w:pPr>
        <w:pStyle w:val="ListParagraph"/>
        <w:numPr>
          <w:ilvl w:val="0"/>
          <w:numId w:val="2"/>
        </w:numPr>
        <w:spacing w:after="100"/>
      </w:pPr>
      <w:r>
        <w:t xml:space="preserve">Edita Oppiminen — Valmentaja-sarja yläkoulun oppilaanohjaukseen</w:t>
      </w:r>
    </w:p>
    <w:p>
      <w:pPr>
        <w:pStyle w:val="ListParagraph"/>
        <w:numPr>
          <w:ilvl w:val="0"/>
          <w:numId w:val="2"/>
        </w:numPr>
        <w:spacing w:after="100"/>
      </w:pPr>
      <w:r>
        <w:t xml:space="preserve">Uusi Opoa! — kolmivuotinen 7.–9.-luokkien oppilaanohjausmateriaali, jota tukee digitaalinen lisäaineisto</w:t>
      </w:r>
    </w:p>
    <w:p>
      <w:pPr>
        <w:pStyle w:val="ListParagraph"/>
        <w:numPr>
          <w:ilvl w:val="0"/>
          <w:numId w:val="2"/>
        </w:numPr>
        <w:spacing w:after="100"/>
      </w:pPr>
      <w:r>
        <w:t xml:space="preserve">Studeo — Oppilaanohjaus 7–9, itsetuntemusta ja työelämätaitoja tukeva materiaali</w:t>
      </w:r>
    </w:p>
    <w:p>
      <w:pPr>
        <w:spacing w:after="160"/>
      </w:pPr>
      <w:r>
        <w:t xml:space="preserve">Erottautumiskeinot DigiOpolle: kevyempi ja edullisempi itsepalvelulisenssi, moderni pelillinen käyttökokemus (kirja-metafora, maskotit, interaktiiviset tehtävät), sekä ketterä kehitys, jossa opon toiveet voidaan viedä tuotteeseen nopeasti — asia, jota isot kustantamot eivät tarjoa.</w:t>
      </w:r>
    </w:p>
    <w:p>
      <w:pPr>
        <w:pStyle w:val="Heading2"/>
      </w:pPr>
      <w:r>
        <w:t xml:space="preserve">2.3 Ajoitus ja hankintasyklit</w:t>
      </w:r>
    </w:p>
    <w:p>
      <w:pPr>
        <w:pStyle w:val="ListParagraph"/>
        <w:numPr>
          <w:ilvl w:val="0"/>
          <w:numId w:val="2"/>
        </w:numPr>
        <w:spacing w:after="100"/>
      </w:pPr>
      <w:r>
        <w:t xml:space="preserve">Peruskoulun oppimateriaalit ovat oppilaille maksuttomia — kustannuksen kattaa kunta/koulun ylläpitäjä, mikä tekee ostopäätöksestä usein opon tai rehtorin aloitteesta etenevän, budjetin puitteissa hyväksyttävän hankinnan</w:t>
      </w:r>
    </w:p>
    <w:p>
      <w:pPr>
        <w:pStyle w:val="ListParagraph"/>
        <w:numPr>
          <w:ilvl w:val="0"/>
          <w:numId w:val="2"/>
        </w:numPr>
        <w:spacing w:after="100"/>
      </w:pPr>
      <w:r>
        <w:t xml:space="preserve">Syyslukukausi alkaa elokuun puolivälissä — opot tekevät materiaalivalintoja juuri ennen lukuvuoden alkua ja sen ensimmäisinä viikkoina</w:t>
      </w:r>
    </w:p>
    <w:p>
      <w:pPr>
        <w:pStyle w:val="ListParagraph"/>
        <w:numPr>
          <w:ilvl w:val="0"/>
          <w:numId w:val="2"/>
        </w:numPr>
        <w:spacing w:after="100"/>
      </w:pPr>
      <w:r>
        <w:t xml:space="preserve">Kuntien vuoden 2027 talousarviovalmistelu käynnistyy tyypillisesti syksyllä 2026 — kampanjan viimeinen kuukausi (syyskuu) on oikea hetki päästä mukaan seuraavan vuoden opetustoimen budjettikeskusteluihin</w:t>
      </w:r>
    </w:p>
    <w:p>
      <w:pPr>
        <w:pStyle w:val="Heading1"/>
      </w:pPr>
      <w:r>
        <w:t xml:space="preserve">3. Kohderyhmät ja ostajapersoonat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2"/>
              <w:left w:val="single" w:color="CCCCCC" w:sz="2"/>
              <w:bottom w:val="single" w:color="CCCCCC" w:sz="2"/>
              <w:right w:val="single" w:color="CCCCCC" w:sz="2"/>
            </w:tcBorders>
            <w:shd w:fill="1a3f6f" w:val="clear"/>
            <w:tcMar>
              <w:top w:type="dxa" w:w="80"/>
              <w:left w:type="dxa" w:w="120"/>
              <w:bottom w:type="dxa" w:w="80"/>
              <w:right w:type="dxa" w:w="120"/>
            </w:tcMar>
          </w:tcPr>
          <w:p>
            <w:r>
              <w:rPr>
                <w:b/>
                <w:bCs/>
                <w:color w:val="FFFFFF"/>
                <w:sz w:val="20"/>
                <w:szCs w:val="20"/>
              </w:rPr>
              <w:t xml:space="preserve">Persoona</w:t>
            </w:r>
          </w:p>
        </w:tc>
        <w:tc>
          <w:tcPr>
            <w:tcW w:type="dxa" w:w="3580"/>
            <w:tcBorders>
              <w:top w:val="single" w:color="CCCCCC" w:sz="2"/>
              <w:left w:val="single" w:color="CCCCCC" w:sz="2"/>
              <w:bottom w:val="single" w:color="CCCCCC" w:sz="2"/>
              <w:right w:val="single" w:color="CCCCCC" w:sz="2"/>
            </w:tcBorders>
            <w:shd w:fill="1a3f6f" w:val="clear"/>
            <w:tcMar>
              <w:top w:type="dxa" w:w="80"/>
              <w:left w:type="dxa" w:w="120"/>
              <w:bottom w:type="dxa" w:w="80"/>
              <w:right w:type="dxa" w:w="120"/>
            </w:tcMar>
          </w:tcPr>
          <w:p>
            <w:r>
              <w:rPr>
                <w:b/>
                <w:bCs/>
                <w:color w:val="FFFFFF"/>
                <w:sz w:val="20"/>
                <w:szCs w:val="20"/>
              </w:rPr>
              <w:t xml:space="preserve">Rooli päätöksenteossa</w:t>
            </w:r>
          </w:p>
        </w:tc>
        <w:tc>
          <w:tcPr>
            <w:tcW w:type="dxa" w:w="3580"/>
            <w:tcBorders>
              <w:top w:val="single" w:color="CCCCCC" w:sz="2"/>
              <w:left w:val="single" w:color="CCCCCC" w:sz="2"/>
              <w:bottom w:val="single" w:color="CCCCCC" w:sz="2"/>
              <w:right w:val="single" w:color="CCCCCC" w:sz="2"/>
            </w:tcBorders>
            <w:shd w:fill="1a3f6f" w:val="clear"/>
            <w:tcMar>
              <w:top w:type="dxa" w:w="80"/>
              <w:left w:type="dxa" w:w="120"/>
              <w:bottom w:type="dxa" w:w="80"/>
              <w:right w:type="dxa" w:w="120"/>
            </w:tcMar>
          </w:tcPr>
          <w:p>
            <w:r>
              <w:rPr>
                <w:b/>
                <w:bCs/>
                <w:color w:val="FFFFFF"/>
                <w:sz w:val="20"/>
                <w:szCs w:val="20"/>
              </w:rPr>
              <w:t xml:space="preserve">Keskeinen tarve</w:t>
            </w:r>
          </w:p>
        </w:tc>
      </w:tr>
      <w:tr>
        <w:tc>
          <w:tcPr>
            <w:tcW w:type="dxa" w:w="2200"/>
            <w:tcBorders>
              <w:top w:val="single" w:color="CCCCCC" w:sz="2"/>
              <w:left w:val="single" w:color="CCCCCC" w:sz="2"/>
              <w:bottom w:val="single" w:color="CCCCCC" w:sz="2"/>
              <w:right w:val="single" w:color="CCCCCC" w:sz="2"/>
            </w:tcBorders>
            <w:shd w:fill="F7F9FC" w:val="clear"/>
            <w:tcMar>
              <w:top w:type="dxa" w:w="80"/>
              <w:left w:type="dxa" w:w="120"/>
              <w:bottom w:type="dxa" w:w="80"/>
              <w:right w:type="dxa" w:w="120"/>
            </w:tcMar>
          </w:tcPr>
          <w:p>
            <w:r>
              <w:rPr>
                <w:sz w:val="19"/>
                <w:szCs w:val="19"/>
              </w:rPr>
              <w:t xml:space="preserve">Opinto-ohjaaja (opo)</w:t>
            </w:r>
          </w:p>
        </w:tc>
        <w:tc>
          <w:tcPr>
            <w:tcW w:type="dxa" w:w="3580"/>
            <w:tcBorders>
              <w:top w:val="single" w:color="CCCCCC" w:sz="2"/>
              <w:left w:val="single" w:color="CCCCCC" w:sz="2"/>
              <w:bottom w:val="single" w:color="CCCCCC" w:sz="2"/>
              <w:right w:val="single" w:color="CCCCCC" w:sz="2"/>
            </w:tcBorders>
            <w:shd w:fill="F7F9FC" w:val="clear"/>
            <w:tcMar>
              <w:top w:type="dxa" w:w="80"/>
              <w:left w:type="dxa" w:w="120"/>
              <w:bottom w:type="dxa" w:w="80"/>
              <w:right w:type="dxa" w:w="120"/>
            </w:tcMar>
          </w:tcPr>
          <w:p>
            <w:r>
              <w:rPr>
                <w:sz w:val="19"/>
                <w:szCs w:val="19"/>
              </w:rPr>
              <w:t xml:space="preserve">Aloitteentekijä ja pääkäyttäjä; usein myös hyväksyjä pienissä hankinnoissa</w:t>
            </w:r>
          </w:p>
        </w:tc>
        <w:tc>
          <w:tcPr>
            <w:tcW w:type="dxa" w:w="3580"/>
            <w:tcBorders>
              <w:top w:val="single" w:color="CCCCCC" w:sz="2"/>
              <w:left w:val="single" w:color="CCCCCC" w:sz="2"/>
              <w:bottom w:val="single" w:color="CCCCCC" w:sz="2"/>
              <w:right w:val="single" w:color="CCCCCC" w:sz="2"/>
            </w:tcBorders>
            <w:shd w:fill="F7F9FC" w:val="clear"/>
            <w:tcMar>
              <w:top w:type="dxa" w:w="80"/>
              <w:left w:type="dxa" w:w="120"/>
              <w:bottom w:type="dxa" w:w="80"/>
              <w:right w:type="dxa" w:w="120"/>
            </w:tcMar>
          </w:tcPr>
          <w:p>
            <w:r>
              <w:rPr>
                <w:sz w:val="19"/>
                <w:szCs w:val="19"/>
              </w:rPr>
              <w:t xml:space="preserve">Ajansäästö, valmiit tunnit, oppilaita motivoiva materiaali</w:t>
            </w:r>
          </w:p>
        </w:tc>
      </w:tr>
      <w:tr>
        <w:tc>
          <w:tcPr>
            <w:tcW w:type="dxa" w:w="22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19"/>
                <w:szCs w:val="19"/>
              </w:rPr>
              <w:t xml:space="preserve">Rehtori / apulaisrehtori</w:t>
            </w:r>
          </w:p>
        </w:tc>
        <w:tc>
          <w:tcPr>
            <w:tcW w:type="dxa" w:w="35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19"/>
                <w:szCs w:val="19"/>
              </w:rPr>
              <w:t xml:space="preserve">Hyväksyy hankinnan koulun budjetista</w:t>
            </w:r>
          </w:p>
        </w:tc>
        <w:tc>
          <w:tcPr>
            <w:tcW w:type="dxa" w:w="35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19"/>
                <w:szCs w:val="19"/>
              </w:rPr>
              <w:t xml:space="preserve">Kustannustehokkuus, opetussuunnitelman mukaisuus, tietoturva</w:t>
            </w:r>
          </w:p>
        </w:tc>
      </w:tr>
      <w:tr>
        <w:tc>
          <w:tcPr>
            <w:tcW w:type="dxa" w:w="2200"/>
            <w:tcBorders>
              <w:top w:val="single" w:color="CCCCCC" w:sz="2"/>
              <w:left w:val="single" w:color="CCCCCC" w:sz="2"/>
              <w:bottom w:val="single" w:color="CCCCCC" w:sz="2"/>
              <w:right w:val="single" w:color="CCCCCC" w:sz="2"/>
            </w:tcBorders>
            <w:shd w:fill="F7F9FC" w:val="clear"/>
            <w:tcMar>
              <w:top w:type="dxa" w:w="80"/>
              <w:left w:type="dxa" w:w="120"/>
              <w:bottom w:type="dxa" w:w="80"/>
              <w:right w:type="dxa" w:w="120"/>
            </w:tcMar>
          </w:tcPr>
          <w:p>
            <w:r>
              <w:rPr>
                <w:sz w:val="19"/>
                <w:szCs w:val="19"/>
              </w:rPr>
              <w:t xml:space="preserve">Kunnan opetustoimi / sivistysjohtaja</w:t>
            </w:r>
          </w:p>
        </w:tc>
        <w:tc>
          <w:tcPr>
            <w:tcW w:type="dxa" w:w="3580"/>
            <w:tcBorders>
              <w:top w:val="single" w:color="CCCCCC" w:sz="2"/>
              <w:left w:val="single" w:color="CCCCCC" w:sz="2"/>
              <w:bottom w:val="single" w:color="CCCCCC" w:sz="2"/>
              <w:right w:val="single" w:color="CCCCCC" w:sz="2"/>
            </w:tcBorders>
            <w:shd w:fill="F7F9FC" w:val="clear"/>
            <w:tcMar>
              <w:top w:type="dxa" w:w="80"/>
              <w:left w:type="dxa" w:w="120"/>
              <w:bottom w:type="dxa" w:w="80"/>
              <w:right w:type="dxa" w:w="120"/>
            </w:tcMar>
          </w:tcPr>
          <w:p>
            <w:r>
              <w:rPr>
                <w:sz w:val="19"/>
                <w:szCs w:val="19"/>
              </w:rPr>
              <w:t xml:space="preserve">Isompien tai koko kunnan laajuisten hankintojen päättäjä</w:t>
            </w:r>
          </w:p>
        </w:tc>
        <w:tc>
          <w:tcPr>
            <w:tcW w:type="dxa" w:w="3580"/>
            <w:tcBorders>
              <w:top w:val="single" w:color="CCCCCC" w:sz="2"/>
              <w:left w:val="single" w:color="CCCCCC" w:sz="2"/>
              <w:bottom w:val="single" w:color="CCCCCC" w:sz="2"/>
              <w:right w:val="single" w:color="CCCCCC" w:sz="2"/>
            </w:tcBorders>
            <w:shd w:fill="F7F9FC" w:val="clear"/>
            <w:tcMar>
              <w:top w:type="dxa" w:w="80"/>
              <w:left w:type="dxa" w:w="120"/>
              <w:bottom w:type="dxa" w:w="80"/>
              <w:right w:type="dxa" w:w="120"/>
            </w:tcMar>
          </w:tcPr>
          <w:p>
            <w:r>
              <w:rPr>
                <w:sz w:val="19"/>
                <w:szCs w:val="19"/>
              </w:rPr>
              <w:t xml:space="preserve">Skaalautuvuus usealle koululle, yhdenvertaisuus, raportoitavuus</w:t>
            </w:r>
          </w:p>
        </w:tc>
      </w:tr>
      <w:tr>
        <w:tc>
          <w:tcPr>
            <w:tcW w:type="dxa" w:w="22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19"/>
                <w:szCs w:val="19"/>
              </w:rPr>
              <w:t xml:space="preserve">Aineenopettaja / luokanvalvoja</w:t>
            </w:r>
          </w:p>
        </w:tc>
        <w:tc>
          <w:tcPr>
            <w:tcW w:type="dxa" w:w="35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19"/>
                <w:szCs w:val="19"/>
              </w:rPr>
              <w:t xml:space="preserve">Vaikuttaja, voi suositella opolle tai käyttää tukimateriaalina</w:t>
            </w:r>
          </w:p>
        </w:tc>
        <w:tc>
          <w:tcPr>
            <w:tcW w:type="dxa" w:w="35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19"/>
                <w:szCs w:val="19"/>
              </w:rPr>
              <w:t xml:space="preserve">Helppokäyttöisyys, valmiit tehtävät ilman lisätyötä</w:t>
            </w:r>
          </w:p>
        </w:tc>
      </w:tr>
    </w:tbl>
    <w:p>
      <w:pPr>
        <w:spacing w:before="200"/>
      </w:pPr>
    </w:p>
    <w:p>
      <w:pPr>
        <w:pStyle w:val="Heading1"/>
      </w:pPr>
      <w:r>
        <w:t xml:space="preserve">4. Tavoitteet ja mittarit (heinä–syyskuu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CCCCCC" w:sz="2"/>
              <w:left w:val="single" w:color="CCCCCC" w:sz="2"/>
              <w:bottom w:val="single" w:color="CCCCCC" w:sz="2"/>
              <w:right w:val="single" w:color="CCCCCC" w:sz="2"/>
            </w:tcBorders>
            <w:shd w:fill="1a3f6f" w:val="clear"/>
            <w:tcMar>
              <w:top w:type="dxa" w:w="80"/>
              <w:left w:type="dxa" w:w="120"/>
              <w:bottom w:type="dxa" w:w="80"/>
              <w:right w:type="dxa" w:w="120"/>
            </w:tcMar>
          </w:tcPr>
          <w:p>
            <w:r>
              <w:rPr>
                <w:b/>
                <w:bCs/>
                <w:color w:val="FFFFFF"/>
                <w:sz w:val="20"/>
                <w:szCs w:val="20"/>
              </w:rPr>
              <w:t xml:space="preserve">Tavoite</w:t>
            </w:r>
          </w:p>
        </w:tc>
        <w:tc>
          <w:tcPr>
            <w:tcW w:type="dxa" w:w="2340"/>
            <w:tcBorders>
              <w:top w:val="single" w:color="CCCCCC" w:sz="2"/>
              <w:left w:val="single" w:color="CCCCCC" w:sz="2"/>
              <w:bottom w:val="single" w:color="CCCCCC" w:sz="2"/>
              <w:right w:val="single" w:color="CCCCCC" w:sz="2"/>
            </w:tcBorders>
            <w:shd w:fill="1a3f6f" w:val="clear"/>
            <w:tcMar>
              <w:top w:type="dxa" w:w="80"/>
              <w:left w:type="dxa" w:w="120"/>
              <w:bottom w:type="dxa" w:w="80"/>
              <w:right w:type="dxa" w:w="120"/>
            </w:tcMar>
          </w:tcPr>
          <w:p>
            <w:r>
              <w:rPr>
                <w:b/>
                <w:bCs/>
                <w:color w:val="FFFFFF"/>
                <w:sz w:val="20"/>
                <w:szCs w:val="20"/>
              </w:rPr>
              <w:t xml:space="preserve">Mittari</w:t>
            </w:r>
          </w:p>
        </w:tc>
        <w:tc>
          <w:tcPr>
            <w:tcW w:type="dxa" w:w="2340"/>
            <w:tcBorders>
              <w:top w:val="single" w:color="CCCCCC" w:sz="2"/>
              <w:left w:val="single" w:color="CCCCCC" w:sz="2"/>
              <w:bottom w:val="single" w:color="CCCCCC" w:sz="2"/>
              <w:right w:val="single" w:color="CCCCCC" w:sz="2"/>
            </w:tcBorders>
            <w:shd w:fill="1a3f6f" w:val="clear"/>
            <w:tcMar>
              <w:top w:type="dxa" w:w="80"/>
              <w:left w:type="dxa" w:w="120"/>
              <w:bottom w:type="dxa" w:w="80"/>
              <w:right w:type="dxa" w:w="120"/>
            </w:tcMar>
          </w:tcPr>
          <w:p>
            <w:r>
              <w:rPr>
                <w:b/>
                <w:bCs/>
                <w:color w:val="FFFFFF"/>
                <w:sz w:val="20"/>
                <w:szCs w:val="20"/>
              </w:rPr>
              <w:t xml:space="preserve">Tavoitetaso</w:t>
            </w:r>
          </w:p>
        </w:tc>
      </w:tr>
      <w:tr>
        <w:tc>
          <w:tcPr>
            <w:tcW w:type="dxa" w:w="4680"/>
            <w:tcBorders>
              <w:top w:val="single" w:color="CCCCCC" w:sz="2"/>
              <w:left w:val="single" w:color="CCCCCC" w:sz="2"/>
              <w:bottom w:val="single" w:color="CCCCCC" w:sz="2"/>
              <w:right w:val="single" w:color="CCCCCC" w:sz="2"/>
            </w:tcBorders>
            <w:shd w:fill="F7F9FC" w:val="clear"/>
            <w:tcMar>
              <w:top w:type="dxa" w:w="80"/>
              <w:left w:type="dxa" w:w="120"/>
              <w:bottom w:type="dxa" w:w="80"/>
              <w:right w:type="dxa" w:w="120"/>
            </w:tcMar>
          </w:tcPr>
          <w:p>
            <w:r>
              <w:rPr>
                <w:sz w:val="19"/>
                <w:szCs w:val="19"/>
              </w:rPr>
              <w:t xml:space="preserve">Uudet maksavat opettajalisenssit</w:t>
            </w:r>
          </w:p>
        </w:tc>
        <w:tc>
          <w:tcPr>
            <w:tcW w:type="dxa" w:w="2340"/>
            <w:tcBorders>
              <w:top w:val="single" w:color="CCCCCC" w:sz="2"/>
              <w:left w:val="single" w:color="CCCCCC" w:sz="2"/>
              <w:bottom w:val="single" w:color="CCCCCC" w:sz="2"/>
              <w:right w:val="single" w:color="CCCCCC" w:sz="2"/>
            </w:tcBorders>
            <w:shd w:fill="F7F9FC" w:val="clear"/>
            <w:tcMar>
              <w:top w:type="dxa" w:w="80"/>
              <w:left w:type="dxa" w:w="120"/>
              <w:bottom w:type="dxa" w:w="80"/>
              <w:right w:type="dxa" w:w="120"/>
            </w:tcMar>
          </w:tcPr>
          <w:p>
            <w:r>
              <w:rPr>
                <w:sz w:val="19"/>
                <w:szCs w:val="19"/>
              </w:rPr>
              <w:t xml:space="preserve">Tilauslomakkeen kautta tulleet tilaukset</w:t>
            </w:r>
          </w:p>
        </w:tc>
        <w:tc>
          <w:tcPr>
            <w:tcW w:type="dxa" w:w="2340"/>
            <w:tcBorders>
              <w:top w:val="single" w:color="CCCCCC" w:sz="2"/>
              <w:left w:val="single" w:color="CCCCCC" w:sz="2"/>
              <w:bottom w:val="single" w:color="CCCCCC" w:sz="2"/>
              <w:right w:val="single" w:color="CCCCCC" w:sz="2"/>
            </w:tcBorders>
            <w:shd w:fill="F7F9FC" w:val="clear"/>
            <w:tcMar>
              <w:top w:type="dxa" w:w="80"/>
              <w:left w:type="dxa" w:w="120"/>
              <w:bottom w:type="dxa" w:w="80"/>
              <w:right w:type="dxa" w:w="120"/>
            </w:tcMar>
          </w:tcPr>
          <w:p>
            <w:r>
              <w:rPr>
                <w:sz w:val="19"/>
                <w:szCs w:val="19"/>
              </w:rPr>
              <w:t xml:space="preserve">Asetetaan yhdessä myyntitiimin kanssa</w:t>
            </w:r>
          </w:p>
        </w:tc>
      </w:tr>
      <w:tr>
        <w:tc>
          <w:tcPr>
            <w:tcW w:type="dxa" w:w="46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19"/>
                <w:szCs w:val="19"/>
              </w:rPr>
              <w:t xml:space="preserve">Ilmaiskokeilut / demopyynnöt</w:t>
            </w:r>
          </w:p>
        </w:tc>
        <w:tc>
          <w:tcPr>
            <w:tcW w:type="dxa" w:w="234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19"/>
                <w:szCs w:val="19"/>
              </w:rPr>
              <w:t xml:space="preserve">Rekisteröityneet kokeilukäyttäjät</w:t>
            </w:r>
          </w:p>
        </w:tc>
        <w:tc>
          <w:tcPr>
            <w:tcW w:type="dxa" w:w="234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19"/>
                <w:szCs w:val="19"/>
              </w:rPr>
              <w:t xml:space="preserve">Kasvu kuukausittain</w:t>
            </w:r>
          </w:p>
        </w:tc>
      </w:tr>
      <w:tr>
        <w:tc>
          <w:tcPr>
            <w:tcW w:type="dxa" w:w="4680"/>
            <w:tcBorders>
              <w:top w:val="single" w:color="CCCCCC" w:sz="2"/>
              <w:left w:val="single" w:color="CCCCCC" w:sz="2"/>
              <w:bottom w:val="single" w:color="CCCCCC" w:sz="2"/>
              <w:right w:val="single" w:color="CCCCCC" w:sz="2"/>
            </w:tcBorders>
            <w:shd w:fill="F7F9FC" w:val="clear"/>
            <w:tcMar>
              <w:top w:type="dxa" w:w="80"/>
              <w:left w:type="dxa" w:w="120"/>
              <w:bottom w:type="dxa" w:w="80"/>
              <w:right w:type="dxa" w:w="120"/>
            </w:tcMar>
          </w:tcPr>
          <w:p>
            <w:r>
              <w:rPr>
                <w:sz w:val="19"/>
                <w:szCs w:val="19"/>
              </w:rPr>
              <w:t xml:space="preserve">Verkkosivun kävijämäärä (digiopo.fi)</w:t>
            </w:r>
          </w:p>
        </w:tc>
        <w:tc>
          <w:tcPr>
            <w:tcW w:type="dxa" w:w="2340"/>
            <w:tcBorders>
              <w:top w:val="single" w:color="CCCCCC" w:sz="2"/>
              <w:left w:val="single" w:color="CCCCCC" w:sz="2"/>
              <w:bottom w:val="single" w:color="CCCCCC" w:sz="2"/>
              <w:right w:val="single" w:color="CCCCCC" w:sz="2"/>
            </w:tcBorders>
            <w:shd w:fill="F7F9FC" w:val="clear"/>
            <w:tcMar>
              <w:top w:type="dxa" w:w="80"/>
              <w:left w:type="dxa" w:w="120"/>
              <w:bottom w:type="dxa" w:w="80"/>
              <w:right w:type="dxa" w:w="120"/>
            </w:tcMar>
          </w:tcPr>
          <w:p>
            <w:r>
              <w:rPr>
                <w:sz w:val="19"/>
                <w:szCs w:val="19"/>
              </w:rPr>
              <w:t xml:space="preserve">Uniikit kävijät, liikenteen lähde</w:t>
            </w:r>
          </w:p>
        </w:tc>
        <w:tc>
          <w:tcPr>
            <w:tcW w:type="dxa" w:w="2340"/>
            <w:tcBorders>
              <w:top w:val="single" w:color="CCCCCC" w:sz="2"/>
              <w:left w:val="single" w:color="CCCCCC" w:sz="2"/>
              <w:bottom w:val="single" w:color="CCCCCC" w:sz="2"/>
              <w:right w:val="single" w:color="CCCCCC" w:sz="2"/>
            </w:tcBorders>
            <w:shd w:fill="F7F9FC" w:val="clear"/>
            <w:tcMar>
              <w:top w:type="dxa" w:w="80"/>
              <w:left w:type="dxa" w:w="120"/>
              <w:bottom w:type="dxa" w:w="80"/>
              <w:right w:type="dxa" w:w="120"/>
            </w:tcMar>
          </w:tcPr>
          <w:p>
            <w:r>
              <w:rPr>
                <w:sz w:val="19"/>
                <w:szCs w:val="19"/>
              </w:rPr>
              <w:t xml:space="preserve">Seurataan viikoittain</w:t>
            </w:r>
          </w:p>
        </w:tc>
      </w:tr>
      <w:tr>
        <w:tc>
          <w:tcPr>
            <w:tcW w:type="dxa" w:w="46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19"/>
                <w:szCs w:val="19"/>
              </w:rPr>
              <w:t xml:space="preserve">Sähköpostilistan koko (opot)</w:t>
            </w:r>
          </w:p>
        </w:tc>
        <w:tc>
          <w:tcPr>
            <w:tcW w:type="dxa" w:w="234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19"/>
                <w:szCs w:val="19"/>
              </w:rPr>
              <w:t xml:space="preserve">Liittyneet uutiskirjeeseen</w:t>
            </w:r>
          </w:p>
        </w:tc>
        <w:tc>
          <w:tcPr>
            <w:tcW w:type="dxa" w:w="234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19"/>
                <w:szCs w:val="19"/>
              </w:rPr>
              <w:t xml:space="preserve">Kasvu kuukausittain</w:t>
            </w:r>
          </w:p>
        </w:tc>
      </w:tr>
      <w:tr>
        <w:tc>
          <w:tcPr>
            <w:tcW w:type="dxa" w:w="4680"/>
            <w:tcBorders>
              <w:top w:val="single" w:color="CCCCCC" w:sz="2"/>
              <w:left w:val="single" w:color="CCCCCC" w:sz="2"/>
              <w:bottom w:val="single" w:color="CCCCCC" w:sz="2"/>
              <w:right w:val="single" w:color="CCCCCC" w:sz="2"/>
            </w:tcBorders>
            <w:shd w:fill="F7F9FC" w:val="clear"/>
            <w:tcMar>
              <w:top w:type="dxa" w:w="80"/>
              <w:left w:type="dxa" w:w="120"/>
              <w:bottom w:type="dxa" w:w="80"/>
              <w:right w:type="dxa" w:w="120"/>
            </w:tcMar>
          </w:tcPr>
          <w:p>
            <w:r>
              <w:rPr>
                <w:sz w:val="19"/>
                <w:szCs w:val="19"/>
              </w:rPr>
              <w:t xml:space="preserve">Budjettikeskusteluihin mukaan pääsy</w:t>
            </w:r>
          </w:p>
        </w:tc>
        <w:tc>
          <w:tcPr>
            <w:tcW w:type="dxa" w:w="2340"/>
            <w:tcBorders>
              <w:top w:val="single" w:color="CCCCCC" w:sz="2"/>
              <w:left w:val="single" w:color="CCCCCC" w:sz="2"/>
              <w:bottom w:val="single" w:color="CCCCCC" w:sz="2"/>
              <w:right w:val="single" w:color="CCCCCC" w:sz="2"/>
            </w:tcBorders>
            <w:shd w:fill="F7F9FC" w:val="clear"/>
            <w:tcMar>
              <w:top w:type="dxa" w:w="80"/>
              <w:left w:type="dxa" w:w="120"/>
              <w:bottom w:type="dxa" w:w="80"/>
              <w:right w:type="dxa" w:w="120"/>
            </w:tcMar>
          </w:tcPr>
          <w:p>
            <w:r>
              <w:rPr>
                <w:sz w:val="19"/>
                <w:szCs w:val="19"/>
              </w:rPr>
              <w:t xml:space="preserve">Kuntien opetustoimen kontaktit / tapaamiset</w:t>
            </w:r>
          </w:p>
        </w:tc>
        <w:tc>
          <w:tcPr>
            <w:tcW w:type="dxa" w:w="2340"/>
            <w:tcBorders>
              <w:top w:val="single" w:color="CCCCCC" w:sz="2"/>
              <w:left w:val="single" w:color="CCCCCC" w:sz="2"/>
              <w:bottom w:val="single" w:color="CCCCCC" w:sz="2"/>
              <w:right w:val="single" w:color="CCCCCC" w:sz="2"/>
            </w:tcBorders>
            <w:shd w:fill="F7F9FC" w:val="clear"/>
            <w:tcMar>
              <w:top w:type="dxa" w:w="80"/>
              <w:left w:type="dxa" w:w="120"/>
              <w:bottom w:type="dxa" w:w="80"/>
              <w:right w:type="dxa" w:w="120"/>
            </w:tcMar>
          </w:tcPr>
          <w:p>
            <w:r>
              <w:rPr>
                <w:sz w:val="19"/>
                <w:szCs w:val="19"/>
              </w:rPr>
              <w:t xml:space="preserve">Vähintään muutama avaus syyskuussa</w:t>
            </w:r>
          </w:p>
        </w:tc>
      </w:tr>
    </w:tbl>
    <w:p>
      <w:pPr>
        <w:spacing w:before="200"/>
      </w:pPr>
    </w:p>
    <w:p>
      <w:pPr>
        <w:pStyle w:val="Heading1"/>
      </w:pPr>
      <w:r>
        <w:t xml:space="preserve">5. Ydinviesti ja positiointi</w:t>
      </w:r>
    </w:p>
    <w:p>
      <w:pPr>
        <w:spacing w:after="120"/>
      </w:pPr>
      <w:r>
        <w:rPr>
          <w:b/>
          <w:bCs/>
        </w:rPr>
        <w:t xml:space="preserve">Pääviesti: </w:t>
      </w:r>
      <w:r>
        <w:t xml:space="preserve">DigiOpo tuo oppilaanohjaukseen selkeän, visuaalisen ja motivoivan digikirjan, joka on käyttövalmis heti — ilman raskasta käyttöönottoa tai monisteiden tulostelua.</w:t>
      </w:r>
    </w:p>
    <w:p>
      <w:pPr>
        <w:spacing w:after="100"/>
      </w:pPr>
      <w:r>
        <w:rPr>
          <w:b/>
          <w:bCs/>
        </w:rPr>
        <w:t xml:space="preserve">Tukiviestit kohderyhmittäin:</w:t>
      </w:r>
    </w:p>
    <w:p>
      <w:pPr>
        <w:pStyle w:val="ListParagraph"/>
        <w:numPr>
          <w:ilvl w:val="0"/>
          <w:numId w:val="2"/>
        </w:numPr>
        <w:spacing w:after="100"/>
      </w:pPr>
      <w:r>
        <w:t xml:space="preserve">Opoille: “Säästä valmistelutunnit — kaikki 7.–9. luokan tehtävät yhdessä paikassa, valmiina käytettäväksi.”</w:t>
      </w:r>
    </w:p>
    <w:p>
      <w:pPr>
        <w:pStyle w:val="ListParagraph"/>
        <w:numPr>
          <w:ilvl w:val="0"/>
          <w:numId w:val="2"/>
        </w:numPr>
        <w:spacing w:after="100"/>
      </w:pPr>
      <w:r>
        <w:t xml:space="preserve">Rehtoreille: “Edullinen, joustava lisenssi ilman pitkää hankintaprosessia — käyttöön viikossa.”</w:t>
      </w:r>
    </w:p>
    <w:p>
      <w:pPr>
        <w:pStyle w:val="ListParagraph"/>
        <w:numPr>
          <w:ilvl w:val="0"/>
          <w:numId w:val="2"/>
        </w:numPr>
        <w:spacing w:after="100"/>
      </w:pPr>
      <w:r>
        <w:t xml:space="preserve">Opetustoimelle: “Skaalautuva ratkaisu koko kunnan yläkouluille, yhtenäistää oppilaanohjauksen laatua.”</w:t>
      </w:r>
    </w:p>
    <w:p>
      <w:pPr>
        <w:pStyle w:val="ListParagraph"/>
        <w:numPr>
          <w:ilvl w:val="0"/>
          <w:numId w:val="2"/>
        </w:numPr>
        <w:spacing w:after="100"/>
      </w:pPr>
      <w:r>
        <w:t xml:space="preserve">Oppilaille (epäsuora kohderyhmä): “Oma kirja, joka tuntuu peliltä eikä läksyltä.”</w:t>
      </w:r>
    </w:p>
    <w:p>
      <w:pPr>
        <w:pStyle w:val="Heading1"/>
      </w:pPr>
      <w:r>
        <w:t xml:space="preserve">6. Kanavat ja taktiikat</w:t>
      </w:r>
    </w:p>
    <w:p>
      <w:pPr>
        <w:pStyle w:val="Heading2"/>
      </w:pPr>
      <w:r>
        <w:t xml:space="preserve">6.1 Suoramarkkinointi opoille</w:t>
      </w:r>
    </w:p>
    <w:p>
      <w:pPr>
        <w:pStyle w:val="ListParagraph"/>
        <w:numPr>
          <w:ilvl w:val="0"/>
          <w:numId w:val="2"/>
        </w:numPr>
        <w:spacing w:after="100"/>
      </w:pPr>
      <w:r>
        <w:t xml:space="preserve">Kohdennettu sähköpostikampanja opinto-ohjaajien yhteystietolistoille (mm. Suomen Opinto-ohjaajat ry:n jäsenistö, avoimet yhteystiedot kuntien sivuilta)</w:t>
      </w:r>
    </w:p>
    <w:p>
      <w:pPr>
        <w:pStyle w:val="ListParagraph"/>
        <w:numPr>
          <w:ilvl w:val="0"/>
          <w:numId w:val="2"/>
        </w:numPr>
        <w:spacing w:after="100"/>
      </w:pPr>
      <w:r>
        <w:t xml:space="preserve">Henkilökohtaiset esittelyt ja demopuhelut aktiivisimmille liideille</w:t>
      </w:r>
    </w:p>
    <w:p>
      <w:pPr>
        <w:pStyle w:val="ListParagraph"/>
        <w:numPr>
          <w:ilvl w:val="0"/>
          <w:numId w:val="2"/>
        </w:numPr>
        <w:spacing w:after="100"/>
      </w:pPr>
      <w:r>
        <w:t xml:space="preserve">Ilmainen kokeilujakso (esim. 2–4 viikkoa) koko lukuvuoden alun ajaksi madaltamaan kynnystä</w:t>
      </w:r>
    </w:p>
    <w:p>
      <w:pPr>
        <w:pStyle w:val="Heading2"/>
      </w:pPr>
      <w:r>
        <w:t xml:space="preserve">6.2 Sisältö- ja some-markkinointi</w:t>
      </w:r>
    </w:p>
    <w:p>
      <w:pPr>
        <w:pStyle w:val="ListParagraph"/>
        <w:numPr>
          <w:ilvl w:val="0"/>
          <w:numId w:val="2"/>
        </w:numPr>
        <w:spacing w:after="100"/>
      </w:pPr>
      <w:r>
        <w:t xml:space="preserve">LinkedIn: some-viestintä suunnattuna rehtoreille ja sivistysjohtajille, painottaen kustannustehokkuutta ja skaalautuvuutta</w:t>
      </w:r>
    </w:p>
    <w:p>
      <w:pPr>
        <w:pStyle w:val="ListParagraph"/>
        <w:numPr>
          <w:ilvl w:val="0"/>
          <w:numId w:val="2"/>
        </w:numPr>
        <w:spacing w:after="100"/>
      </w:pPr>
      <w:r>
        <w:t xml:space="preserve">Instagram/Facebook: opettajille suunnattu sisältö — pikkuvideot ja kuvakaappaukset oppilaan näkökulmasta (maskotit, pelilliset tehtävät)</w:t>
      </w:r>
    </w:p>
    <w:p>
      <w:pPr>
        <w:pStyle w:val="ListParagraph"/>
        <w:numPr>
          <w:ilvl w:val="0"/>
          <w:numId w:val="2"/>
        </w:numPr>
        <w:spacing w:after="100"/>
      </w:pPr>
      <w:r>
        <w:t xml:space="preserve">Blogi/artikkelit digiopo.fi-sivustolle: esim. “Näin säästät 5 tuntia oppilaanohjauksen valmistelussa”, opinto-ohjauksen ajankohtaisia teemoja (yhteishaku, TET, vahvuudet)</w:t>
      </w:r>
    </w:p>
    <w:p>
      <w:pPr>
        <w:pStyle w:val="Heading2"/>
      </w:pPr>
      <w:r>
        <w:t xml:space="preserve">6.3 Video-minikampanja (2 lyhytvideota)</w:t>
      </w:r>
    </w:p>
    <w:p>
      <w:pPr>
        <w:spacing w:after="160"/>
      </w:pPr>
      <w:r>
        <w:t xml:space="preserve">Osana some-markkinointia tuotetaan kaksi lyhytä (n. 20–30 sekunnin) videota — yksi opoille, yksi oppilaille — jotka julkaistaan saman sisältöisenä sarjana kaikilla kanavilla (Instagram, Facebook, LinkedIn, YouTube). Videot kuvataan ja editoidaan heinäkuussa ja julkaistaan elokuun alussa osana lukuvuoden alun pääkampanjaa (ks. luku 7).</w:t>
      </w:r>
    </w:p>
    <w:p>
      <w:pPr>
        <w:spacing w:after="80"/>
      </w:pPr>
      <w:r>
        <w:rPr>
          <w:b/>
        </w:rPr>
        <w:t xml:space="preserve">Video 1 — “Säästä valmistelutunnit” (opoille)</w:t>
      </w:r>
    </w:p>
    <w:p>
      <w:pPr>
        <w:spacing w:after="120"/>
      </w:pPr>
      <w:r>
        <w:rPr>
          <w:i/>
          <w:color w:val="6B7280"/>
        </w:rPr>
        <w:t xml:space="preserve">Kohderyhmä: opinto-ohjaajat · Kesto: n. 30 s</w:t>
      </w:r>
    </w:p>
    <w:p>
      <w:pPr>
        <w:pStyle w:val="ListParagraph"/>
        <w:numPr>
          <w:ilvl w:val="0"/>
          <w:numId w:val="2"/>
        </w:numPr>
        <w:spacing w:after="100"/>
      </w:pPr>
      <w:r>
        <w:t xml:space="preserve">Kohtaus 1 (0–5 s): opon työpöytä täynnä papereita ja kalenterimerkintöjä. Teksti: “Oppilaanohjauksen tunnit vievät tuntikausia valmisteluun.”</w:t>
      </w:r>
    </w:p>
    <w:p>
      <w:pPr>
        <w:pStyle w:val="ListParagraph"/>
        <w:numPr>
          <w:ilvl w:val="0"/>
          <w:numId w:val="2"/>
        </w:numPr>
        <w:spacing w:after="100"/>
      </w:pPr>
      <w:r>
        <w:t xml:space="preserve">Kohtaus 2 (5–12 s): ruutukaappaus DigiOposta, kursori selaa valmiita tehtäviä, maskotti vilahtaa. Teksti: “Entä jos kaikki olisi jo valmiina?”</w:t>
      </w:r>
    </w:p>
    <w:p>
      <w:pPr>
        <w:pStyle w:val="ListParagraph"/>
        <w:numPr>
          <w:ilvl w:val="0"/>
          <w:numId w:val="2"/>
        </w:numPr>
        <w:spacing w:after="100"/>
      </w:pPr>
      <w:r>
        <w:t xml:space="preserve">Kohtaus 3 (12–22 s): nopea kierros ominaisuuksista — luokka-asteet, tehtävähaku, ope-näkymä jossa aiheita järjestellään. Teksti: “Valitse luokka, järjestä aiheet, aloita heti.”</w:t>
      </w:r>
    </w:p>
    <w:p>
      <w:pPr>
        <w:pStyle w:val="ListParagraph"/>
        <w:numPr>
          <w:ilvl w:val="0"/>
          <w:numId w:val="2"/>
        </w:numPr>
        <w:spacing w:after="100"/>
      </w:pPr>
      <w:r>
        <w:t xml:space="preserve">Kohtaus 4 (22–30 s): DigiOpo-logo ja maskotti. Teksti: “Kokeile ilmaiseksi — digiopo.fi”</w:t>
      </w:r>
    </w:p>
    <w:p>
      <w:pPr>
        <w:spacing w:before="160" w:after="80"/>
      </w:pPr>
      <w:r>
        <w:rPr>
          <w:b/>
        </w:rPr>
        <w:t xml:space="preserve">Video 2 — “Oppikirja, joka tuntuu peliltä” (oppilaille, epäsuora kohderyhmä)</w:t>
      </w:r>
    </w:p>
    <w:p>
      <w:pPr>
        <w:spacing w:after="120"/>
      </w:pPr>
      <w:r>
        <w:rPr>
          <w:i/>
          <w:color w:val="6B7280"/>
        </w:rPr>
        <w:t xml:space="preserve">Kohderyhmä: oppilaat (yläkoulu) · Kesto: n. 20–25 s · nopeatempoinen, IG/TikTok-tyylinen leikkaus</w:t>
      </w:r>
    </w:p>
    <w:p>
      <w:pPr>
        <w:pStyle w:val="ListParagraph"/>
        <w:numPr>
          <w:ilvl w:val="0"/>
          <w:numId w:val="2"/>
        </w:numPr>
        <w:spacing w:after="100"/>
      </w:pPr>
      <w:r>
        <w:t xml:space="preserve">Kohtaus 1 (0–5 s): nuori tuijottaa tylsistyneenä paperista monistetta.</w:t>
      </w:r>
    </w:p>
    <w:p>
      <w:pPr>
        <w:pStyle w:val="ListParagraph"/>
        <w:numPr>
          <w:ilvl w:val="0"/>
          <w:numId w:val="2"/>
        </w:numPr>
        <w:spacing w:after="100"/>
      </w:pPr>
      <w:r>
        <w:t xml:space="preserve">Kohtaus 2 (5–15 s): siirtymä DigiOpon kirja-animaatioon, maskotti kannustaa, pelillinen tehtävä (esim. vahvuusmatka) käynnistyy.</w:t>
      </w:r>
    </w:p>
    <w:p>
      <w:pPr>
        <w:pStyle w:val="ListParagraph"/>
        <w:numPr>
          <w:ilvl w:val="0"/>
          <w:numId w:val="2"/>
        </w:numPr>
        <w:spacing w:after="100"/>
      </w:pPr>
      <w:r>
        <w:t xml:space="preserve">Kohtaus 3 (15–22 s): hymyilevä oppilas. Teksti: “Oma polku, omaan tahtiin.”</w:t>
      </w:r>
    </w:p>
    <w:p>
      <w:pPr>
        <w:pStyle w:val="ListParagraph"/>
        <w:numPr>
          <w:ilvl w:val="0"/>
          <w:numId w:val="2"/>
        </w:numPr>
        <w:spacing w:after="100"/>
      </w:pPr>
      <w:r>
        <w:t xml:space="preserve">Kohtaus 4 (22–25 s): DigiOpo-logo. Teksti: “Kysy opoltasi DigiOpoa.”</w:t>
      </w:r>
    </w:p>
    <w:p>
      <w:pPr>
        <w:spacing w:before="120" w:after="160"/>
      </w:pPr>
      <w:r>
        <w:t xml:space="preserve">Videot toimivat sekä orgaanisena sisältönä että pienellä maksetulla nostolla (ks. luku 8, Budjettirunko: kohdat Videotuotanto ja Some-mainonta).</w:t>
      </w:r>
    </w:p>
    <w:p>
      <w:pPr>
        <w:pStyle w:val="Heading2"/>
      </w:pPr>
      <w:r>
        <w:t xml:space="preserve">6.4 Tapahtumat ja verkostot</w:t>
      </w:r>
    </w:p>
    <w:p>
      <w:pPr>
        <w:pStyle w:val="ListParagraph"/>
        <w:numPr>
          <w:ilvl w:val="0"/>
          <w:numId w:val="2"/>
        </w:numPr>
        <w:spacing w:after="100"/>
      </w:pPr>
      <w:r>
        <w:t xml:space="preserve">Osallistuminen tai näkyvyys opetusalan tapahtumissa ja webinaareissa (esim. opinto-ohjaajien alueelliset tapaamiset)</w:t>
      </w:r>
    </w:p>
    <w:p>
      <w:pPr>
        <w:pStyle w:val="ListParagraph"/>
        <w:numPr>
          <w:ilvl w:val="0"/>
          <w:numId w:val="2"/>
        </w:numPr>
        <w:spacing w:after="100"/>
      </w:pPr>
      <w:r>
        <w:t xml:space="preserve">Yhteistyö opettajankoulutuslaitosten ja OAJ:n paikallisyhdistysten kanssa tunnettuuden kasvattamiseksi</w:t>
      </w:r>
    </w:p>
    <w:p>
      <w:pPr>
        <w:pStyle w:val="Heading2"/>
      </w:pPr>
      <w:r>
        <w:t xml:space="preserve">6.5 Suoravaikuttaminen kuntiin (syyskuu)</w:t>
      </w:r>
    </w:p>
    <w:p>
      <w:pPr>
        <w:pStyle w:val="ListParagraph"/>
        <w:numPr>
          <w:ilvl w:val="0"/>
          <w:numId w:val="2"/>
        </w:numPr>
        <w:spacing w:after="100"/>
      </w:pPr>
      <w:r>
        <w:t xml:space="preserve">Lyhyt “päätöksentekijän muistio” sivistysjohtajille ja opetustoimen päälliköille ennen vuoden 2027 talousarvion valmistelua</w:t>
      </w:r>
    </w:p>
    <w:p>
      <w:pPr>
        <w:pStyle w:val="ListParagraph"/>
        <w:numPr>
          <w:ilvl w:val="0"/>
          <w:numId w:val="2"/>
        </w:numPr>
        <w:spacing w:after="100"/>
      </w:pPr>
      <w:r>
        <w:t xml:space="preserve">Tarjous pilotoida DigiOpoa muutamassa koulussa syyslukukauden aikana referenssiksi laajempaan kuntatason keskusteluun</w:t>
      </w:r>
    </w:p>
    <w:p>
      <w:pPr>
        <w:pStyle w:val="Heading1"/>
      </w:pPr>
      <w:r>
        <w:t xml:space="preserve">7. Aikataulu: kuukausi kuukaudelta</w:t>
      </w:r>
    </w:p>
    <w:p>
      <w:pPr>
        <w:pStyle w:val="Heading2"/>
      </w:pPr>
      <w:r>
        <w:t xml:space="preserve">Kuukausi 1 — Heinäkuu 2026: valmistelu ja lämmittely</w:t>
      </w:r>
    </w:p>
    <w:p>
      <w:pPr>
        <w:pStyle w:val="ListParagraph"/>
        <w:numPr>
          <w:ilvl w:val="0"/>
          <w:numId w:val="2"/>
        </w:numPr>
        <w:spacing w:after="100"/>
      </w:pPr>
      <w:r>
        <w:t xml:space="preserve">Kampanjamateriaalien viimeistely: sähköpostipohjat, esitteet, demoympäristö</w:t>
      </w:r>
    </w:p>
    <w:p>
      <w:pPr>
        <w:pStyle w:val="ListParagraph"/>
        <w:numPr>
          <w:ilvl w:val="0"/>
          <w:numId w:val="2"/>
        </w:numPr>
        <w:spacing w:after="100"/>
      </w:pPr>
      <w:r>
        <w:t xml:space="preserve">Opoille ja rehtoreille suunnatun yhteystietolistan kokoaminen ja segmentointi</w:t>
      </w:r>
    </w:p>
    <w:p>
      <w:pPr>
        <w:pStyle w:val="ListParagraph"/>
        <w:numPr>
          <w:ilvl w:val="0"/>
          <w:numId w:val="2"/>
        </w:numPr>
        <w:spacing w:after="100"/>
      </w:pPr>
      <w:r>
        <w:t xml:space="preserve">Some-sisällön tuotanto elokuun lanseerausta varten, mukaan lukien video-minikampanjan kahden videon (opolle ja oppilaille) kuvaus, editointi ja tekstitys (ks. luku 6.3)</w:t>
      </w:r>
    </w:p>
    <w:p>
      <w:pPr>
        <w:pStyle w:val="ListParagraph"/>
        <w:numPr>
          <w:ilvl w:val="0"/>
          <w:numId w:val="2"/>
        </w:numPr>
        <w:spacing w:after="100"/>
      </w:pPr>
      <w:r>
        <w:t xml:space="preserve">Ensimmäinen sähköposti lämpimälle listalle: “Varmista oppilaanohjauksen materiaalit ennen lukuvuoden alkua”</w:t>
      </w:r>
    </w:p>
    <w:p>
      <w:pPr>
        <w:pStyle w:val="Heading2"/>
      </w:pPr>
      <w:r>
        <w:t xml:space="preserve">Kuukausi 2 — Elokuu 2026: lukuvuoden alun myyntipyrähdys</w:t>
      </w:r>
    </w:p>
    <w:p>
      <w:pPr>
        <w:pStyle w:val="ListParagraph"/>
        <w:numPr>
          <w:ilvl w:val="0"/>
          <w:numId w:val="2"/>
        </w:numPr>
        <w:spacing w:after="100"/>
      </w:pPr>
      <w:r>
        <w:t xml:space="preserve">Pääkampanja käyntiin: kohdennettu sähköposti- ja somemarkkinointi koulujen alkaessa, mukaan lukien video-minikampanjan (2 videota: opolle ja oppilaille) julkaisu samaan aikaan Instagramissa, Facebookissa, LinkedInissä ja YouTubessa</w:t>
      </w:r>
    </w:p>
    <w:p>
      <w:pPr>
        <w:pStyle w:val="ListParagraph"/>
        <w:numPr>
          <w:ilvl w:val="0"/>
          <w:numId w:val="2"/>
        </w:numPr>
        <w:spacing w:after="100"/>
      </w:pPr>
      <w:r>
        <w:t xml:space="preserve">Ilmaiskokeilujen aktiivinen tarjoaminen ja seuranta, henkilökohtaiset demot kiinnostuneille opoille</w:t>
      </w:r>
    </w:p>
    <w:p>
      <w:pPr>
        <w:pStyle w:val="ListParagraph"/>
        <w:numPr>
          <w:ilvl w:val="0"/>
          <w:numId w:val="2"/>
        </w:numPr>
        <w:spacing w:after="100"/>
      </w:pPr>
      <w:r>
        <w:t xml:space="preserve">Ensimmäisten uusien käyttäjien tukeminen ja palautteen kerääminen suosittelijoiksi</w:t>
      </w:r>
    </w:p>
    <w:p>
      <w:pPr>
        <w:pStyle w:val="Heading2"/>
      </w:pPr>
      <w:r>
        <w:t xml:space="preserve">Kuukausi 3 — Syyskuu 2026: syventäminen ja kuntavaikuttaminen</w:t>
      </w:r>
    </w:p>
    <w:p>
      <w:pPr>
        <w:pStyle w:val="ListParagraph"/>
        <w:numPr>
          <w:ilvl w:val="0"/>
          <w:numId w:val="2"/>
        </w:numPr>
        <w:spacing w:after="100"/>
      </w:pPr>
      <w:r>
        <w:t xml:space="preserve">Referenssitarinoiden ja käyttäjäpalautteiden julkaisu (koulut, jotka aloittivat elokuussa)</w:t>
      </w:r>
    </w:p>
    <w:p>
      <w:pPr>
        <w:pStyle w:val="ListParagraph"/>
        <w:numPr>
          <w:ilvl w:val="0"/>
          <w:numId w:val="2"/>
        </w:numPr>
        <w:spacing w:after="100"/>
      </w:pPr>
      <w:r>
        <w:t xml:space="preserve">Päätöksentekijän muistion lähettäminen kuntien opetustoimille — vuoden 2027 budjettikeskusteluun</w:t>
      </w:r>
    </w:p>
    <w:p>
      <w:pPr>
        <w:pStyle w:val="ListParagraph"/>
        <w:numPr>
          <w:ilvl w:val="0"/>
          <w:numId w:val="2"/>
        </w:numPr>
        <w:spacing w:after="100"/>
      </w:pPr>
      <w:r>
        <w:t xml:space="preserve">Kampanjan tulosten koonti ja suunnitelma seuraavalle jaksolle (loka–joulukuu 2026)</w:t>
      </w:r>
    </w:p>
    <w:p>
      <w:pPr>
        <w:pStyle w:val="Heading1"/>
      </w:pPr>
      <w:r>
        <w:t xml:space="preserve">8. Budjettirunko</w:t>
      </w:r>
    </w:p>
    <w:p>
      <w:pPr>
        <w:spacing w:after="160"/>
      </w:pPr>
      <w:r>
        <w:t xml:space="preserve">Alustava jako kolmen kuukauden kampanjabudjetille — tarkat euromäärät sovitetaan käytettävissä olevaan budjettiin.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CCCCCC" w:sz="2"/>
              <w:left w:val="single" w:color="CCCCCC" w:sz="2"/>
              <w:bottom w:val="single" w:color="CCCCCC" w:sz="2"/>
              <w:right w:val="single" w:color="CCCCCC" w:sz="2"/>
            </w:tcBorders>
            <w:shd w:fill="1a3f6f" w:val="clear"/>
            <w:tcMar>
              <w:top w:type="dxa" w:w="80"/>
              <w:left w:type="dxa" w:w="120"/>
              <w:bottom w:type="dxa" w:w="80"/>
              <w:right w:type="dxa" w:w="120"/>
            </w:tcMar>
          </w:tcPr>
          <w:p>
            <w:r>
              <w:rPr>
                <w:b/>
                <w:bCs/>
                <w:color w:val="FFFFFF"/>
                <w:sz w:val="20"/>
                <w:szCs w:val="20"/>
              </w:rPr>
              <w:t xml:space="preserve">Kuluerä</w:t>
            </w:r>
          </w:p>
        </w:tc>
        <w:tc>
          <w:tcPr>
            <w:tcW w:type="dxa" w:w="2340"/>
            <w:tcBorders>
              <w:top w:val="single" w:color="CCCCCC" w:sz="2"/>
              <w:left w:val="single" w:color="CCCCCC" w:sz="2"/>
              <w:bottom w:val="single" w:color="CCCCCC" w:sz="2"/>
              <w:right w:val="single" w:color="CCCCCC" w:sz="2"/>
            </w:tcBorders>
            <w:shd w:fill="1a3f6f" w:val="clear"/>
            <w:tcMar>
              <w:top w:type="dxa" w:w="80"/>
              <w:left w:type="dxa" w:w="120"/>
              <w:bottom w:type="dxa" w:w="80"/>
              <w:right w:type="dxa" w:w="120"/>
            </w:tcMar>
          </w:tcPr>
          <w:p>
            <w:r>
              <w:rPr>
                <w:b/>
                <w:bCs/>
                <w:color w:val="FFFFFF"/>
                <w:sz w:val="20"/>
                <w:szCs w:val="20"/>
              </w:rPr>
              <w:t xml:space="preserve">Osuus budjetista</w:t>
            </w:r>
          </w:p>
        </w:tc>
        <w:tc>
          <w:tcPr>
            <w:tcW w:type="dxa" w:w="2340"/>
            <w:tcBorders>
              <w:top w:val="single" w:color="CCCCCC" w:sz="2"/>
              <w:left w:val="single" w:color="CCCCCC" w:sz="2"/>
              <w:bottom w:val="single" w:color="CCCCCC" w:sz="2"/>
              <w:right w:val="single" w:color="CCCCCC" w:sz="2"/>
            </w:tcBorders>
            <w:shd w:fill="1a3f6f" w:val="clear"/>
            <w:tcMar>
              <w:top w:type="dxa" w:w="80"/>
              <w:left w:type="dxa" w:w="120"/>
              <w:bottom w:type="dxa" w:w="80"/>
              <w:right w:type="dxa" w:w="120"/>
            </w:tcMar>
          </w:tcPr>
          <w:p>
            <w:r>
              <w:rPr>
                <w:b/>
                <w:bCs/>
                <w:color w:val="FFFFFF"/>
                <w:sz w:val="20"/>
                <w:szCs w:val="20"/>
              </w:rPr>
              <w:t xml:space="preserve">Huomio</w:t>
            </w:r>
          </w:p>
        </w:tc>
      </w:tr>
      <w:tr>
        <w:tc>
          <w:tcPr>
            <w:tcW w:type="dxa" w:w="4680"/>
            <w:tcBorders>
              <w:top w:val="single" w:color="CCCCCC" w:sz="2"/>
              <w:left w:val="single" w:color="CCCCCC" w:sz="2"/>
              <w:bottom w:val="single" w:color="CCCCCC" w:sz="2"/>
              <w:right w:val="single" w:color="CCCCCC" w:sz="2"/>
            </w:tcBorders>
            <w:shd w:fill="F7F9FC" w:val="clear"/>
            <w:tcMar>
              <w:top w:type="dxa" w:w="80"/>
              <w:left w:type="dxa" w:w="120"/>
              <w:bottom w:type="dxa" w:w="80"/>
              <w:right w:type="dxa" w:w="120"/>
            </w:tcMar>
          </w:tcPr>
          <w:p>
            <w:r>
              <w:rPr>
                <w:sz w:val="19"/>
                <w:szCs w:val="19"/>
              </w:rPr>
              <w:t xml:space="preserve">Some-mainonta (LinkedIn, Meta)</w:t>
            </w:r>
          </w:p>
        </w:tc>
        <w:tc>
          <w:tcPr>
            <w:tcW w:type="dxa" w:w="2340"/>
            <w:tcBorders>
              <w:top w:val="single" w:color="CCCCCC" w:sz="2"/>
              <w:left w:val="single" w:color="CCCCCC" w:sz="2"/>
              <w:bottom w:val="single" w:color="CCCCCC" w:sz="2"/>
              <w:right w:val="single" w:color="CCCCCC" w:sz="2"/>
            </w:tcBorders>
            <w:shd w:fill="F7F9FC" w:val="clear"/>
            <w:tcMar>
              <w:top w:type="dxa" w:w="80"/>
              <w:left w:type="dxa" w:w="120"/>
              <w:bottom w:type="dxa" w:w="80"/>
              <w:right w:type="dxa" w:w="120"/>
            </w:tcMar>
          </w:tcPr>
          <w:p>
            <w:r>
              <w:rPr>
                <w:sz w:val="19"/>
                <w:szCs w:val="19"/>
              </w:rPr>
              <w:t xml:space="preserve">25 %</w:t>
            </w:r>
          </w:p>
        </w:tc>
        <w:tc>
          <w:tcPr>
            <w:tcW w:type="dxa" w:w="2340"/>
            <w:tcBorders>
              <w:top w:val="single" w:color="CCCCCC" w:sz="2"/>
              <w:left w:val="single" w:color="CCCCCC" w:sz="2"/>
              <w:bottom w:val="single" w:color="CCCCCC" w:sz="2"/>
              <w:right w:val="single" w:color="CCCCCC" w:sz="2"/>
            </w:tcBorders>
            <w:shd w:fill="F7F9FC" w:val="clear"/>
            <w:tcMar>
              <w:top w:type="dxa" w:w="80"/>
              <w:left w:type="dxa" w:w="120"/>
              <w:bottom w:type="dxa" w:w="80"/>
              <w:right w:type="dxa" w:w="120"/>
            </w:tcMar>
          </w:tcPr>
          <w:p>
            <w:r>
              <w:rPr>
                <w:sz w:val="19"/>
                <w:szCs w:val="19"/>
              </w:rPr>
              <w:t xml:space="preserve">Kohdennus rehtoreihin ja opoihin</w:t>
            </w:r>
          </w:p>
        </w:tc>
      </w:tr>
      <w:tr>
        <w:tc>
          <w:tcPr>
            <w:tcW w:type="dxa" w:w="46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19"/>
                <w:szCs w:val="19"/>
              </w:rPr>
              <w:t xml:space="preserve">Sisällöntuotanto (some, blogi, esitteet)</w:t>
            </w:r>
          </w:p>
        </w:tc>
        <w:tc>
          <w:tcPr>
            <w:tcW w:type="dxa" w:w="234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19"/>
                <w:szCs w:val="19"/>
              </w:rPr>
              <w:t xml:space="preserve">20 %</w:t>
            </w:r>
          </w:p>
        </w:tc>
        <w:tc>
          <w:tcPr>
            <w:tcW w:type="dxa" w:w="234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19"/>
                <w:szCs w:val="19"/>
              </w:rPr>
              <w:t xml:space="preserve">Osin tehtävissä sisäisesti</w:t>
            </w:r>
          </w:p>
        </w:tc>
      </w:tr>
      <w:tr>
        <w:tc>
          <w:tcPr>
            <w:tcW w:type="dxa" w:w="4680"/>
            <w:tcBorders>
              <w:top w:val="single" w:color="CCCCCC" w:sz="2"/>
              <w:left w:val="single" w:color="CCCCCC" w:sz="2"/>
              <w:bottom w:val="single" w:color="CCCCCC" w:sz="2"/>
              <w:right w:val="single" w:color="CCCCCC" w:sz="2"/>
            </w:tcBorders>
            <w:shd w:fill="F7F9FC" w:val="clear"/>
            <w:tcMar>
              <w:top w:type="dxa" w:w="80"/>
              <w:left w:type="dxa" w:w="120"/>
              <w:bottom w:type="dxa" w:w="80"/>
              <w:right w:type="dxa" w:w="120"/>
            </w:tcMar>
          </w:tcPr>
          <w:p>
            <w:r>
              <w:rPr>
                <w:sz w:val="19"/>
                <w:szCs w:val="19"/>
              </w:rPr>
              <w:t xml:space="preserve">Sähköpostityökalu ja liidien hallinta</w:t>
            </w:r>
          </w:p>
        </w:tc>
        <w:tc>
          <w:tcPr>
            <w:tcW w:type="dxa" w:w="2340"/>
            <w:tcBorders>
              <w:top w:val="single" w:color="CCCCCC" w:sz="2"/>
              <w:left w:val="single" w:color="CCCCCC" w:sz="2"/>
              <w:bottom w:val="single" w:color="CCCCCC" w:sz="2"/>
              <w:right w:val="single" w:color="CCCCCC" w:sz="2"/>
            </w:tcBorders>
            <w:shd w:fill="F7F9FC" w:val="clear"/>
            <w:tcMar>
              <w:top w:type="dxa" w:w="80"/>
              <w:left w:type="dxa" w:w="120"/>
              <w:bottom w:type="dxa" w:w="80"/>
              <w:right w:type="dxa" w:w="120"/>
            </w:tcMar>
          </w:tcPr>
          <w:p>
            <w:r>
              <w:rPr>
                <w:sz w:val="19"/>
                <w:szCs w:val="19"/>
              </w:rPr>
              <w:t xml:space="preserve">15 %</w:t>
            </w:r>
          </w:p>
        </w:tc>
        <w:tc>
          <w:tcPr>
            <w:tcW w:type="dxa" w:w="2340"/>
            <w:tcBorders>
              <w:top w:val="single" w:color="CCCCCC" w:sz="2"/>
              <w:left w:val="single" w:color="CCCCCC" w:sz="2"/>
              <w:bottom w:val="single" w:color="CCCCCC" w:sz="2"/>
              <w:right w:val="single" w:color="CCCCCC" w:sz="2"/>
            </w:tcBorders>
            <w:shd w:fill="F7F9FC" w:val="clear"/>
            <w:tcMar>
              <w:top w:type="dxa" w:w="80"/>
              <w:left w:type="dxa" w:w="120"/>
              <w:bottom w:type="dxa" w:w="80"/>
              <w:right w:type="dxa" w:w="120"/>
            </w:tcMar>
          </w:tcPr>
          <w:p>
            <w:r>
              <w:rPr>
                <w:sz w:val="19"/>
                <w:szCs w:val="19"/>
              </w:rPr>
              <w:t xml:space="preserve">CRM/uutiskirjetyökalu</w:t>
            </w:r>
          </w:p>
        </w:tc>
      </w:tr>
      <w:tr>
        <w:tc>
          <w:tcPr>
            <w:tcW w:type="dxa" w:w="46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19"/>
                <w:szCs w:val="19"/>
              </w:rPr>
              <w:t xml:space="preserve">Tapahtumat ja verkostoituminen</w:t>
            </w:r>
          </w:p>
        </w:tc>
        <w:tc>
          <w:tcPr>
            <w:tcW w:type="dxa" w:w="234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19"/>
                <w:szCs w:val="19"/>
              </w:rPr>
              <w:t xml:space="preserve">20 %</w:t>
            </w:r>
          </w:p>
        </w:tc>
        <w:tc>
          <w:tcPr>
            <w:tcW w:type="dxa" w:w="234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19"/>
                <w:szCs w:val="19"/>
              </w:rPr>
              <w:t xml:space="preserve">Osallistumismaksut, matkakulut</w:t>
            </w:r>
          </w:p>
        </w:tc>
      </w:tr>
      <w:tr>
        <w:tc>
          <w:tcPr>
            <w:tcW w:type="dxa" w:w="4680"/>
            <w:tcBorders>
              <w:top w:val="single" w:color="CCCCCC" w:sz="2"/>
              <w:left w:val="single" w:color="CCCCCC" w:sz="2"/>
              <w:bottom w:val="single" w:color="CCCCCC" w:sz="2"/>
              <w:right w:val="single" w:color="CCCCCC" w:sz="2"/>
            </w:tcBorders>
            <w:shd w:fill="F7F9FC" w:val="clear"/>
            <w:tcMar>
              <w:top w:type="dxa" w:w="80"/>
              <w:left w:type="dxa" w:w="120"/>
              <w:bottom w:type="dxa" w:w="80"/>
              <w:right w:type="dxa" w:w="120"/>
            </w:tcMar>
          </w:tcPr>
          <w:p>
            <w:r>
              <w:rPr>
                <w:sz w:val="19"/>
                <w:szCs w:val="19"/>
              </w:rPr>
              <w:t xml:space="preserve">Varaus/kokeilulisenssit (ilmaiskokeilut)</w:t>
            </w:r>
          </w:p>
        </w:tc>
        <w:tc>
          <w:tcPr>
            <w:tcW w:type="dxa" w:w="2340"/>
            <w:tcBorders>
              <w:top w:val="single" w:color="CCCCCC" w:sz="2"/>
              <w:left w:val="single" w:color="CCCCCC" w:sz="2"/>
              <w:bottom w:val="single" w:color="CCCCCC" w:sz="2"/>
              <w:right w:val="single" w:color="CCCCCC" w:sz="2"/>
            </w:tcBorders>
            <w:shd w:fill="F7F9FC" w:val="clear"/>
            <w:tcMar>
              <w:top w:type="dxa" w:w="80"/>
              <w:left w:type="dxa" w:w="120"/>
              <w:bottom w:type="dxa" w:w="80"/>
              <w:right w:type="dxa" w:w="120"/>
            </w:tcMar>
          </w:tcPr>
          <w:p>
            <w:r>
              <w:rPr>
                <w:sz w:val="19"/>
                <w:szCs w:val="19"/>
              </w:rPr>
              <w:t xml:space="preserve">10 %</w:t>
            </w:r>
          </w:p>
        </w:tc>
        <w:tc>
          <w:tcPr>
            <w:tcW w:type="dxa" w:w="2340"/>
            <w:tcBorders>
              <w:top w:val="single" w:color="CCCCCC" w:sz="2"/>
              <w:left w:val="single" w:color="CCCCCC" w:sz="2"/>
              <w:bottom w:val="single" w:color="CCCCCC" w:sz="2"/>
              <w:right w:val="single" w:color="CCCCCC" w:sz="2"/>
            </w:tcBorders>
            <w:shd w:fill="F7F9FC" w:val="clear"/>
            <w:tcMar>
              <w:top w:type="dxa" w:w="80"/>
              <w:left w:type="dxa" w:w="120"/>
              <w:bottom w:type="dxa" w:w="80"/>
              <w:right w:type="dxa" w:w="120"/>
            </w:tcMar>
          </w:tcPr>
          <w:p>
            <w:r>
              <w:rPr>
                <w:sz w:val="19"/>
                <w:szCs w:val="19"/>
              </w:rPr>
              <w:t xml:space="preserve">Tulonmenetys, ei kassakulu</w:t>
            </w:r>
          </w:p>
        </w:tc>
      </w:tr>
      <w:tr>
        <w:tc>
          <w:tcPr>
            <w:tcW w:type="dxa" w:w="468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19"/>
                <w:szCs w:val="19"/>
              </w:rPr>
              <w:t xml:space="preserve">Videotuotanto (2 lyhytvideota: kuvaus, editointi, tekstitys)</w:t>
            </w:r>
          </w:p>
        </w:tc>
        <w:tc>
          <w:tcPr>
            <w:tcW w:type="dxa" w:w="234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19"/>
                <w:szCs w:val="19"/>
              </w:rPr>
              <w:t xml:space="preserve">10 %</w:t>
            </w:r>
          </w:p>
        </w:tc>
        <w:tc>
          <w:tcPr>
            <w:tcW w:type="dxa" w:w="234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19"/>
                <w:szCs w:val="19"/>
              </w:rPr>
              <w:t xml:space="preserve">Julkaistaan kaikilla kanavilla (IG, FB, LinkedIn, YouTube)</w:t>
            </w:r>
          </w:p>
        </w:tc>
      </w:tr>
    </w:tbl>
    <w:p>
      <w:pPr>
        <w:spacing w:before="200"/>
      </w:pPr>
    </w:p>
    <w:p>
      <w:pPr>
        <w:pStyle w:val="Heading1"/>
      </w:pPr>
      <w:r>
        <w:t xml:space="preserve">9. Riskit ja niiden hallinta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2"/>
              <w:left w:val="single" w:color="CCCCCC" w:sz="2"/>
              <w:bottom w:val="single" w:color="CCCCCC" w:sz="2"/>
              <w:right w:val="single" w:color="CCCCCC" w:sz="2"/>
            </w:tcBorders>
            <w:shd w:fill="1a3f6f" w:val="clear"/>
            <w:tcMar>
              <w:top w:type="dxa" w:w="80"/>
              <w:left w:type="dxa" w:w="120"/>
              <w:bottom w:type="dxa" w:w="80"/>
              <w:right w:type="dxa" w:w="120"/>
            </w:tcMar>
          </w:tcPr>
          <w:p>
            <w:r>
              <w:rPr>
                <w:b/>
                <w:bCs/>
                <w:color w:val="FFFFFF"/>
                <w:sz w:val="20"/>
                <w:szCs w:val="20"/>
              </w:rPr>
              <w:t xml:space="preserve">Riski</w:t>
            </w:r>
          </w:p>
        </w:tc>
        <w:tc>
          <w:tcPr>
            <w:tcW w:type="dxa" w:w="3120"/>
            <w:tcBorders>
              <w:top w:val="single" w:color="CCCCCC" w:sz="2"/>
              <w:left w:val="single" w:color="CCCCCC" w:sz="2"/>
              <w:bottom w:val="single" w:color="CCCCCC" w:sz="2"/>
              <w:right w:val="single" w:color="CCCCCC" w:sz="2"/>
            </w:tcBorders>
            <w:shd w:fill="1a3f6f" w:val="clear"/>
            <w:tcMar>
              <w:top w:type="dxa" w:w="80"/>
              <w:left w:type="dxa" w:w="120"/>
              <w:bottom w:type="dxa" w:w="80"/>
              <w:right w:type="dxa" w:w="120"/>
            </w:tcMar>
          </w:tcPr>
          <w:p>
            <w:r>
              <w:rPr>
                <w:b/>
                <w:bCs/>
                <w:color w:val="FFFFFF"/>
                <w:sz w:val="20"/>
                <w:szCs w:val="20"/>
              </w:rPr>
              <w:t xml:space="preserve">Vaikutus</w:t>
            </w:r>
          </w:p>
        </w:tc>
        <w:tc>
          <w:tcPr>
            <w:tcW w:type="dxa" w:w="3120"/>
            <w:tcBorders>
              <w:top w:val="single" w:color="CCCCCC" w:sz="2"/>
              <w:left w:val="single" w:color="CCCCCC" w:sz="2"/>
              <w:bottom w:val="single" w:color="CCCCCC" w:sz="2"/>
              <w:right w:val="single" w:color="CCCCCC" w:sz="2"/>
            </w:tcBorders>
            <w:shd w:fill="1a3f6f" w:val="clear"/>
            <w:tcMar>
              <w:top w:type="dxa" w:w="80"/>
              <w:left w:type="dxa" w:w="120"/>
              <w:bottom w:type="dxa" w:w="80"/>
              <w:right w:type="dxa" w:w="120"/>
            </w:tcMar>
          </w:tcPr>
          <w:p>
            <w:r>
              <w:rPr>
                <w:b/>
                <w:bCs/>
                <w:color w:val="FFFFFF"/>
                <w:sz w:val="20"/>
                <w:szCs w:val="20"/>
              </w:rPr>
              <w:t xml:space="preserve">Hallintakeino</w:t>
            </w:r>
          </w:p>
        </w:tc>
      </w:tr>
      <w:tr>
        <w:tc>
          <w:tcPr>
            <w:tcW w:type="dxa" w:w="3120"/>
            <w:tcBorders>
              <w:top w:val="single" w:color="CCCCCC" w:sz="2"/>
              <w:left w:val="single" w:color="CCCCCC" w:sz="2"/>
              <w:bottom w:val="single" w:color="CCCCCC" w:sz="2"/>
              <w:right w:val="single" w:color="CCCCCC" w:sz="2"/>
            </w:tcBorders>
            <w:shd w:fill="F7F9FC" w:val="clear"/>
            <w:tcMar>
              <w:top w:type="dxa" w:w="80"/>
              <w:left w:type="dxa" w:w="120"/>
              <w:bottom w:type="dxa" w:w="80"/>
              <w:right w:type="dxa" w:w="120"/>
            </w:tcMar>
          </w:tcPr>
          <w:p>
            <w:r>
              <w:rPr>
                <w:sz w:val="19"/>
                <w:szCs w:val="19"/>
              </w:rPr>
              <w:t xml:space="preserve">Opot ovat jo valinneet materiaalit kevätlukukaudella</w:t>
            </w:r>
          </w:p>
        </w:tc>
        <w:tc>
          <w:tcPr>
            <w:tcW w:type="dxa" w:w="3120"/>
            <w:tcBorders>
              <w:top w:val="single" w:color="CCCCCC" w:sz="2"/>
              <w:left w:val="single" w:color="CCCCCC" w:sz="2"/>
              <w:bottom w:val="single" w:color="CCCCCC" w:sz="2"/>
              <w:right w:val="single" w:color="CCCCCC" w:sz="2"/>
            </w:tcBorders>
            <w:shd w:fill="F7F9FC" w:val="clear"/>
            <w:tcMar>
              <w:top w:type="dxa" w:w="80"/>
              <w:left w:type="dxa" w:w="120"/>
              <w:bottom w:type="dxa" w:w="80"/>
              <w:right w:type="dxa" w:w="120"/>
            </w:tcMar>
          </w:tcPr>
          <w:p>
            <w:r>
              <w:rPr>
                <w:sz w:val="19"/>
                <w:szCs w:val="19"/>
              </w:rPr>
              <w:t xml:space="preserve">Hidas myynti elokuussa</w:t>
            </w:r>
          </w:p>
        </w:tc>
        <w:tc>
          <w:tcPr>
            <w:tcW w:type="dxa" w:w="3120"/>
            <w:tcBorders>
              <w:top w:val="single" w:color="CCCCCC" w:sz="2"/>
              <w:left w:val="single" w:color="CCCCCC" w:sz="2"/>
              <w:bottom w:val="single" w:color="CCCCCC" w:sz="2"/>
              <w:right w:val="single" w:color="CCCCCC" w:sz="2"/>
            </w:tcBorders>
            <w:shd w:fill="F7F9FC" w:val="clear"/>
            <w:tcMar>
              <w:top w:type="dxa" w:w="80"/>
              <w:left w:type="dxa" w:w="120"/>
              <w:bottom w:type="dxa" w:w="80"/>
              <w:right w:type="dxa" w:w="120"/>
            </w:tcMar>
          </w:tcPr>
          <w:p>
            <w:r>
              <w:rPr>
                <w:sz w:val="19"/>
                <w:szCs w:val="19"/>
              </w:rPr>
              <w:t xml:space="preserve">Painotetaan täydentävää käyttöä ja ilmaiskokeiluja, tavoitellaan seuraavaa lukuvuotta</w:t>
            </w:r>
          </w:p>
        </w:tc>
      </w:tr>
      <w:tr>
        <w:tc>
          <w:tcPr>
            <w:tcW w:type="dxa" w:w="312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19"/>
                <w:szCs w:val="19"/>
              </w:rPr>
              <w:t xml:space="preserve">Kuntien hankintaprosessit hitaita</w:t>
            </w:r>
          </w:p>
        </w:tc>
        <w:tc>
          <w:tcPr>
            <w:tcW w:type="dxa" w:w="312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19"/>
                <w:szCs w:val="19"/>
              </w:rPr>
              <w:t xml:space="preserve">Pitkä myyntisykli isommissa tilauksissa</w:t>
            </w:r>
          </w:p>
        </w:tc>
        <w:tc>
          <w:tcPr>
            <w:tcW w:type="dxa" w:w="312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19"/>
                <w:szCs w:val="19"/>
              </w:rPr>
              <w:t xml:space="preserve">Painotetaan itsepalvelulisenssiä yksittäisille opoille, kuntatason myynti nähdään pidemmän aikavälin tavoitteena</w:t>
            </w:r>
          </w:p>
        </w:tc>
      </w:tr>
      <w:tr>
        <w:tc>
          <w:tcPr>
            <w:tcW w:type="dxa" w:w="3120"/>
            <w:tcBorders>
              <w:top w:val="single" w:color="CCCCCC" w:sz="2"/>
              <w:left w:val="single" w:color="CCCCCC" w:sz="2"/>
              <w:bottom w:val="single" w:color="CCCCCC" w:sz="2"/>
              <w:right w:val="single" w:color="CCCCCC" w:sz="2"/>
            </w:tcBorders>
            <w:shd w:fill="F7F9FC" w:val="clear"/>
            <w:tcMar>
              <w:top w:type="dxa" w:w="80"/>
              <w:left w:type="dxa" w:w="120"/>
              <w:bottom w:type="dxa" w:w="80"/>
              <w:right w:type="dxa" w:w="120"/>
            </w:tcMar>
          </w:tcPr>
          <w:p>
            <w:r>
              <w:rPr>
                <w:sz w:val="19"/>
                <w:szCs w:val="19"/>
              </w:rPr>
              <w:t xml:space="preserve">Kilpailijoiden vahva markkina-asema</w:t>
            </w:r>
          </w:p>
        </w:tc>
        <w:tc>
          <w:tcPr>
            <w:tcW w:type="dxa" w:w="3120"/>
            <w:tcBorders>
              <w:top w:val="single" w:color="CCCCCC" w:sz="2"/>
              <w:left w:val="single" w:color="CCCCCC" w:sz="2"/>
              <w:bottom w:val="single" w:color="CCCCCC" w:sz="2"/>
              <w:right w:val="single" w:color="CCCCCC" w:sz="2"/>
            </w:tcBorders>
            <w:shd w:fill="F7F9FC" w:val="clear"/>
            <w:tcMar>
              <w:top w:type="dxa" w:w="80"/>
              <w:left w:type="dxa" w:w="120"/>
              <w:bottom w:type="dxa" w:w="80"/>
              <w:right w:type="dxa" w:w="120"/>
            </w:tcMar>
          </w:tcPr>
          <w:p>
            <w:r>
              <w:rPr>
                <w:sz w:val="19"/>
                <w:szCs w:val="19"/>
              </w:rPr>
              <w:t xml:space="preserve">Vaikea saada huomiota isojen kustantajien rinnalla</w:t>
            </w:r>
          </w:p>
        </w:tc>
        <w:tc>
          <w:tcPr>
            <w:tcW w:type="dxa" w:w="3120"/>
            <w:tcBorders>
              <w:top w:val="single" w:color="CCCCCC" w:sz="2"/>
              <w:left w:val="single" w:color="CCCCCC" w:sz="2"/>
              <w:bottom w:val="single" w:color="CCCCCC" w:sz="2"/>
              <w:right w:val="single" w:color="CCCCCC" w:sz="2"/>
            </w:tcBorders>
            <w:shd w:fill="F7F9FC" w:val="clear"/>
            <w:tcMar>
              <w:top w:type="dxa" w:w="80"/>
              <w:left w:type="dxa" w:w="120"/>
              <w:bottom w:type="dxa" w:w="80"/>
              <w:right w:type="dxa" w:w="120"/>
            </w:tcMar>
          </w:tcPr>
          <w:p>
            <w:r>
              <w:rPr>
                <w:sz w:val="19"/>
                <w:szCs w:val="19"/>
              </w:rPr>
              <w:t xml:space="preserve">Erottautuminen hinnalla, ketteryydellä ja käyttökokemuksella; referenssit ja suosittelut</w:t>
            </w:r>
          </w:p>
        </w:tc>
      </w:tr>
      <w:tr>
        <w:tc>
          <w:tcPr>
            <w:tcW w:type="dxa" w:w="312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19"/>
                <w:szCs w:val="19"/>
              </w:rPr>
              <w:t xml:space="preserve">Rajallinen markkinointibudjetti</w:t>
            </w:r>
          </w:p>
        </w:tc>
        <w:tc>
          <w:tcPr>
            <w:tcW w:type="dxa" w:w="312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19"/>
                <w:szCs w:val="19"/>
              </w:rPr>
              <w:t xml:space="preserve">Näkyvyys jää pieneksi</w:t>
            </w:r>
          </w:p>
        </w:tc>
        <w:tc>
          <w:tcPr>
            <w:tcW w:type="dxa" w:w="312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19"/>
                <w:szCs w:val="19"/>
              </w:rPr>
              <w:t xml:space="preserve">Painotetaan orgaanista sisältöä, suoria opokontakteja ja verkostoja maksetun mainonnan sijaan</w:t>
            </w:r>
          </w:p>
        </w:tc>
      </w:tr>
    </w:tbl>
    <w:p>
      <w:pPr>
        <w:spacing w:before="200"/>
      </w:pPr>
    </w:p>
    <w:p>
      <w:pPr>
        <w:pStyle w:val="Heading1"/>
      </w:pPr>
      <w:r>
        <w:t xml:space="preserve">10. Seuranta ja jatko</w:t>
      </w:r>
    </w:p>
    <w:p>
      <w:pPr>
        <w:spacing w:after="160"/>
      </w:pPr>
      <w:r>
        <w:t xml:space="preserve">Kampanjan etenemistä seurataan viikoittain (liidit, kokeilut, tilaukset) ja tuloksia arvioidaan kokonaisuutena syyskuun lopussa. Onnistumisen perusteella suunnitellaan seuraava jakso (loka–joulukuu 2026), jonka painopisteenä on kuntien vuoden 2027 talousarviopäätösten tukeminen ja referenssikoulujen määrän kasvattaminen ennen kevään 2027 hankintapäätöksiä.</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Sivu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b7280"/>
        <w:sz w:val="16"/>
        <w:szCs w:val="16"/>
      </w:rPr>
      <w:t xml:space="preserve">DigiOpo · Omilla Jäljillä — Markkinointisuunnitelma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25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d9e6b" w:sz="6" w:space="4"/>
      </w:pBdr>
      <w:spacing w:after="200" w:before="360"/>
      <w:outlineLvl w:val="0"/>
    </w:pPr>
    <w:rPr>
      <w:rFonts w:ascii="Arial" w:cs="Arial" w:eastAsia="Arial" w:hAnsi="Arial"/>
      <w:b/>
      <w:bCs/>
      <w:color w:val="1a3f6f"/>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a3f6f"/>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2026-07-01T09:09:36.660Z</dcterms:created>
  <dcterms:modified xsi:type="dcterms:W3CDTF">2026-07-01T09:09:36.660Z</dcterms:modified>
</cp:coreProperties>
</file>

<file path=docProps/custom.xml><?xml version="1.0" encoding="utf-8"?>
<Properties xmlns="http://schemas.openxmlformats.org/officeDocument/2006/custom-properties" xmlns:vt="http://schemas.openxmlformats.org/officeDocument/2006/docPropsVTypes"/>
</file>