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Services Agreement</w:t>
      </w:r>
    </w:p>
    <w:p>
      <w:r>
        <w:t>Contract Reference: TEST-CLEAN-01</w:t>
      </w:r>
    </w:p>
    <w:p>
      <w:r>
        <w:t>This Agreement ("Agreement") is entered into by and between Syngenta Crop Protection AG ("Syngenta") and Enterprise Solutions Inc. ("Provider"), effective as of October 1, 2026.</w:t>
      </w:r>
    </w:p>
    <w:p>
      <w:pPr>
        <w:pStyle w:val="Heading1"/>
      </w:pPr>
      <w:r>
        <w:t>Recitals</w:t>
      </w:r>
    </w:p>
    <w:p>
      <w:r>
        <w:t>WHEREAS, Syngenta requires modern digital enterprise cloud and consulting services; and</w:t>
      </w:r>
    </w:p>
    <w:p>
      <w:r>
        <w:t>WHEREAS, Provider possesses the requisite technical expertise and capacity to perform such services under balanced commercial terms.</w:t>
      </w:r>
    </w:p>
    <w:p>
      <w:pPr>
        <w:pStyle w:val="Heading2"/>
      </w:pPr>
      <w:r>
        <w:t>1. Scope of Cloud Services</w:t>
      </w:r>
    </w:p>
    <w:p>
      <w:r>
        <w:t>Provider shall make available enterprise cloud platform access to Syngenta in accordance with the Service Level Agreement (SLA) specified in Schedule A.</w:t>
      </w:r>
    </w:p>
    <w:p>
      <w:pPr>
        <w:pStyle w:val="Heading2"/>
      </w:pPr>
      <w:r>
        <w:t>2. Payment Terms &amp; Invoicing</w:t>
      </w:r>
    </w:p>
    <w:p>
      <w:r>
        <w:t>Syngenta shall pay undisputed invoices within thirty (30) days of receipt. Invoices shall clearly itemize subscription tiers and usage metrics.</w:t>
      </w:r>
    </w:p>
    <w:p>
      <w:pPr>
        <w:pStyle w:val="Heading2"/>
      </w:pPr>
      <w:r>
        <w:t>3. Limitation of Liability</w:t>
      </w:r>
    </w:p>
    <w:p>
      <w:r>
        <w:t>Except for breaches of confidentiality or willful misconduct, each party's maximum aggregate liability under this Agreement shall be limited to the total fees paid or payable by Syngenta in the twelve (12) months preceding the claim.</w:t>
      </w:r>
    </w:p>
    <w:p>
      <w:pPr>
        <w:pStyle w:val="Heading2"/>
      </w:pPr>
      <w:r>
        <w:t>4. Mutual Indemnification</w:t>
      </w:r>
    </w:p>
    <w:p>
      <w:r>
        <w:t>Each party agrees to defend, indemnify, and hold harmless the other party from and against third-party claims arising from gross negligence, willful misconduct, or infringement of third-party intellectual property rights.</w:t>
      </w:r>
    </w:p>
    <w:p>
      <w:pPr>
        <w:pStyle w:val="Heading2"/>
      </w:pPr>
      <w:r>
        <w:t>5. Term &amp; Notice of Renewal</w:t>
      </w:r>
    </w:p>
    <w:p>
      <w:r>
        <w:t>This Agreement shall remain in effect for one (1) year. Either party may terminate or opt out of automatic renewal by providing written notice at least thirty (30) days prior to the expiration of the current term.</w:t>
      </w:r>
    </w:p>
    <w:p>
      <w:pPr>
        <w:pStyle w:val="Heading2"/>
      </w:pPr>
      <w:r>
        <w:t>6. Intellectual Property &amp; Data Ownership</w:t>
      </w:r>
    </w:p>
    <w:p>
      <w:r>
        <w:t>Syngenta retains all right, title, and interest in and to its data, trademarks, and proprietary software. Provider acquires no rights to Syngenta data except as expressly needed to render the services.</w:t>
      </w:r>
    </w:p>
    <w:p>
      <w:pPr>
        <w:pStyle w:val="Heading2"/>
      </w:pPr>
      <w:r>
        <w:t>7. Governing Law &amp; Dispute Resolution</w:t>
      </w:r>
    </w:p>
    <w:p>
      <w:r>
        <w:t>This Agreement shall be governed by and construed in accordance with the laws of Switzerland. Any disputes shall be resolved through good-faith negotiations, and if necessary, binding arbitration under ICC rules in Zurich.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