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Consulting Agreement</w:t>
      </w:r>
    </w:p>
    <w:p>
      <w:r>
        <w:t>Contract Reference: TEST-CLEAN-02</w:t>
      </w:r>
    </w:p>
    <w:p>
      <w:r>
        <w:t>This Agreement ("Agreement") is entered into by and between Syngenta Crop Protection AG ("Syngenta") and Enterprise Solutions Inc. ("Provider"), effective as of October 1, 2026.</w:t>
      </w:r>
    </w:p>
    <w:p>
      <w:pPr>
        <w:pStyle w:val="Heading1"/>
      </w:pPr>
      <w:r>
        <w:t>Recitals</w:t>
      </w:r>
    </w:p>
    <w:p>
      <w:r>
        <w:t>WHEREAS, Syngenta requires modern digital enterprise cloud and consulting services; and</w:t>
      </w:r>
    </w:p>
    <w:p>
      <w:r>
        <w:t>WHEREAS, Provider possesses the requisite technical expertise and capacity to perform such services under balanced commercial terms.</w:t>
      </w:r>
    </w:p>
    <w:p>
      <w:pPr>
        <w:pStyle w:val="Heading2"/>
      </w:pPr>
      <w:r>
        <w:t>1. Consulting Services &amp; Milestone Deliverables</w:t>
      </w:r>
    </w:p>
    <w:p>
      <w:r>
        <w:t>Consultant will perform digital transformation advisory services as detailed in Statement of Work #1. Deliverables will be reviewed by Syngenta within fifteen (15) business days.</w:t>
      </w:r>
    </w:p>
    <w:p>
      <w:pPr>
        <w:pStyle w:val="Heading2"/>
      </w:pPr>
      <w:r>
        <w:t>2. Fees and Reimbursable Expenses</w:t>
      </w:r>
    </w:p>
    <w:p>
      <w:r>
        <w:t>Services will be billed on a milestone completion basis. Reasonable, pre-approved travel and accommodation expenses will be reimbursed at cost without markup upon submission of receipts.</w:t>
      </w:r>
    </w:p>
    <w:p>
      <w:pPr>
        <w:pStyle w:val="Heading2"/>
      </w:pPr>
      <w:r>
        <w:t>3. Standard Risk &amp; Liability Cap</w:t>
      </w:r>
    </w:p>
    <w:p>
      <w:r>
        <w:t>To the maximum extent permitted by applicable law, aggregate liability of either party for claims connected with this Agreement shall not exceed two times (2x) the total contract value.</w:t>
      </w:r>
    </w:p>
    <w:p>
      <w:pPr>
        <w:pStyle w:val="Heading2"/>
      </w:pPr>
      <w:r>
        <w:t>4. Confidentiality &amp; Non-Disclosure</w:t>
      </w:r>
    </w:p>
    <w:p>
      <w:r>
        <w:t>Both parties shall maintain strict confidentiality over proprietary technical and business information disclosed during the term of this Agreement for a period of three (3) years post-termination.</w:t>
      </w:r>
    </w:p>
    <w:p>
      <w:pPr>
        <w:pStyle w:val="Heading2"/>
      </w:pPr>
      <w:r>
        <w:t>5. Termination for Convenience</w:t>
      </w:r>
    </w:p>
    <w:p>
      <w:r>
        <w:t>Either party may terminate this Agreement without cause by giving thirty (30) days' prior written notice to the other party. Syngenta shall pay for all satisfactory services rendered up to the effective date of termination.</w:t>
      </w:r>
    </w:p>
    <w:p>
      <w:pPr>
        <w:pStyle w:val="Heading2"/>
      </w:pPr>
      <w:r>
        <w:t>6. Compliance &amp; Data Protection</w:t>
      </w:r>
    </w:p>
    <w:p>
      <w:r>
        <w:t>Consultant agrees to comply with all applicable data protection laws, including GDPR and local Swiss data regulations, when processing personal data on behalf of Syngenta.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