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Problematic Cloud Services Agreement</w:t>
      </w:r>
    </w:p>
    <w:p>
      <w:r>
        <w:t>Contract Reference: TEST-PROB-01</w:t>
      </w:r>
    </w:p>
    <w:p>
      <w:r>
        <w:t>This Agreement ("Agreement") is entered into by and between Syngenta Crop Protection AG ("Syngenta") and Enterprise Solutions Inc. ("Provider"), effective as of October 1, 2026.</w:t>
      </w:r>
    </w:p>
    <w:p>
      <w:pPr>
        <w:pStyle w:val="Heading1"/>
      </w:pPr>
      <w:r>
        <w:t>Recitals</w:t>
      </w:r>
    </w:p>
    <w:p>
      <w:r>
        <w:t>WHEREAS, Syngenta requires modern digital enterprise cloud and consulting services; and</w:t>
      </w:r>
    </w:p>
    <w:p>
      <w:r>
        <w:t>WHEREAS, Provider possesses the requisite technical expertise and capacity to perform such services under balanced commercial terms.</w:t>
      </w:r>
    </w:p>
    <w:p>
      <w:pPr>
        <w:pStyle w:val="Heading2"/>
      </w:pPr>
      <w:r>
        <w:t>1. Cloud Platform Access &amp; SLA</w:t>
      </w:r>
    </w:p>
    <w:p>
      <w:r>
        <w:t>Provider will provide software access on an 'as-is' basis without guaranteed uptime or service levels. Provider reserves the right to modify features at any time without prior notification.</w:t>
      </w:r>
    </w:p>
    <w:p>
      <w:pPr>
        <w:pStyle w:val="Heading2"/>
      </w:pPr>
      <w:r>
        <w:t>2. Pricing, Taxes &amp; Currency Adjustment Trap</w:t>
      </w:r>
    </w:p>
    <w:p>
      <w:r>
        <w:t>Syngenta shall settle all invoices within seven (7) days. Provider reserves the unilateral right to apply an automatic 15% quarterly rate hike and levy a 5% monthly penalty for any payment delay beyond 7 days.</w:t>
      </w:r>
    </w:p>
    <w:p>
      <w:pPr>
        <w:pStyle w:val="Heading2"/>
      </w:pPr>
      <w:r>
        <w:t>3. Uncapped Consequential Liability &amp; One-Sided Cap</w:t>
      </w:r>
    </w:p>
    <w:p>
      <w:r>
        <w:t>Provider's aggregate liability under this Agreement is strictly capped at $100 total. Syngenta shall be liable for all direct, indirect, special, punitive, and consequential damages of any kind incurred by Provider without any limit whatsoever.</w:t>
      </w:r>
    </w:p>
    <w:p>
      <w:pPr>
        <w:pStyle w:val="Heading2"/>
      </w:pPr>
      <w:r>
        <w:t>4. One-Sided Indemnification</w:t>
      </w:r>
    </w:p>
    <w:p>
      <w:r>
        <w:t>Syngenta shall fully defend, indemnify, and hold harmless Provider against all claims, losses, legal costs, and liabilities arising out of or related to Provider's provision of services or any operational disruption.</w:t>
      </w:r>
    </w:p>
    <w:p>
      <w:pPr>
        <w:pStyle w:val="Heading2"/>
      </w:pPr>
      <w:r>
        <w:t>5. Auto-Renewal Trap &amp; Excessive Lock-In</w:t>
      </w:r>
    </w:p>
    <w:p>
      <w:r>
        <w:t>This Agreement automatically renews for successive three (3) year terms unless Syngenta delivers written notice of non-renewal exactly between 180 and 175 days prior to expiration. Failure to meet this precise 5-day notice window results in irrevocable commitment to the full 3-year term.</w:t>
      </w:r>
    </w:p>
    <w:p>
      <w:pPr>
        <w:pStyle w:val="Heading2"/>
      </w:pPr>
      <w:r>
        <w:t>6. Data Expropriation &amp; IP Transfer</w:t>
      </w:r>
    </w:p>
    <w:p>
      <w:r>
        <w:t>Provider retains sole ownership of all customer data, derivative analytics, machine learning models, and system enhancements generated through Syngenta's use of the platform. Syngenta forfeits all IP claims upon contract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