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4E79"/>
          <w:sz w:val="52"/>
          <w:szCs w:val="52"/>
        </w:rPr>
        <w:t xml:space="preserve">Building a Knowledge Network for Stocks</w:t>
      </w:r>
    </w:p>
    <w:p>
      <w:pPr>
        <w:spacing w:after="80"/>
      </w:pPr>
      <w:r>
        <w:rPr>
          <w:color w:val="2E75B6"/>
          <w:sz w:val="30"/>
          <w:szCs w:val="30"/>
        </w:rPr>
        <w:t xml:space="preserve">A Karpathy-style, LLM-built supply-chain graph for the AI value chain</w:t>
      </w:r>
    </w:p>
    <w:p>
      <w:pPr>
        <w:pBdr>
          <w:bottom w:val="single" w:color="2E75B6" w:sz="8" w:space="6"/>
        </w:pBdr>
        <w:spacing w:after="30"/>
      </w:pPr>
      <w:r>
        <w:rPr>
          <w:sz w:val="2"/>
          <w:szCs w:val="2"/>
        </w:rPr>
        <w:t xml:space="preserve"/>
      </w:r>
    </w:p>
    <w:p>
      <w:pPr>
        <w:spacing w:before="200"/>
      </w:pPr>
      <w:r>
        <w:rPr>
          <w:i/>
          <w:iCs/>
          <w:color w:val="555555"/>
          <w:sz w:val="24"/>
          <w:szCs w:val="24"/>
        </w:rPr>
        <w:t xml:space="preserve">Implementation proposal + working prototype</w:t>
      </w:r>
    </w:p>
    <w:p>
      <w:pPr>
        <w:spacing w:before="600"/>
      </w:pPr>
      <w:r>
        <w:rPr>
          <w:b/>
          <w:bCs/>
        </w:rPr>
        <w:t xml:space="preserve">Prepared for: </w:t>
      </w:r>
      <w:r>
        <w:t xml:space="preserve">Sumeng</w:t>
      </w:r>
    </w:p>
    <w:p>
      <w:r>
        <w:rPr>
          <w:b/>
          <w:bCs/>
        </w:rPr>
        <w:t xml:space="preserve">Date: </w:t>
      </w:r>
      <w:r>
        <w:t xml:space="preserve">May 24, 2026 (rev. 2 — adds catalyst analysis)</w:t>
      </w:r>
    </w:p>
    <w:p>
      <w:r>
        <w:rPr>
          <w:b/>
          <w:bCs/>
        </w:rPr>
        <w:t xml:space="preserve">Scope: </w:t>
      </w:r>
      <w:r>
        <w:t xml:space="preserve">AI supply chain (upstream → downstream), designed to extend to any sector</w:t>
      </w:r>
    </w:p>
    <w:p>
      <w:r>
        <w:rPr>
          <w:b/>
          <w:bCs/>
        </w:rPr>
        <w:t xml:space="preserve">Approach: </w:t>
      </w:r>
      <w:r>
        <w:t xml:space="preserve">Low-code + LLM (Obsidian wiki + spreadsheet + interactive graph)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The AI boom is really a chain of dependencies. When a hyperscaler spends on training a frontier model, that money fans out — to GPU designers, to the foundry that fabricates the chips, to the memory makers stacking HBM, to the packaging houses, the optical-interconnect vendors, the server builders, the datacenter landlords, and ultimately the utilities supplying power. </w:t>
      </w:r>
      <w:r>
        <w:rPr>
          <w:b/>
          <w:bCs/>
          <w:i w:val="false"/>
          <w:iCs w:val="false"/>
        </w:rPr>
        <w:t xml:space="preserve">The hard part for an investor is not knowing the headline names — it is seeing two or three hops up the chain to the less-obvious companies that quietly benefit from the same dollar.</w:t>
      </w:r>
    </w:p>
    <w:p>
      <w:pPr>
        <w:spacing w:after="140" w:line="276"/>
      </w:pPr>
      <w:r>
        <w:t xml:space="preserve">This proposal adapts </w:t>
      </w:r>
      <w:r>
        <w:rPr>
          <w:b/>
          <w:bCs/>
          <w:i w:val="false"/>
          <w:iCs w:val="false"/>
        </w:rPr>
        <w:t xml:space="preserve">Andrej Karpathy's “LLM knowledge base” (a.k.a. the LLM-Wiki) pattern</w:t>
      </w:r>
      <w:r>
        <w:t xml:space="preserve"> to that problem. Karpathy's idea is to treat the LLM as a compiler: you keep raw source documents in an immutable folder, the model reads them and emits an interlinked plain-text wiki, and the </w:t>
      </w:r>
      <w:r>
        <w:rPr>
          <w:b w:val="false"/>
          <w:bCs w:val="false"/>
          <w:i/>
          <w:iCs/>
        </w:rPr>
        <w:t xml:space="preserve">links between wiki pages are themselves the knowledge graph</w:t>
      </w:r>
      <w:r>
        <w:t xml:space="preserve"> — viewable directly in Obsidian's graph view, with no database or vector store required at this scale.</w:t>
      </w:r>
    </w:p>
    <w:p>
      <w:pPr>
        <w:spacing w:after="140" w:line="276"/>
      </w:pPr>
      <w:r>
        <w:t xml:space="preserve">Mapped onto stocks, each company and each demand driver becomes a wiki page; every “supplies to,” “manufactures for,” or “benefits from” relationship becomes a link. The result is a living, queryable network you grow by dropping filings and news into a folder and re-running one prompt. </w:t>
      </w:r>
      <w:r>
        <w:rPr>
          <w:b/>
          <w:bCs/>
          <w:i w:val="false"/>
          <w:iCs w:val="false"/>
        </w:rPr>
        <w:t xml:space="preserve">A working prototype — 40 companies, 7 demand-driver themes, and 111 relationships across the AI chain — has already been built into your Obsidian vault, and now includes a catalyst / chain-effect analysis toolkit (Section 14).</w:t>
      </w:r>
    </w:p>
    <w:p>
      <w:pPr>
        <w:pStyle w:val="Heading1"/>
      </w:pPr>
      <w:r>
        <w:t xml:space="preserve">2. The problem this solves</w:t>
      </w:r>
    </w:p>
    <w:p>
      <w:pPr>
        <w:spacing w:after="140" w:line="276"/>
      </w:pPr>
      <w:r>
        <w:t xml:space="preserve">Three things make the AI supply chain genuinely hard to reason about:</w:t>
      </w:r>
    </w:p>
    <w:p>
      <w:pPr>
        <w:pStyle w:val="ListParagraph"/>
        <w:numPr>
          <w:ilvl w:val="0"/>
          <w:numId w:val="2"/>
        </w:numPr>
        <w:spacing w:after="60" w:line="276"/>
      </w:pPr>
      <w:r>
        <w:rPr>
          <w:b/>
          <w:bCs/>
          <w:i w:val="false"/>
          <w:iCs w:val="false"/>
        </w:rPr>
        <w:t xml:space="preserve">Depth. </w:t>
      </w:r>
      <w:r>
        <w:t xml:space="preserve">The chain runs from EDA software and lithography all the way to nuclear power deals. Most people can name the chip designers but not the firm three layers upstream that has a near-monopoly on a critical input.</w:t>
      </w:r>
    </w:p>
    <w:p>
      <w:pPr>
        <w:pStyle w:val="ListParagraph"/>
        <w:numPr>
          <w:ilvl w:val="0"/>
          <w:numId w:val="2"/>
        </w:numPr>
        <w:spacing w:after="60" w:line="276"/>
      </w:pPr>
      <w:r>
        <w:rPr>
          <w:b/>
          <w:bCs/>
          <w:i w:val="false"/>
          <w:iCs w:val="false"/>
        </w:rPr>
        <w:t xml:space="preserve">Hidden beneficiaries. </w:t>
      </w:r>
      <w:r>
        <w:t xml:space="preserve">A single catalyst — say, a surge in training capex — propagates unevenly. Identifying every company that benefits, and how directly, requires holding the whole graph in your head.</w:t>
      </w:r>
    </w:p>
    <w:p>
      <w:pPr>
        <w:pStyle w:val="ListParagraph"/>
        <w:numPr>
          <w:ilvl w:val="0"/>
          <w:numId w:val="2"/>
        </w:numPr>
        <w:spacing w:after="60" w:line="276"/>
      </w:pPr>
      <w:r>
        <w:rPr>
          <w:b/>
          <w:bCs/>
          <w:i w:val="false"/>
          <w:iCs w:val="false"/>
        </w:rPr>
        <w:t xml:space="preserve">Constant change. </w:t>
      </w:r>
      <w:r>
        <w:t xml:space="preserve">Supplier relationships, custom-silicon partnerships, and power deals shift every quarter. A static diagram is stale the day after you draw it.</w:t>
      </w:r>
    </w:p>
    <w:p>
      <w:pPr>
        <w:spacing w:after="140" w:line="276"/>
      </w:pPr>
      <w:r>
        <w:t xml:space="preserve">A knowledge graph answers these directly: it makes the chain explorable, makes “who benefits from X” a lookup rather than a memory test, and — because it is rebuilt from source documents — it stays current as you feed it new material.</w:t>
      </w:r>
    </w:p>
    <w:p>
      <w:pPr>
        <w:pStyle w:val="Heading1"/>
      </w:pPr>
      <w:r>
        <w:t xml:space="preserve">3. The Karpathy pattern, and why it fits</w:t>
      </w:r>
    </w:p>
    <w:p>
      <w:pPr>
        <w:spacing w:after="140" w:line="276"/>
      </w:pPr>
      <w:r>
        <w:t xml:space="preserve">Karpathy's LLM-Wiki pattern organizes knowledge into three clean layers. The key insight is that </w:t>
      </w:r>
      <w:r>
        <w:rPr>
          <w:b/>
          <w:bCs/>
          <w:i w:val="false"/>
          <w:iCs w:val="false"/>
        </w:rPr>
        <w:t xml:space="preserve">the LLM does the structuring work that would normally require manual data entry or a brittle scraping pipeline</w:t>
      </w:r>
      <w:r>
        <w:t xml:space="preserve">, and the output is just plain text you fully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Layer</w:t>
            </w:r>
          </w:p>
        </w:tc>
        <w:tc>
          <w:tcPr>
            <w:tcW w:type="dxa" w:w="69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What it is, in our adaptation</w:t>
            </w:r>
          </w:p>
        </w:tc>
      </w:tr>
      <w:tr>
        <w:trPr>
          <w:tblHeader w:val="false"/>
        </w:trPr>
        <w:tc>
          <w:tcPr>
            <w:tcW w:type="dxa" w:w="24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Intake (sources/)</w:t>
            </w:r>
          </w:p>
        </w:tc>
        <w:tc>
          <w:tcPr>
            <w:tcW w:type="dxa" w:w="69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An immutable folder of raw documents — 10-Ks, earnings transcripts, news, IR decks. The LLM reads from here but never edits it, so the whole graph can always be re-derived from ground truth.</w:t>
            </w:r>
          </w:p>
        </w:tc>
      </w:tr>
      <w:tr>
        <w:trPr>
          <w:tblHeader w:val="false"/>
        </w:trPr>
        <w:tc>
          <w:tcPr>
            <w:tcW w:type="dxa" w:w="24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Knowledge (the wiki)</w:t>
            </w:r>
          </w:p>
        </w:tc>
        <w:tc>
          <w:tcPr>
            <w:tcW w:type="dxa" w:w="69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One Markdown page per company and per demand driver. Relationships are written as [[wiki links]]. These links ARE the edges of the graph — Obsidian renders them as a navigable network for free.</w:t>
            </w:r>
          </w:p>
        </w:tc>
      </w:tr>
      <w:tr>
        <w:trPr>
          <w:tblHeader w:val="false"/>
        </w:trPr>
        <w:tc>
          <w:tcPr>
            <w:tcW w:type="dxa" w:w="24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View / query</w:t>
            </w:r>
          </w:p>
        </w:tc>
        <w:tc>
          <w:tcPr>
            <w:tcW w:type="dxa" w:w="69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Obsidian's built-in graph view for visual exploration; a richer custom interactive graph (included); and natural-language Q&amp;A where the LLM reads its own wiki to answer questions.</w:t>
            </w:r>
          </w:p>
        </w:tc>
      </w:tr>
    </w:tbl>
    <w:p>
      <w:pPr>
        <w:spacing w:after="140" w:line="276"/>
      </w:pPr>
      <w:r>
        <w:t xml:space="preserve">Why this beats a heavier build: at the scale of a focused sector, </w:t>
      </w:r>
      <w:r>
        <w:rPr>
          <w:b/>
          <w:bCs/>
          <w:i w:val="false"/>
          <w:iCs w:val="false"/>
        </w:rPr>
        <w:t xml:space="preserve">you do not need embeddings, a vector database, or a graph database to get enormous value.</w:t>
      </w:r>
      <w:r>
        <w:t xml:space="preserve"> Plain interlinked text is portable, diff-able, versionable with git, and editable by hand when the model gets something wrong. You can always graduate to heavier infrastructure later (see Section 13) — but you should not start there.</w:t>
      </w:r>
    </w:p>
    <w:p>
      <w:pPr>
        <w:pStyle w:val="Heading1"/>
      </w:pPr>
      <w:r>
        <w:t xml:space="preserve">4. System architecture</w:t>
      </w:r>
    </w:p>
    <w:p>
      <w:pPr>
        <w:spacing w:after="140" w:line="276"/>
      </w:pPr>
      <w:r>
        <w:t xml:space="preserve">The system keeps Karpathy's three layers and adds one pragmatic addition: a </w:t>
      </w:r>
      <w:r>
        <w:rPr>
          <w:b/>
          <w:bCs/>
          <w:i w:val="false"/>
          <w:iCs w:val="false"/>
        </w:rPr>
        <w:t xml:space="preserve">structured “edge store” (a spreadsheet)</w:t>
      </w:r>
      <w:r>
        <w:t xml:space="preserve"> that mirrors the wiki. The wiki is for humans and the LLM; the spreadsheet is for machines — it lets you run filters, compute centrality, drive the catalyst engine, and feed the interactive graph without parsing Markdown.</w:t>
      </w:r>
    </w:p>
    <w:p>
      <w:pPr>
        <w:pStyle w:val="Heading3"/>
      </w:pPr>
      <w:r>
        <w:t xml:space="preserve">Components</w:t>
      </w:r>
    </w:p>
    <w:p>
      <w:pPr>
        <w:pStyle w:val="ListParagraph"/>
        <w:numPr>
          <w:ilvl w:val="0"/>
          <w:numId w:val="2"/>
        </w:numPr>
        <w:spacing w:after="60" w:line="276"/>
      </w:pPr>
      <w:r>
        <w:rPr>
          <w:b/>
          <w:bCs/>
          <w:i w:val="false"/>
          <w:iCs w:val="false"/>
        </w:rPr>
        <w:t xml:space="preserve">sources/ </w:t>
      </w:r>
      <w:r>
        <w:t xml:space="preserve">— raw documents, immutable ground truth.</w:t>
      </w:r>
    </w:p>
    <w:p>
      <w:pPr>
        <w:pStyle w:val="ListParagraph"/>
        <w:numPr>
          <w:ilvl w:val="0"/>
          <w:numId w:val="2"/>
        </w:numPr>
        <w:spacing w:after="60" w:line="276"/>
      </w:pPr>
      <w:r>
        <w:rPr>
          <w:b/>
          <w:bCs/>
          <w:i w:val="false"/>
          <w:iCs w:val="false"/>
        </w:rPr>
        <w:t xml:space="preserve">Companies/ and Themes/ </w:t>
      </w:r>
      <w:r>
        <w:t xml:space="preserve">— the LLM-maintained wiki; pages connected by [[links]].</w:t>
      </w:r>
    </w:p>
    <w:p>
      <w:pPr>
        <w:pStyle w:val="ListParagraph"/>
        <w:numPr>
          <w:ilvl w:val="0"/>
          <w:numId w:val="2"/>
        </w:numPr>
        <w:spacing w:after="60" w:line="276"/>
      </w:pPr>
      <w:r>
        <w:rPr>
          <w:b/>
          <w:bCs/>
          <w:i w:val="false"/>
          <w:iCs w:val="false"/>
        </w:rPr>
        <w:t xml:space="preserve">AI-Supply-Chain-Network.xlsx </w:t>
      </w:r>
      <w:r>
        <w:t xml:space="preserve">— the structured twin: a Nodes sheet, an Edges sheet, a Layers legend, and an auto-computed Degree (centrality) sheet.</w:t>
      </w:r>
    </w:p>
    <w:p>
      <w:pPr>
        <w:pStyle w:val="ListParagraph"/>
        <w:numPr>
          <w:ilvl w:val="0"/>
          <w:numId w:val="2"/>
        </w:numPr>
        <w:spacing w:after="60" w:line="276"/>
      </w:pPr>
      <w:r>
        <w:rPr>
          <w:b/>
          <w:bCs/>
          <w:i w:val="false"/>
          <w:iCs w:val="false"/>
        </w:rPr>
        <w:t xml:space="preserve">AI Supply Chain Graph.html </w:t>
      </w:r>
      <w:r>
        <w:t xml:space="preserve">— a self-contained interactive graph (no internet needed) for visual exploration, the “who benefits from what” question, and catalyst mode.</w:t>
      </w:r>
    </w:p>
    <w:p>
      <w:pPr>
        <w:pStyle w:val="ListParagraph"/>
        <w:numPr>
          <w:ilvl w:val="0"/>
          <w:numId w:val="2"/>
        </w:numPr>
        <w:spacing w:after="60" w:line="276"/>
      </w:pPr>
      <w:r>
        <w:rPr>
          <w:b/>
          <w:bCs/>
          <w:i w:val="false"/>
          <w:iCs w:val="false"/>
        </w:rPr>
        <w:t xml:space="preserve">catalyst_analysis.py </w:t>
      </w:r>
      <w:r>
        <w:t xml:space="preserve">— a deterministic chain-effect scoring engine (Section 14).</w:t>
      </w:r>
    </w:p>
    <w:p>
      <w:pPr>
        <w:pStyle w:val="ListParagraph"/>
        <w:numPr>
          <w:ilvl w:val="0"/>
          <w:numId w:val="2"/>
        </w:numPr>
        <w:spacing w:after="60" w:line="276"/>
      </w:pPr>
      <w:r>
        <w:rPr>
          <w:b/>
          <w:bCs/>
          <w:i w:val="false"/>
          <w:iCs w:val="false"/>
        </w:rPr>
        <w:t xml:space="preserve">_prompts/ </w:t>
      </w:r>
      <w:r>
        <w:t xml:space="preserve">— reusable LLM prompts: the extraction “compiler,” the analyst-report variant, and the catalyst-analysis prompt.</w:t>
      </w:r>
    </w:p>
    <w:p>
      <w:pPr>
        <w:spacing w:after="140" w:line="276"/>
      </w:pPr>
      <w:r>
        <w:rPr>
          <w:b/>
          <w:bCs/>
          <w:i w:val="false"/>
          <w:iCs w:val="false"/>
        </w:rPr>
        <w:t xml:space="preserve">The single source of truth</w:t>
      </w:r>
      <w:r>
        <w:t xml:space="preserve"> is the relationship set. Both the wiki and the spreadsheet describe the same edges, and the interactive graph + catalyst engine read from the spreadsheet — so everything stays consistent.</w:t>
      </w:r>
    </w:p>
    <w:p>
      <w:pPr>
        <w:pStyle w:val="Heading1"/>
      </w:pPr>
      <w:r>
        <w:t xml:space="preserve">5. The data model</w:t>
      </w:r>
    </w:p>
    <w:p>
      <w:pPr>
        <w:spacing w:after="140" w:line="276"/>
      </w:pPr>
      <w:r>
        <w:t xml:space="preserve">The whole system rests on two object types — nodes and edges — plus a layered taxonomy so the graph reads upstream-to-downstream.</w:t>
      </w:r>
    </w:p>
    <w:p>
      <w:pPr>
        <w:pStyle w:val="Heading2"/>
      </w:pPr>
      <w:r>
        <w:t xml:space="preserve">5.1 Nodes</w:t>
      </w:r>
    </w:p>
    <w:p>
      <w:pPr>
        <w:spacing w:after="140" w:line="276"/>
      </w:pPr>
      <w:r>
        <w:t xml:space="preserve">A node is a company or a demand-driver theme. Each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Field</w:t>
            </w:r>
          </w:p>
        </w:tc>
        <w:tc>
          <w:tcPr>
            <w:tcW w:type="dxa" w:w="67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Purpose</w:t>
            </w:r>
          </w:p>
        </w:tc>
      </w:tr>
      <w:tr>
        <w:trPr>
          <w:tblHeader w:val="false"/>
        </w:trP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node_id / name</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Stable ID (e.g. ticker) and display name used in [[links]].</w:t>
            </w:r>
          </w:p>
        </w:tc>
      </w:tr>
      <w:tr>
        <w:trPr>
          <w:tblHeader w:val="false"/>
        </w:trPr>
        <w:tc>
          <w:tcPr>
            <w:tcW w:type="dxa" w:w="26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type</w:t>
            </w:r>
          </w:p>
        </w:tc>
        <w:tc>
          <w:tcPr>
            <w:tcW w:type="dxa" w:w="67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Company or Theme (a demand driver such as “HBM demand”).</w:t>
            </w:r>
          </w:p>
        </w:tc>
      </w:tr>
      <w:tr>
        <w:trPr>
          <w:tblHeader w:val="false"/>
        </w:trP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ticker</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Listing symbol, or “private” (e.g. OpenAI, Anthropic).</w:t>
            </w:r>
          </w:p>
        </w:tc>
      </w:tr>
      <w:tr>
        <w:trPr>
          <w:tblHeader w:val="false"/>
        </w:trPr>
        <w:tc>
          <w:tcPr>
            <w:tcW w:type="dxa" w:w="26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layer (1–14)</w:t>
            </w:r>
          </w:p>
        </w:tc>
        <w:tc>
          <w:tcPr>
            <w:tcW w:type="dxa" w:w="67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Position in the value chain — see 5.3. Drives left-to-right layout.</w:t>
            </w:r>
          </w:p>
        </w:tc>
      </w:tr>
      <w:tr>
        <w:trPr>
          <w:tblHeader w:val="false"/>
        </w:trPr>
        <w:tc>
          <w:tcPr>
            <w:tcW w:type="dxa" w:w="26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segment / country</w:t>
            </w:r>
          </w:p>
        </w:tc>
        <w:tc>
          <w:tcPr>
            <w:tcW w:type="dxa" w:w="67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Sub-industry and HQ, for filtering.</w:t>
            </w:r>
          </w:p>
        </w:tc>
      </w:tr>
      <w:tr>
        <w:trPr>
          <w:tblHeader w:val="false"/>
        </w:trPr>
        <w:tc>
          <w:tcPr>
            <w:tcW w:type="dxa" w:w="26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role_in_ai_chain</w:t>
            </w:r>
          </w:p>
        </w:tc>
        <w:tc>
          <w:tcPr>
            <w:tcW w:type="dxa" w:w="67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One line on why the company matters to AI.</w:t>
            </w:r>
          </w:p>
        </w:tc>
      </w:tr>
    </w:tbl>
    <w:p>
      <w:pPr>
        <w:pStyle w:val="Heading2"/>
      </w:pPr>
      <w:r>
        <w:t xml:space="preserve">5.2 Edges (the relationship vocabulary)</w:t>
      </w:r>
    </w:p>
    <w:p>
      <w:pPr>
        <w:spacing w:after="140" w:line="276"/>
      </w:pPr>
      <w:r>
        <w:t xml:space="preserve">An edge is a directed, typed relationship: </w:t>
      </w:r>
      <w:r>
        <w:rPr>
          <w:b/>
          <w:bCs/>
          <w:i w:val="false"/>
          <w:iCs w:val="false"/>
        </w:rPr>
        <w:t xml:space="preserve">SOURCE —relationship→ TARGET</w:t>
      </w:r>
      <w:r>
        <w:t xml:space="preserve">, with a strength (1–3), a one-line evidence note, and the source document it came from. A controlled vocabulary keeps the graph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Relationship</w:t>
            </w:r>
          </w:p>
        </w:tc>
        <w:tc>
          <w:tcPr>
            <w:tcW w:type="dxa" w:w="61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Meaning / example</w:t>
            </w:r>
          </w:p>
        </w:tc>
      </w:tr>
      <w:tr>
        <w:trPr>
          <w:tblHeader w:val="false"/>
        </w:trP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supplies / sells … to</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Physical or commercial supply (SK Hynix supplies HBM to NVIDIA).</w:t>
            </w:r>
          </w:p>
        </w:tc>
      </w:tr>
      <w:tr>
        <w:trPr>
          <w:tblHeader w:val="false"/>
        </w:trPr>
        <w:tc>
          <w:tcPr>
            <w:tcW w:type="dxa" w:w="32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manufactures chips for</w:t>
            </w:r>
          </w:p>
        </w:tc>
        <w:tc>
          <w:tcPr>
            <w:tcW w:type="dxa" w:w="61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Foundry relationship (TSMC manufactures chips for NVIDIA).</w:t>
            </w:r>
          </w:p>
        </w:tc>
      </w:tr>
      <w:tr>
        <w:trPr>
          <w:tblHeader w:val="false"/>
        </w:trP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provides CoWoS packaging to</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Advanced packaging (the AI capacity bottleneck).</w:t>
            </w:r>
          </w:p>
        </w:tc>
      </w:tr>
      <w:tr>
        <w:trPr>
          <w:tblHeader w:val="false"/>
        </w:trPr>
        <w:tc>
          <w:tcPr>
            <w:tcW w:type="dxa" w:w="32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provides equipment / EDA / IP to</w:t>
            </w:r>
          </w:p>
        </w:tc>
        <w:tc>
          <w:tcPr>
            <w:tcW w:type="dxa" w:w="61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Upstream enablers (ASML, Synopsys, Arm).</w:t>
            </w:r>
          </w:p>
        </w:tc>
      </w:tr>
      <w:tr>
        <w:trPr>
          <w:tblHeader w:val="false"/>
        </w:trP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co-designs custom silicon with</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Hyperscaler ASIC partnerships (Broadcom + Google TPU).</w:t>
            </w:r>
          </w:p>
        </w:tc>
      </w:tr>
      <w:tr>
        <w:trPr>
          <w:tblHeader w:val="false"/>
        </w:trPr>
        <w:tc>
          <w:tcPr>
            <w:tcW w:type="dxa" w:w="32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runs compute on</w:t>
            </w:r>
          </w:p>
        </w:tc>
        <w:tc>
          <w:tcPr>
            <w:tcW w:type="dxa" w:w="61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AI lab ↔ cloud (OpenAI runs compute on Microsoft Azure).</w:t>
            </w:r>
          </w:p>
        </w:tc>
      </w:tr>
      <w:tr>
        <w:trPr>
          <w:tblHeader w:val="false"/>
        </w:trP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supplies power / cooling to</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Datacenter electrical &amp; thermal (Constellation → Microsoft).</w:t>
            </w:r>
          </w:p>
        </w:tc>
      </w:tr>
      <w:tr>
        <w:trPr>
          <w:tblHeader w:val="false"/>
        </w:trPr>
        <w:tc>
          <w:tcPr>
            <w:tcW w:type="dxa" w:w="32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benefits from / drives demand for</w:t>
            </w:r>
          </w:p>
        </w:tc>
        <w:tc>
          <w:tcPr>
            <w:tcW w:type="dxa" w:w="61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Links a company to a demand-driver theme.</w:t>
            </w:r>
          </w:p>
        </w:tc>
      </w:tr>
      <w:tr>
        <w:trPr>
          <w:tblHeader w:val="false"/>
        </w:trPr>
        <w:tc>
          <w:tcPr>
            <w:tcW w:type="dxa" w:w="3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competes with</w:t>
            </w:r>
          </w:p>
        </w:tc>
        <w:tc>
          <w:tcPr>
            <w:tcW w:type="dxa" w:w="6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Rivalry — used to invert effects in catalyst analysis (Intel vs TSMC).</w:t>
            </w:r>
          </w:p>
        </w:tc>
      </w:tr>
    </w:tbl>
    <w:p>
      <w:pPr>
        <w:pStyle w:val="Heading2"/>
      </w:pPr>
      <w:r>
        <w:t xml:space="preserve">5.3 The 14 layers (upstream →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6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L#</w:t>
            </w:r>
          </w:p>
        </w:tc>
        <w:tc>
          <w:tcPr>
            <w:tcW w:type="dxa" w:w="40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Segment</w:t>
            </w:r>
          </w:p>
        </w:tc>
        <w:tc>
          <w:tcPr>
            <w:tcW w:type="dxa" w:w="42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Example holdings in the prototype</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1</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EDA &amp; IP</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Synopsys, Cadence, Arm</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2</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Semiconductor equipment</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ASML, Applied Materials, Lam Research, KLA</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3</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Foundry / manufacturing</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TSMC, Intel, Samsung</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4</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Chip designers (accelerators / networking)</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NVIDIA, AMD, Broadcom, Marvell</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5</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Memory (HBM / DRAM)</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SK Hynix, Micron</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6</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Advanced packaging / OSAT</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Amkor (+ TSMC CoWoS)</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7</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Optical &amp; interconnect</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Coherent, Lumentum, Fabrinet</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8</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Networking systems</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Arista, Cisco</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9</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Servers &amp; ODM / OEM</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Supermicro, Dell, HPE, Foxconn</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10</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Hyperscalers / cloud</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Microsoft, Amazon, Alphabet, Meta, Oracle</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11</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AI labs / model developers</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OpenAI, Anthropic</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12</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Datacenter infrastructure (REITs)</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Equinix, Digital Realty</w:t>
            </w:r>
          </w:p>
        </w:tc>
      </w:tr>
      <w:tr>
        <w:trPr>
          <w:tblHeader w:val="false"/>
        </w:trPr>
        <w:tc>
          <w:tcPr>
            <w:tcW w:type="dxa" w:w="11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13</w:t>
            </w:r>
          </w:p>
        </w:tc>
        <w:tc>
          <w:tcPr>
            <w:tcW w:type="dxa" w:w="40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Power &amp; cooling equipment</w:t>
            </w:r>
          </w:p>
        </w:tc>
        <w:tc>
          <w:tcPr>
            <w:tcW w:type="dxa" w:w="4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Vertiv, Eaton</w:t>
            </w:r>
          </w:p>
        </w:tc>
      </w:tr>
      <w:tr>
        <w:trPr>
          <w:tblHeader w:val="false"/>
        </w:trPr>
        <w:tc>
          <w:tcPr>
            <w:tcW w:type="dxa" w:w="11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14</w:t>
            </w:r>
          </w:p>
        </w:tc>
        <w:tc>
          <w:tcPr>
            <w:tcW w:type="dxa" w:w="40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Power generation / utilities</w:t>
            </w:r>
          </w:p>
        </w:tc>
        <w:tc>
          <w:tcPr>
            <w:tcW w:type="dxa" w:w="4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Constellation, Vistra, GE Vernova</w:t>
            </w:r>
          </w:p>
        </w:tc>
      </w:tr>
    </w:tbl>
    <w:p>
      <w:pPr>
        <w:pStyle w:val="Heading2"/>
      </w:pPr>
      <w:r>
        <w:t xml:space="preserve">5.4 Demand drivers (themes)</w:t>
      </w:r>
    </w:p>
    <w:p>
      <w:pPr>
        <w:spacing w:after="140" w:line="276"/>
      </w:pPr>
      <w:r>
        <w:t xml:space="preserve">Themes are the bridge between a macro catalyst and the companies it lifts. The prototype includes: </w:t>
      </w:r>
      <w:r>
        <w:rPr>
          <w:b w:val="false"/>
          <w:bCs w:val="false"/>
          <w:i/>
          <w:iCs/>
        </w:rPr>
        <w:t xml:space="preserve">AI training capex, AI inference demand, HBM demand, CoWoS advanced packaging, datacenter power demand, liquid-cooling adoption, and optical/networking buildout.</w:t>
      </w:r>
      <w:r>
        <w:t xml:space="preserve"> Asking “who benefits from rising power demand?” becomes: open that theme's page (or click its node) and read off the linked companies.</w:t>
      </w:r>
    </w:p>
    <w:p>
      <w:pPr>
        <w:pStyle w:val="Heading1"/>
      </w:pPr>
      <w:r>
        <w:t xml:space="preserve">6. The low-code + LLM workflow</w:t>
      </w:r>
    </w:p>
    <w:p>
      <w:pPr>
        <w:spacing w:after="140" w:line="276"/>
      </w:pPr>
      <w:r>
        <w:t xml:space="preserve">Day-to-day maintenance is a short loop you can run in minutes, with no engineering:</w:t>
      </w:r>
    </w:p>
    <w:p>
      <w:pPr>
        <w:pStyle w:val="ListParagraph"/>
        <w:numPr>
          <w:ilvl w:val="0"/>
          <w:numId w:val="3"/>
        </w:numPr>
        <w:spacing w:after="60" w:line="276"/>
      </w:pPr>
      <w:r>
        <w:rPr>
          <w:b/>
          <w:bCs/>
          <w:i w:val="false"/>
          <w:iCs w:val="false"/>
        </w:rPr>
        <w:t xml:space="preserve">Collect. </w:t>
      </w:r>
      <w:r>
        <w:t xml:space="preserve">Drop a new document into sources/ — a 10-K from SEC EDGAR, an earnings transcript, a news article, or a third-party analyst report.</w:t>
      </w:r>
    </w:p>
    <w:p>
      <w:pPr>
        <w:pStyle w:val="ListParagraph"/>
        <w:numPr>
          <w:ilvl w:val="0"/>
          <w:numId w:val="3"/>
        </w:numPr>
        <w:spacing w:after="60" w:line="276"/>
      </w:pPr>
      <w:r>
        <w:rPr>
          <w:b/>
          <w:bCs/>
          <w:i w:val="false"/>
          <w:iCs w:val="false"/>
        </w:rPr>
        <w:t xml:space="preserve">Compile. </w:t>
      </w:r>
      <w:r>
        <w:t xml:space="preserve">Run the right extraction prompt (general, or the analyst-report variant) against it. The model returns new edge rows in a fixed pipe format and the exact bullet edits to make on each page.</w:t>
      </w:r>
    </w:p>
    <w:p>
      <w:pPr>
        <w:pStyle w:val="ListParagraph"/>
        <w:numPr>
          <w:ilvl w:val="0"/>
          <w:numId w:val="3"/>
        </w:numPr>
        <w:spacing w:after="60" w:line="276"/>
      </w:pPr>
      <w:r>
        <w:rPr>
          <w:b/>
          <w:bCs/>
          <w:i w:val="false"/>
          <w:iCs w:val="false"/>
        </w:rPr>
        <w:t xml:space="preserve">Commit. </w:t>
      </w:r>
      <w:r>
        <w:t xml:space="preserve">Paste the new bullets into the relevant company/theme pages (as [[links]]) and append the rows to the spreadsheet. Both stay in sync because they describe the same edges.</w:t>
      </w:r>
    </w:p>
    <w:p>
      <w:pPr>
        <w:pStyle w:val="ListParagraph"/>
        <w:numPr>
          <w:ilvl w:val="0"/>
          <w:numId w:val="3"/>
        </w:numPr>
        <w:spacing w:after="60" w:line="276"/>
      </w:pPr>
      <w:r>
        <w:rPr>
          <w:b/>
          <w:bCs/>
          <w:i w:val="false"/>
          <w:iCs w:val="false"/>
        </w:rPr>
        <w:t xml:space="preserve">View. </w:t>
      </w:r>
      <w:r>
        <w:t xml:space="preserve">Obsidian's graph view redraws automatically; regenerate the interactive HTML graph when you want the richer view or to run catalyst scenarios on the new data.</w:t>
      </w:r>
    </w:p>
    <w:p>
      <w:pPr>
        <w:spacing w:after="140" w:line="276"/>
      </w:pPr>
      <w:r>
        <w:t xml:space="preserve">Because sources/ is immutable, you can always </w:t>
      </w:r>
      <w:r>
        <w:rPr>
          <w:b w:val="false"/>
          <w:bCs w:val="false"/>
          <w:i/>
          <w:iCs/>
        </w:rPr>
        <w:t xml:space="preserve">rebuild the entire wiki from scratch</w:t>
      </w:r>
      <w:r>
        <w:t xml:space="preserve"> if you change your schema or want to re-extract with a better model — nothing is lost.</w:t>
      </w:r>
    </w:p>
    <w:p>
      <w:pPr>
        <w:pStyle w:val="Heading1"/>
      </w:pPr>
      <w:r>
        <w:t xml:space="preserve">7. Where the data comes from</w:t>
      </w:r>
    </w:p>
    <w:p>
      <w:pPr>
        <w:pStyle w:val="ListParagraph"/>
        <w:numPr>
          <w:ilvl w:val="0"/>
          <w:numId w:val="2"/>
        </w:numPr>
        <w:spacing w:after="60" w:line="276"/>
      </w:pPr>
      <w:r>
        <w:rPr>
          <w:b/>
          <w:bCs/>
          <w:i w:val="false"/>
          <w:iCs w:val="false"/>
        </w:rPr>
        <w:t xml:space="preserve">SEC EDGAR (free). </w:t>
      </w:r>
      <w:r>
        <w:t xml:space="preserve">10-Ks and 10-Qs list major customers, suppliers, and risk factors — primary evidence for edges.</w:t>
      </w:r>
    </w:p>
    <w:p>
      <w:pPr>
        <w:pStyle w:val="ListParagraph"/>
        <w:numPr>
          <w:ilvl w:val="0"/>
          <w:numId w:val="2"/>
        </w:numPr>
        <w:spacing w:after="60" w:line="276"/>
      </w:pPr>
      <w:r>
        <w:rPr>
          <w:b/>
          <w:bCs/>
          <w:i w:val="false"/>
          <w:iCs w:val="false"/>
        </w:rPr>
        <w:t xml:space="preserve">Earnings call transcripts. </w:t>
      </w:r>
      <w:r>
        <w:t xml:space="preserve">Management names partners, capacity deals, and demand drivers in plain language — ideal LLM input.</w:t>
      </w:r>
    </w:p>
    <w:p>
      <w:pPr>
        <w:pStyle w:val="ListParagraph"/>
        <w:numPr>
          <w:ilvl w:val="0"/>
          <w:numId w:val="2"/>
        </w:numPr>
        <w:spacing w:after="60" w:line="276"/>
      </w:pPr>
      <w:r>
        <w:rPr>
          <w:b/>
          <w:bCs/>
          <w:i w:val="false"/>
          <w:iCs w:val="false"/>
        </w:rPr>
        <w:t xml:space="preserve">Investor day decks &amp; press releases. </w:t>
      </w:r>
      <w:r>
        <w:t xml:space="preserve">Supply agreements, custom-silicon partnerships, and power deals are often announced here first.</w:t>
      </w:r>
    </w:p>
    <w:p>
      <w:pPr>
        <w:pStyle w:val="ListParagraph"/>
        <w:numPr>
          <w:ilvl w:val="0"/>
          <w:numId w:val="2"/>
        </w:numPr>
        <w:spacing w:after="60" w:line="276"/>
      </w:pPr>
      <w:r>
        <w:rPr>
          <w:b/>
          <w:bCs/>
          <w:i w:val="false"/>
          <w:iCs w:val="false"/>
        </w:rPr>
        <w:t xml:space="preserve">Third-party analyst reports. </w:t>
      </w:r>
      <w:r>
        <w:t xml:space="preserve">Often contain ready-made supply-chain maps and “top beneficiary” lists. Tag these as fact vs. view vs. estimate (see the Analyst Report prompt) so opinions never read as confirmed facts.</w:t>
      </w:r>
    </w:p>
    <w:p>
      <w:pPr>
        <w:pStyle w:val="Heading1"/>
      </w:pPr>
      <w:r>
        <w:t xml:space="preserve">8. What's already built (your prototype)</w:t>
      </w:r>
    </w:p>
    <w:p>
      <w:pPr>
        <w:spacing w:after="140" w:line="276"/>
      </w:pPr>
      <w:r>
        <w:t xml:space="preserve">This proposal ships with a runnable seed inside your Obsidian vault. It is not a mock-up — it contains real, current relationships across the AI chain:</w:t>
      </w:r>
    </w:p>
    <w:p>
      <w:pPr>
        <w:pStyle w:val="ListParagraph"/>
        <w:numPr>
          <w:ilvl w:val="0"/>
          <w:numId w:val="2"/>
        </w:numPr>
        <w:spacing w:after="60" w:line="276"/>
      </w:pPr>
      <w:r>
        <w:rPr>
          <w:b/>
          <w:bCs/>
          <w:i w:val="false"/>
          <w:iCs w:val="false"/>
        </w:rPr>
        <w:t xml:space="preserve">A seeded Obsidian wiki </w:t>
      </w:r>
      <w:r>
        <w:t xml:space="preserve">— 40 company pages + 7 theme pages, fully cross-linked with [[wiki links]] (open the graph view to see the network).</w:t>
      </w:r>
    </w:p>
    <w:p>
      <w:pPr>
        <w:pStyle w:val="ListParagraph"/>
        <w:numPr>
          <w:ilvl w:val="0"/>
          <w:numId w:val="2"/>
        </w:numPr>
        <w:spacing w:after="60" w:line="276"/>
      </w:pPr>
      <w:r>
        <w:rPr>
          <w:b/>
          <w:bCs/>
          <w:i w:val="false"/>
          <w:iCs w:val="false"/>
        </w:rPr>
        <w:t xml:space="preserve">AI-Supply-Chain-Network.xlsx </w:t>
      </w:r>
      <w:r>
        <w:t xml:space="preserve">— 47 nodes and 111 edges, plus an auto-computed centrality sheet (NVIDIA and TSMC come out as the most-connected hubs, as expected).</w:t>
      </w:r>
    </w:p>
    <w:p>
      <w:pPr>
        <w:pStyle w:val="ListParagraph"/>
        <w:numPr>
          <w:ilvl w:val="0"/>
          <w:numId w:val="2"/>
        </w:numPr>
        <w:spacing w:after="60" w:line="276"/>
      </w:pPr>
      <w:r>
        <w:rPr>
          <w:b/>
          <w:bCs/>
          <w:i w:val="false"/>
          <w:iCs w:val="false"/>
        </w:rPr>
        <w:t xml:space="preserve">AI Supply Chain Graph.html </w:t>
      </w:r>
      <w:r>
        <w:t xml:space="preserve">— an interactive, offline force-directed graph with a built-in catalyst mode (Section 14).</w:t>
      </w:r>
    </w:p>
    <w:p>
      <w:pPr>
        <w:pStyle w:val="ListParagraph"/>
        <w:numPr>
          <w:ilvl w:val="0"/>
          <w:numId w:val="2"/>
        </w:numPr>
        <w:spacing w:after="60" w:line="276"/>
      </w:pPr>
      <w:r>
        <w:rPr>
          <w:b/>
          <w:bCs/>
          <w:i w:val="false"/>
          <w:iCs w:val="false"/>
        </w:rPr>
        <w:t xml:space="preserve">catalyst_analysis.py + the prompts </w:t>
      </w:r>
      <w:r>
        <w:t xml:space="preserve">— the chain-effect scoring engine, plus extraction, analyst-report, and catalyst-analysis prompts in _prompts/.</w:t>
      </w:r>
    </w:p>
    <w:p>
      <w:pPr>
        <w:pStyle w:val="Heading1"/>
      </w:pPr>
      <w:r>
        <w:t xml:space="preserve">9. Answering “who benefits from what”</w:t>
      </w:r>
    </w:p>
    <w:p>
      <w:pPr>
        <w:spacing w:after="140" w:line="276"/>
      </w:pPr>
      <w:r>
        <w:t xml:space="preserve">Once the graph exists, the questions that were hard become one or two hops:</w:t>
      </w:r>
    </w:p>
    <w:p>
      <w:pPr>
        <w:pStyle w:val="ListParagraph"/>
        <w:numPr>
          <w:ilvl w:val="0"/>
          <w:numId w:val="2"/>
        </w:numPr>
        <w:spacing w:after="60" w:line="276"/>
      </w:pPr>
      <w:r>
        <w:rPr>
          <w:b/>
          <w:bCs/>
          <w:i w:val="false"/>
          <w:iCs w:val="false"/>
        </w:rPr>
        <w:t xml:space="preserve">“If training capex accelerates, who benefits beyond NVIDIA?” </w:t>
      </w:r>
      <w:r>
        <w:t xml:space="preserve">Follow the AI-training-capex theme: TSMC, Broadcom, Supermicro, Vertiv — and one hop further, SK Hynix and Micron via HBM.</w:t>
      </w:r>
    </w:p>
    <w:p>
      <w:pPr>
        <w:pStyle w:val="ListParagraph"/>
        <w:numPr>
          <w:ilvl w:val="0"/>
          <w:numId w:val="2"/>
        </w:numPr>
        <w:spacing w:after="60" w:line="276"/>
      </w:pPr>
      <w:r>
        <w:rPr>
          <w:b/>
          <w:bCs/>
          <w:i w:val="false"/>
          <w:iCs w:val="false"/>
        </w:rPr>
        <w:t xml:space="preserve">“Who are the non-obvious power-demand plays?” </w:t>
      </w:r>
      <w:r>
        <w:t xml:space="preserve">The datacenter-power theme links to Constellation, Vistra, GE Vernova, Eaton, and Vertiv — names two layers removed from the AI headlines.</w:t>
      </w:r>
    </w:p>
    <w:p>
      <w:pPr>
        <w:pStyle w:val="ListParagraph"/>
        <w:numPr>
          <w:ilvl w:val="0"/>
          <w:numId w:val="2"/>
        </w:numPr>
        <w:spacing w:after="60" w:line="276"/>
      </w:pPr>
      <w:r>
        <w:rPr>
          <w:b/>
          <w:bCs/>
          <w:i w:val="false"/>
          <w:iCs w:val="false"/>
        </w:rPr>
        <w:t xml:space="preserve">“What breaks if CoWoS packaging is constrained?” </w:t>
      </w:r>
      <w:r>
        <w:t xml:space="preserve">Trace the CoWoS node: it gates NVIDIA and AMD downstream and lifts TSMC and Amkor.</w:t>
      </w:r>
    </w:p>
    <w:p>
      <w:pPr>
        <w:pStyle w:val="Heading1"/>
      </w:pPr>
      <w:r>
        <w:t xml:space="preserve">10.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60"/>
      </w:tblGrid>
      <w:tr>
        <w:trPr>
          <w:tblHeader/>
        </w:trPr>
        <w:tc>
          <w:tcPr>
            <w:tcW w:type="dxa" w:w="15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Phase</w:t>
            </w:r>
          </w:p>
        </w:tc>
        <w:tc>
          <w:tcPr>
            <w:tcW w:type="dxa" w:w="46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What you do</w:t>
            </w:r>
          </w:p>
        </w:tc>
        <w:tc>
          <w:tcPr>
            <w:tcW w:type="dxa" w:w="32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Outcome</w:t>
            </w:r>
          </w:p>
        </w:tc>
      </w:tr>
      <w:tr>
        <w:trPr>
          <w:tblHeader w:val="false"/>
        </w:trPr>
        <w:tc>
          <w:tcPr>
            <w:tcW w:type="dxa" w:w="15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0 — Done</w:t>
            </w:r>
          </w:p>
        </w:tc>
        <w:tc>
          <w:tcPr>
            <w:tcW w:type="dxa" w:w="46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Seed the vault, spreadsheet, interactive graph, and catalyst toolkit.</w:t>
            </w:r>
          </w:p>
        </w:tc>
        <w:tc>
          <w:tcPr>
            <w:tcW w:type="dxa" w:w="3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 working AI-chain graph you can explore and stress-test today.</w:t>
            </w:r>
          </w:p>
        </w:tc>
      </w:tr>
      <w:tr>
        <w:trPr>
          <w:tblHeader w:val="false"/>
        </w:trPr>
        <w:tc>
          <w:tcPr>
            <w:tcW w:type="dxa" w:w="15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1 — Deepen</w:t>
            </w:r>
          </w:p>
        </w:tc>
        <w:tc>
          <w:tcPr>
            <w:tcW w:type="dxa" w:w="46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Add 30–50 more AI names; attach real source docs in sources/; confirm/flag every edge.</w:t>
            </w:r>
          </w:p>
        </w:tc>
        <w:tc>
          <w:tcPr>
            <w:tcW w:type="dxa" w:w="3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High-confidence, evidence-backed AI map.</w:t>
            </w:r>
          </w:p>
        </w:tc>
      </w:tr>
      <w:tr>
        <w:trPr>
          <w:tblHeader w:val="false"/>
        </w:trPr>
        <w:tc>
          <w:tcPr>
            <w:tcW w:type="dxa" w:w="15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2 — Operationalize</w:t>
            </w:r>
          </w:p>
        </w:tc>
        <w:tc>
          <w:tcPr>
            <w:tcW w:type="dxa" w:w="46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Make the weekly loop a habit: ingest new filings/news/analyst reports via the prompts.</w:t>
            </w:r>
          </w:p>
        </w:tc>
        <w:tc>
          <w:tcPr>
            <w:tcW w:type="dxa" w:w="3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The graph stays current automatically as you feed it.</w:t>
            </w:r>
          </w:p>
        </w:tc>
      </w:tr>
      <w:tr>
        <w:trPr>
          <w:tblHeader w:val="false"/>
        </w:trPr>
        <w:tc>
          <w:tcPr>
            <w:tcW w:type="dxa" w:w="15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3 — Extend</w:t>
            </w:r>
          </w:p>
        </w:tc>
        <w:tc>
          <w:tcPr>
            <w:tcW w:type="dxa" w:w="46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Reuse the same schema for an adjacent sector (e.g. power grid, robotics, defense).</w:t>
            </w:r>
          </w:p>
        </w:tc>
        <w:tc>
          <w:tcPr>
            <w:tcW w:type="dxa" w:w="32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Multi-sector coverage with zero new tooling.</w:t>
            </w:r>
          </w:p>
        </w:tc>
      </w:tr>
      <w:tr>
        <w:trPr>
          <w:tblHeader w:val="false"/>
        </w:trPr>
        <w:tc>
          <w:tcPr>
            <w:tcW w:type="dxa" w:w="15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4 — Enrich</w:t>
            </w:r>
          </w:p>
        </w:tc>
        <w:tc>
          <w:tcPr>
            <w:tcW w:type="dxa" w:w="46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Add quantitative attributes (revenue exposure, % of sales to a customer) and a benefit-strength score.</w:t>
            </w:r>
          </w:p>
        </w:tc>
        <w:tc>
          <w:tcPr>
            <w:tcW w:type="dxa" w:w="32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Move from “who is connected” to “how much it matters.”</w:t>
            </w:r>
          </w:p>
        </w:tc>
      </w:tr>
    </w:tbl>
    <w:p>
      <w:pPr>
        <w:pStyle w:val="Heading1"/>
      </w:pPr>
      <w:r>
        <w:t xml:space="preserve">11. Extending beyond AI</w:t>
      </w:r>
    </w:p>
    <w:p>
      <w:pPr>
        <w:spacing w:after="140" w:line="276"/>
      </w:pPr>
      <w:r>
        <w:t xml:space="preserve">Nothing in the schema is AI-specific except the layer names. </w:t>
      </w:r>
      <w:r>
        <w:rPr>
          <w:b/>
          <w:bCs/>
          <w:i w:val="false"/>
          <w:iCs w:val="false"/>
        </w:rPr>
        <w:t xml:space="preserve">The same node/edge model maps onto any supply chain</w:t>
      </w:r>
      <w:r>
        <w:t xml:space="preserve"> — EVs (lithium → cathode → cells → packs → OEMs), pharma (API → CDMO → branded drug), or defense. Extending is mostly a matter of renaming layers and pointing the extraction prompt at a new pile of sources; the catalyst engine works unchanged.</w:t>
      </w:r>
    </w:p>
    <w:p>
      <w:pPr>
        <w:pStyle w:val="Heading1"/>
      </w:pPr>
      <w:r>
        <w:t xml:space="preserve">12. Risks, guardrails &amp; verification</w:t>
      </w:r>
    </w:p>
    <w:p>
      <w:pPr>
        <w:pStyle w:val="ListParagraph"/>
        <w:numPr>
          <w:ilvl w:val="0"/>
          <w:numId w:val="2"/>
        </w:numPr>
        <w:spacing w:after="60" w:line="276"/>
      </w:pPr>
      <w:r>
        <w:rPr>
          <w:b/>
          <w:bCs/>
          <w:i w:val="false"/>
          <w:iCs w:val="false"/>
        </w:rPr>
        <w:t xml:space="preserve">Hallucinated edges. </w:t>
      </w:r>
      <w:r>
        <w:t xml:space="preserve">LLMs can invent plausible relationships. Mitigation: the extraction prompts forbid unsupported links, require an evidence note and source filename per edge, and flag uncertainty with (?). Periodically spot-check edges against filings.</w:t>
      </w:r>
    </w:p>
    <w:p>
      <w:pPr>
        <w:pStyle w:val="ListParagraph"/>
        <w:numPr>
          <w:ilvl w:val="0"/>
          <w:numId w:val="2"/>
        </w:numPr>
        <w:spacing w:after="60" w:line="276"/>
      </w:pPr>
      <w:r>
        <w:rPr>
          <w:b/>
          <w:bCs/>
          <w:i w:val="false"/>
          <w:iCs w:val="false"/>
        </w:rPr>
        <w:t xml:space="preserve">Staleness. </w:t>
      </w:r>
      <w:r>
        <w:t xml:space="preserve">Relationships change quarterly. Mitigation: every edge carries an as_of date; re-run extraction on fresh filings.</w:t>
      </w:r>
    </w:p>
    <w:p>
      <w:pPr>
        <w:pStyle w:val="ListParagraph"/>
        <w:numPr>
          <w:ilvl w:val="0"/>
          <w:numId w:val="2"/>
        </w:numPr>
        <w:spacing w:after="60" w:line="276"/>
      </w:pPr>
      <w:r>
        <w:rPr>
          <w:b/>
          <w:bCs/>
          <w:i w:val="false"/>
          <w:iCs w:val="false"/>
        </w:rPr>
        <w:t xml:space="preserve">Fact vs. opinion. </w:t>
      </w:r>
      <w:r>
        <w:t xml:space="preserve">Analyst reports mix the two. Mitigation: tag edges as fact / view / estimate so a thesis never reads as a confirmed relationship.</w:t>
      </w:r>
    </w:p>
    <w:p>
      <w:pPr>
        <w:pStyle w:val="ListParagraph"/>
        <w:numPr>
          <w:ilvl w:val="0"/>
          <w:numId w:val="2"/>
        </w:numPr>
        <w:spacing w:after="60" w:line="276"/>
      </w:pPr>
      <w:r>
        <w:rPr>
          <w:b/>
          <w:bCs/>
          <w:i w:val="false"/>
          <w:iCs w:val="false"/>
        </w:rPr>
        <w:t xml:space="preserve">Over-reliance. </w:t>
      </w:r>
      <w:r>
        <w:t xml:space="preserve">This is a research and idea-generation tool, not a recommendation engine.</w:t>
      </w:r>
    </w:p>
    <w:p>
      <w:pPr>
        <w:spacing w:after="140" w:line="276"/>
      </w:pPr>
      <w:r>
        <w:rPr>
          <w:b/>
          <w:bCs/>
          <w:i w:val="false"/>
          <w:iCs w:val="false"/>
        </w:rPr>
        <w:t xml:space="preserve">Important: </w:t>
      </w:r>
      <w:r>
        <w:t xml:space="preserve">the relationships in the prototype were compiled as of May 2026 and are illustrative — some may be approximate or out of date. Verify against primary sources before acting on anything. </w:t>
      </w:r>
      <w:r>
        <w:rPr>
          <w:b w:val="false"/>
          <w:bCs w:val="false"/>
          <w:i/>
          <w:iCs/>
        </w:rPr>
        <w:t xml:space="preserve">This document and the prototype are for research and informational purposes only and are not investment advice; I am not a financial advisor.</w:t>
      </w:r>
    </w:p>
    <w:p>
      <w:pPr>
        <w:pStyle w:val="Heading1"/>
      </w:pPr>
      <w:r>
        <w:t xml:space="preserve">13. Optional power-ups (later)</w:t>
      </w:r>
    </w:p>
    <w:p>
      <w:pPr>
        <w:spacing w:after="140" w:line="276"/>
      </w:pPr>
      <w:r>
        <w:t xml:space="preserve">Only if and when you outgrow the plain-text approach:</w:t>
      </w:r>
    </w:p>
    <w:p>
      <w:pPr>
        <w:pStyle w:val="ListParagraph"/>
        <w:numPr>
          <w:ilvl w:val="0"/>
          <w:numId w:val="2"/>
        </w:numPr>
        <w:spacing w:after="60" w:line="276"/>
      </w:pPr>
      <w:r>
        <w:rPr>
          <w:b/>
          <w:bCs/>
          <w:i w:val="false"/>
          <w:iCs w:val="false"/>
        </w:rPr>
        <w:t xml:space="preserve">Graph database (Neo4j). </w:t>
      </w:r>
      <w:r>
        <w:t xml:space="preserve">When you want true multi-hop queries at scale, export the Edges sheet into Neo4j and query with Cypher.</w:t>
      </w:r>
    </w:p>
    <w:p>
      <w:pPr>
        <w:pStyle w:val="ListParagraph"/>
        <w:numPr>
          <w:ilvl w:val="0"/>
          <w:numId w:val="2"/>
        </w:numPr>
        <w:spacing w:after="60" w:line="276"/>
      </w:pPr>
      <w:r>
        <w:rPr>
          <w:b/>
          <w:bCs/>
          <w:i w:val="false"/>
          <w:iCs w:val="false"/>
        </w:rPr>
        <w:t xml:space="preserve">Embeddings / hybrid RAG. </w:t>
      </w:r>
      <w:r>
        <w:t xml:space="preserve">At hundreds of source docs, add semantic search over sources/ so the LLM retrieves the right evidence before extracting.</w:t>
      </w:r>
    </w:p>
    <w:p>
      <w:pPr>
        <w:pStyle w:val="ListParagraph"/>
        <w:numPr>
          <w:ilvl w:val="0"/>
          <w:numId w:val="2"/>
        </w:numPr>
        <w:spacing w:after="60" w:line="276"/>
      </w:pPr>
      <w:r>
        <w:rPr>
          <w:b/>
          <w:bCs/>
          <w:i w:val="false"/>
          <w:iCs w:val="false"/>
        </w:rPr>
        <w:t xml:space="preserve">Automated ingestion. </w:t>
      </w:r>
      <w:r>
        <w:t xml:space="preserve">A scheduled job that pulls new EDGAR filings and drafts edge updates for your review.</w:t>
      </w:r>
    </w:p>
    <w:p>
      <w:pPr>
        <w:pStyle w:val="ListParagraph"/>
        <w:numPr>
          <w:ilvl w:val="0"/>
          <w:numId w:val="2"/>
        </w:numPr>
        <w:spacing w:after="60" w:line="276"/>
      </w:pPr>
      <w:r>
        <w:rPr>
          <w:b/>
          <w:bCs/>
          <w:i w:val="false"/>
          <w:iCs w:val="false"/>
        </w:rPr>
        <w:t xml:space="preserve">Quantitative scoring. </w:t>
      </w:r>
      <w:r>
        <w:t xml:space="preserve">Combine edge strength with revenue-exposure data to estimate how materially each company benefits from a given driver — and weight the catalyst engine by it.</w:t>
      </w:r>
    </w:p>
    <w:p>
      <w:pPr>
        <w:pStyle w:val="Heading1"/>
      </w:pPr>
      <w:r>
        <w:t xml:space="preserve">14. Catalyst / chain-effect analysis</w:t>
      </w:r>
    </w:p>
    <w:p>
      <w:pPr>
        <w:spacing w:after="140" w:line="276"/>
      </w:pPr>
      <w:r>
        <w:t xml:space="preserve">A graph is not just a map — it is a medium for propagation. </w:t>
      </w:r>
      <w:r>
        <w:rPr>
          <w:b/>
          <w:bCs/>
          <w:i w:val="false"/>
          <w:iCs w:val="false"/>
        </w:rPr>
        <w:t xml:space="preserve">Catalyst analysis treats a single event (a deal, an order, a disruption, an export ban, a power agreement) as a shock injected at one or more “seed” nodes, then traces how that shock ripples along the edges to reach 2nd- and 3rd-order names.</w:t>
      </w:r>
      <w:r>
        <w:t xml:space="preserve"> This is exactly where non-obvious ideas come from: the company that sits at the convergence of several chains, three hops from the headline.</w:t>
      </w:r>
    </w:p>
    <w:p>
      <w:pPr>
        <w:pStyle w:val="Heading2"/>
      </w:pPr>
      <w:r>
        <w:t xml:space="preserve">14.1 The propagation model</w:t>
      </w:r>
    </w:p>
    <w:p>
      <w:pPr>
        <w:spacing w:after="140" w:line="276"/>
      </w:pPr>
      <w:r>
        <w:t xml:space="preserve">Three rules govern how a shock travels. They are simple enough to reason about by hand and are implemented identically in the scoring script and the interactive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Rule</w:t>
            </w:r>
          </w:p>
        </w:tc>
        <w:tc>
          <w:tcPr>
            <w:tcW w:type="dxa" w:w="71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How it works</w:t>
            </w:r>
          </w:p>
        </w:tc>
      </w:tr>
      <w:tr>
        <w:trPr>
          <w:tblHeader w:val="false"/>
        </w:trP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Direction depends on the catalyst TYPE</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 DEMAND-side shock (the seed needs/buys more) flows UPSTREAM to suppliers — follow edges backwards from customer to supplier. A SUPPLY-side shock (the seed's output changes) flows DOWNSTREAM to customers — follow edges forwards. A MACRO/THEMATIC shock starts at a theme and flows to every company that benefits from it.</w:t>
            </w:r>
          </w:p>
        </w:tc>
      </w:tr>
      <w:tr>
        <w:trPr>
          <w:tblHeader w:val="false"/>
        </w:trPr>
        <w:tc>
          <w:tcPr>
            <w:tcW w:type="dxa" w:w="22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Sign carries — except across rivals</w:t>
            </w:r>
          </w:p>
        </w:tc>
        <w:tc>
          <w:tcPr>
            <w:tcW w:type="dxa" w:w="71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The polarity (good/bad) is preserved along the chain, EXCEPT a “competes with” edge inverts it: if the seed gains, a direct competitor relatively loses. (This is why a TSMC disruption shows Intel as a beneficiary.)</w:t>
            </w:r>
          </w:p>
        </w:tc>
      </w:tr>
      <w:tr>
        <w:trPr>
          <w:tblHeader w:val="false"/>
        </w:trPr>
        <w:tc>
          <w:tcPr>
            <w:tcW w:type="dxa" w:w="22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Thematic spillover</w:t>
            </w:r>
          </w:p>
        </w:tc>
        <w:tc>
          <w:tcPr>
            <w:tcW w:type="dxa" w:w="71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If a seed “drives demand for” a theme, that theme strengthens and lifts the other companies that “benefit from” it — the path by which a GPU demand surge reaches the memory and packaging names.</w:t>
            </w:r>
          </w:p>
        </w:tc>
      </w:tr>
      <w:tr>
        <w:trPr>
          <w:tblHeader w:val="false"/>
        </w:trPr>
        <w:tc>
          <w:tcPr>
            <w:tcW w:type="dxa" w:w="22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Magnitude decays with distance</w:t>
            </w:r>
          </w:p>
        </w:tc>
        <w:tc>
          <w:tcPr>
            <w:tcW w:type="dxa" w:w="71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Impact at each hop = previous impact × edge strength (1–3, normalized) × a per-hop decay (~0.5). Direct counterparties light up brightest; the effect fades by hop three. Summing across multiple paths is what surfaces convergence nodes.</w:t>
            </w:r>
          </w:p>
        </w:tc>
      </w:tr>
    </w:tbl>
    <w:p>
      <w:pPr>
        <w:pStyle w:val="Heading2"/>
      </w:pPr>
      <w:r>
        <w:t xml:space="preserve">14.2 The catalyst event schema</w:t>
      </w:r>
    </w:p>
    <w:p>
      <w:pPr>
        <w:spacing w:after="140" w:line="276"/>
      </w:pPr>
      <w:r>
        <w:t xml:space="preserve">A catalyst is captured with a tiny, consistent record so scenarios are repeatable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Field</w:t>
            </w:r>
          </w:p>
        </w:tc>
        <w:tc>
          <w:tcPr>
            <w:tcW w:type="dxa" w:w="6960"/>
            <w:tcBorders>
              <w:top w:val="single" w:color="BBBBBB" w:sz="1"/>
              <w:left w:val="single" w:color="BBBBBB" w:sz="1"/>
              <w:bottom w:val="single" w:color="BBBBBB" w:sz="1"/>
              <w:right w:val="single" w:color="BBBBBB" w:sz="1"/>
            </w:tcBorders>
            <w:shd w:fill="1F4E79" w:val="clear"/>
            <w:tcMar>
              <w:top w:type="dxa" w:w="70"/>
              <w:left w:type="dxa" w:w="120"/>
              <w:bottom w:type="dxa" w:w="70"/>
              <w:right w:type="dxa" w:w="120"/>
            </w:tcMar>
          </w:tcPr>
          <w:p>
            <w:pPr>
              <w:spacing w:after="0" w:line="264"/>
              <w:jc w:val="left"/>
            </w:pPr>
            <w:r>
              <w:rPr>
                <w:b/>
                <w:bCs/>
                <w:color w:val="FFFFFF"/>
                <w:sz w:val="19"/>
                <w:szCs w:val="19"/>
              </w:rPr>
              <w:t xml:space="preserve">Example</w:t>
            </w:r>
          </w:p>
        </w:tc>
      </w:tr>
      <w:tr>
        <w:trPr>
          <w:tblHeader w:val="false"/>
        </w:trPr>
        <w:tc>
          <w:tcPr>
            <w:tcW w:type="dxa" w:w="24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event</w:t>
            </w:r>
          </w:p>
        </w:tc>
        <w:tc>
          <w:tcPr>
            <w:tcW w:type="dxa" w:w="69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“Hyperscaler signs multi-year next-gen training-cluster order.”</w:t>
            </w:r>
          </w:p>
        </w:tc>
      </w:tr>
      <w:tr>
        <w:trPr>
          <w:tblHeader w:val="false"/>
        </w:trPr>
        <w:tc>
          <w:tcPr>
            <w:tcW w:type="dxa" w:w="24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seeds</w:t>
            </w:r>
          </w:p>
        </w:tc>
        <w:tc>
          <w:tcPr>
            <w:tcW w:type="dxa" w:w="69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Microsoft (and the AI-Training-Capex theme)</w:t>
            </w:r>
          </w:p>
        </w:tc>
      </w:tr>
      <w:tr>
        <w:trPr>
          <w:tblHeader w:val="false"/>
        </w:trPr>
        <w:tc>
          <w:tcPr>
            <w:tcW w:type="dxa" w:w="24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polarity</w:t>
            </w:r>
          </w:p>
        </w:tc>
        <w:tc>
          <w:tcPr>
            <w:tcW w:type="dxa" w:w="69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positive | negative</w:t>
            </w:r>
          </w:p>
        </w:tc>
      </w:tr>
      <w:tr>
        <w:trPr>
          <w:tblHeader w:val="false"/>
        </w:trPr>
        <w:tc>
          <w:tcPr>
            <w:tcW w:type="dxa" w:w="240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type</w:t>
            </w:r>
          </w:p>
        </w:tc>
        <w:tc>
          <w:tcPr>
            <w:tcW w:type="dxa" w:w="6960"/>
            <w:tcBorders>
              <w:top w:val="single" w:color="BBBBBB" w:sz="1"/>
              <w:left w:val="single" w:color="BBBBBB" w:sz="1"/>
              <w:bottom w:val="single" w:color="BBBBBB" w:sz="1"/>
              <w:right w:val="single" w:color="BBBBBB" w:sz="1"/>
            </w:tcBorders>
            <w:shd w:fill="F2F4F7" w:val="clear"/>
            <w:tcMar>
              <w:top w:type="dxa" w:w="70"/>
              <w:left w:type="dxa" w:w="120"/>
              <w:bottom w:type="dxa" w:w="70"/>
              <w:right w:type="dxa" w:w="120"/>
            </w:tcMar>
          </w:tcPr>
          <w:p>
            <w:pPr>
              <w:spacing w:after="0" w:line="264"/>
              <w:jc w:val="left"/>
            </w:pPr>
            <w:r>
              <w:rPr>
                <w:b w:val="false"/>
                <w:bCs w:val="false"/>
                <w:color w:val="000000"/>
                <w:sz w:val="19"/>
                <w:szCs w:val="19"/>
              </w:rPr>
              <w:t xml:space="preserve">demand | supply | macro</w:t>
            </w:r>
          </w:p>
        </w:tc>
      </w:tr>
      <w:tr>
        <w:trPr>
          <w:tblHeader w:val="false"/>
        </w:trPr>
        <w:tc>
          <w:tcPr>
            <w:tcW w:type="dxa" w:w="24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as_of / source</w:t>
            </w:r>
          </w:p>
        </w:tc>
        <w:tc>
          <w:tcPr>
            <w:tcW w:type="dxa" w:w="696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line="264"/>
              <w:jc w:val="left"/>
            </w:pPr>
            <w:r>
              <w:rPr>
                <w:b w:val="false"/>
                <w:bCs w:val="false"/>
                <w:color w:val="000000"/>
                <w:sz w:val="19"/>
                <w:szCs w:val="19"/>
              </w:rPr>
              <w:t xml:space="preserve">2026-05 / press release or filing the event came from</w:t>
            </w:r>
          </w:p>
        </w:tc>
      </w:tr>
    </w:tbl>
    <w:p>
      <w:pPr>
        <w:pStyle w:val="Heading2"/>
      </w:pPr>
      <w:r>
        <w:t xml:space="preserve">14.3 Three ways to run it (all included)</w:t>
      </w:r>
    </w:p>
    <w:p>
      <w:pPr>
        <w:pStyle w:val="ListParagraph"/>
        <w:numPr>
          <w:ilvl w:val="0"/>
          <w:numId w:val="2"/>
        </w:numPr>
        <w:spacing w:after="60" w:line="276"/>
      </w:pPr>
      <w:r>
        <w:rPr>
          <w:b/>
          <w:bCs/>
          <w:i w:val="false"/>
          <w:iCs w:val="false"/>
        </w:rPr>
        <w:t xml:space="preserve">Interactive catalyst mode (in the graph). </w:t>
      </w:r>
      <w:r>
        <w:t xml:space="preserve">Click a seed node, choose Positive/Negative and Demand/Supply/Macro, and hit Run. The graph recolors — green for beneficiaries, red for losers, brightness by impact — and the side panel lists the ranked names with their transmission paths. Best for fast, visual what-ifs.</w:t>
      </w:r>
    </w:p>
    <w:p>
      <w:pPr>
        <w:pStyle w:val="ListParagraph"/>
        <w:numPr>
          <w:ilvl w:val="0"/>
          <w:numId w:val="2"/>
        </w:numPr>
        <w:spacing w:after="60" w:line="276"/>
      </w:pPr>
      <w:r>
        <w:rPr>
          <w:b/>
          <w:bCs/>
          <w:i w:val="false"/>
          <w:iCs w:val="false"/>
        </w:rPr>
        <w:t xml:space="preserve">Scoring script (catalyst_analysis.py). </w:t>
      </w:r>
      <w:r>
        <w:t xml:space="preserve">A deterministic command-line engine that reads the spreadsheet and prints (and exports to CSV) a ranked impact list with the dominant path for each name. Best for systematic, repeatable runs and for feeding other tools.</w:t>
      </w:r>
    </w:p>
    <w:p>
      <w:pPr>
        <w:pStyle w:val="ListParagraph"/>
        <w:numPr>
          <w:ilvl w:val="0"/>
          <w:numId w:val="2"/>
        </w:numPr>
        <w:spacing w:after="60" w:line="276"/>
      </w:pPr>
      <w:r>
        <w:rPr>
          <w:b/>
          <w:bCs/>
          <w:i w:val="false"/>
          <w:iCs w:val="false"/>
        </w:rPr>
        <w:t xml:space="preserve">LLM catalyst prompt (_prompts/). </w:t>
      </w:r>
      <w:r>
        <w:t xml:space="preserve">Describe the event in prose; the model walks the wiki and reasons out effects with rationale, confidence, the assumptions that would invalidate the chain, and any missing edges to add. Best for nuance the numeric model can't capture.</w:t>
      </w:r>
    </w:p>
    <w:p>
      <w:pPr>
        <w:spacing w:after="140" w:line="276"/>
      </w:pPr>
      <w:r>
        <w:rPr>
          <w:b/>
          <w:bCs/>
          <w:i w:val="false"/>
          <w:iCs w:val="false"/>
        </w:rPr>
        <w:t xml:space="preserve">The intended workflow is hybrid: </w:t>
      </w:r>
      <w:r>
        <w:t xml:space="preserve">the script and graph surface the candidate blast radius mechanically; the LLM prompt explains and prunes it. The numeric model is a transparent heuristic, not a forecast.</w:t>
      </w:r>
    </w:p>
    <w:p>
      <w:pPr>
        <w:pStyle w:val="Heading2"/>
      </w:pPr>
      <w:r>
        <w:t xml:space="preserve">14.4 Worked examples (from the prototype)</w:t>
      </w:r>
    </w:p>
    <w:p>
      <w:pPr>
        <w:pStyle w:val="ListParagraph"/>
        <w:numPr>
          <w:ilvl w:val="0"/>
          <w:numId w:val="2"/>
        </w:numPr>
        <w:spacing w:after="60" w:line="276"/>
      </w:pPr>
      <w:r>
        <w:rPr>
          <w:b/>
          <w:bCs/>
          <w:i w:val="false"/>
          <w:iCs w:val="false"/>
        </w:rPr>
        <w:t xml:space="preserve">Positive demand shock at Microsoft. </w:t>
      </w:r>
      <w:r>
        <w:t xml:space="preserve">Propagates upstream to NVIDIA, then to TSMC and the equipment makers (ASML, Applied Materials, Lam), the memory names (SK Hynix, Micron), and in parallel to Vertiv and Arista — and via the power theme out to Constellation, Vistra, and GE Vernova.</w:t>
      </w:r>
    </w:p>
    <w:p>
      <w:pPr>
        <w:pStyle w:val="ListParagraph"/>
        <w:numPr>
          <w:ilvl w:val="0"/>
          <w:numId w:val="2"/>
        </w:numPr>
        <w:spacing w:after="60" w:line="276"/>
      </w:pPr>
      <w:r>
        <w:rPr>
          <w:b/>
          <w:bCs/>
          <w:i w:val="false"/>
          <w:iCs w:val="false"/>
        </w:rPr>
        <w:t xml:space="preserve">Negative supply shock at TSMC (CoWoS disruption). </w:t>
      </w:r>
      <w:r>
        <w:t xml:space="preserve">Propagates downstream: NVIDIA and AMD, then the hyperscalers and AI labs that depend on them — while Intel registers as a relative beneficiary through the competitive edge.</w:t>
      </w:r>
    </w:p>
    <w:p>
      <w:pPr>
        <w:pStyle w:val="ListParagraph"/>
        <w:numPr>
          <w:ilvl w:val="0"/>
          <w:numId w:val="2"/>
        </w:numPr>
        <w:spacing w:after="60" w:line="276"/>
      </w:pPr>
      <w:r>
        <w:rPr>
          <w:b/>
          <w:bCs/>
          <w:i w:val="false"/>
          <w:iCs w:val="false"/>
        </w:rPr>
        <w:t xml:space="preserve">Macro: datacenter power demand surges. </w:t>
      </w:r>
      <w:r>
        <w:t xml:space="preserve">Lights up the power and cooling cluster directly — GE Vernova, Vistra, Eaton, Constellation, Vertiv, and the datacenter REITs.</w:t>
      </w:r>
    </w:p>
    <w:p>
      <w:pPr>
        <w:spacing w:after="140" w:line="276"/>
      </w:pPr>
      <w:r>
        <w:rPr>
          <w:b/>
          <w:bCs/>
          <w:i w:val="false"/>
          <w:iCs w:val="false"/>
        </w:rPr>
        <w:t xml:space="preserve">Caveat specific to this model: </w:t>
      </w:r>
      <w:r>
        <w:t xml:space="preserve">hub nodes (TSMC, NVIDIA) accumulate impact because many paths route through them — that is informative (it shows systemic exposure) but means raw scores favour hubs. Read the ranking together with the hop count and path, and verify every chain against primary sources. Not investment advice.</w:t>
      </w:r>
    </w:p>
    <w:p>
      <w:pPr>
        <w:pStyle w:val="Heading1"/>
      </w:pPr>
      <w:r>
        <w:t xml:space="preserve">15. Recommended next step</w:t>
      </w:r>
    </w:p>
    <w:p>
      <w:pPr>
        <w:spacing w:after="140" w:line="276"/>
      </w:pPr>
      <w:r>
        <w:t xml:space="preserve">Open </w:t>
      </w:r>
      <w:r>
        <w:rPr>
          <w:b/>
          <w:bCs/>
          <w:i w:val="false"/>
          <w:iCs w:val="false"/>
        </w:rPr>
        <w:t xml:space="preserve">AI Supply Chain Graph.html</w:t>
      </w:r>
      <w:r>
        <w:t xml:space="preserve">, switch on Catalyst mode, click </w:t>
      </w:r>
      <w:r>
        <w:rPr>
          <w:b/>
          <w:bCs/>
          <w:i w:val="false"/>
          <w:iCs w:val="false"/>
        </w:rPr>
        <w:t xml:space="preserve">NVIDIA</w:t>
      </w:r>
      <w:r>
        <w:t xml:space="preserve"> → Set = selected → Positive → Demand → Run, and watch the upstream chain light up. Then drop a real filing or analyst report into sources/, run the matching prompt to grow the graph, and re-run the catalyst to see how the new edges change the blast radius. That loop — ingest, link, propagate — is the whole system in miniature.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Supply-Chain Knowledge Network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Knowledge Network Proposal</dc:title>
  <dc:creator>Cowork</dc:creator>
  <cp:lastModifiedBy>Un-named</cp:lastModifiedBy>
  <cp:revision>1</cp:revision>
  <dcterms:created xsi:type="dcterms:W3CDTF">2026-05-25T06:33:57.047Z</dcterms:created>
  <dcterms:modified xsi:type="dcterms:W3CDTF">2026-05-25T06:33:57.048Z</dcterms:modified>
</cp:coreProperties>
</file>

<file path=docProps/custom.xml><?xml version="1.0" encoding="utf-8"?>
<Properties xmlns="http://schemas.openxmlformats.org/officeDocument/2006/custom-properties" xmlns:vt="http://schemas.openxmlformats.org/officeDocument/2006/docPropsVTypes"/>
</file>