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jc w:val="center"/>
        <w:pStyle w:val="Title"/>
      </w:pPr>
      <w:r>
        <w:t xml:space="preserve">Rapport d'Indicateurs Statistiques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pStyle w:val="IndicTitle"/>
      </w:pPr>
      <w:r>
        <w:t xml:space="preserve">Classements finaux - Fréquence d'apparition</w:t>
      </w:r>
    </w:p>
    <w:p>
      <w:pPr>
        <w:pStyle w:val="IndicText"/>
      </w:pPr>
      <w:r>
        <w:t xml:space="preserve">Cet indicateur permet de voir quelles features se détachent du lot à l'interieur d'un même bloc</w:t>
      </w:r>
    </w:p>
    <w:p>
      <w:pPr>
        <w:pStyle w:val="IndicText"/>
      </w:pPr>
      <w:r>
        <w:t xml:space="preserve">Pour la combinatoire "soi = Homme / autre = Homme" :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pStyle w:val="IndicText"/>
      </w:pPr>
      <w:r>
        <w:t xml:space="preserve">Pour la combinatoire "soi = Femme / autre = Homme" :</w:t>
      </w:r>
    </w:p>
    <w:p>
      <w:pPr>
        <w:pStyle w:val="IndicText"/>
      </w:pPr>
      <w:r>
        <w:t xml:space="preserve">Il n'y a aucune feature qui est statistiquement différente des autres.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1-6</w:t>
      </w:r>
    </w:p>
    <w:p>
      <w:pPr>
        <w:pStyle w:val="IndicText"/>
      </w:pPr>
      <w:r>
        <w:t xml:space="preserve">Pour la combinatoire "soi = Homme / autre = Femme"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Signes particuliers (grains de beauté, taches de rousseur, bronzage, tatouages, piercings...)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Sous-vêtements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Couleur des yeux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Couleur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Silhouette (mince, sportif.ve, ronde, costaud, body builder…)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Origines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Taille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Signes particuliers (grains de beauté, taches de rousseur, bronzage, tatouages, piercings...)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Sous-vêtements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Couleur des yeux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Couleur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Silhouette (mince, sportif.ve, ronde, costaud, body builder…)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Origines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Taille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1-0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Pilosité (rasé.e, imberbe, juste ce qu'il faut, ours...)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1-2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Perception de l'aspect physique (très agréable à regarder, agréable à regarder, dans la moyenne…)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1-2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Parties du corps considérées des zones érogènes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1-2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Importance de la taille (hauteur)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1-2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Sexe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1-2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Age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1-2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jour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1-2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soir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1-2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de vêtement en lien avec la personnalité (bab, cutester, BCBG, bohème, chic, classique, décontracté, electro, excentrique, fluo)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Consommation d'alcool et fréquence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Consommation du tabac et fréquence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Régime alimentaire, habitudes, plats préférés, importance accordée aux repas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S'exposer en photos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S'exposer en vidéos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Orientation sexuelle (hétéro, homo, bi, trans)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Fétichisme avec des vêtements (cuir, équipement de sports, skateur.se, caoutchouc, sous-vêtements, peaux et punks, bottes, lycra, uniforme, robe de soirée, raver, bas et bas, jeans, lingerie, travailleur)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Genre (agender, androgyne, asexué, bigender, cisgender, cisgender...)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Genre (agender, androgyne, asexué, bigender, cisgender, cisgender...)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1-4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Talents culinaires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Statut VIH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Lunettes ou lentilles de contact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Maladies sexuellement transmissibles (Verrues génitales, Herpès type I, Herpès type II…)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-1.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S'exposer en Webcam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Mode et marques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Sports préférés, sports pratiqués, fréquence de la pratique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-2.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Satisfaction de l'apparence physique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0.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L'âge dans la tête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-3.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Dates de rappels de pistage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 n'apparait pas de manière uniforme sur tous les rangs, en moyenne elle tend vers 1. (cf. </w:t>
      </w:r>
      <w:r>
        <w:rPr>
          <w:i w:val="true"/>
          <w:iCs w:val="true"/>
        </w:rPr>
        <w:t xml:space="preserve">Figure 1-6</w:t>
      </w:r>
      <w:r>
        <w:t xml:space="preserve">) (p-value : 0.05)</w:t>
      </w:r>
    </w:p>
    <w:p>
      <w:pPr>
        <w:pStyle w:val="IndicText"/>
      </w:pPr>
      <w:r>
        <w:t xml:space="preserve">Pour la combinatoire "soi = Femme / autre = Femme" :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jc w:val="center"/>
        <w:pStyle w:val="Heading1"/>
      </w:pPr>
      <w:r>
        <w:t xml:space="preserve">Annexes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pStyle w:val="AnnexTitle"/>
      </w:pPr>
      <w:r>
        <w:t xml:space="preserve">Annexe Indicateur Classements finaux - Fréquence d'apparition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1-9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1"/>
      <w:footerReference w:type="default" r:id="rId12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IndicTitle">
    <w:name w:val="Indicator Title"/>
    <w:pPr>
      <w:spacing w:before="120" w:after="240"/>
    </w:pPr>
    <w:rPr>
      <w:sz w:val="40"/>
      <w:szCs w:val="40"/>
      <w:b w:val="true"/>
    </w:rPr>
    <w:basedOn w:val="Title 2"/>
    <w:next w:val="Normal"/>
  </w:style>
  <w:style w:type="paragraph" w:styleId="AnnexTitle">
    <w:name w:val="Indicator Annex Title"/>
    <w:pPr>
      <w:spacing w:before="120" w:after="240"/>
    </w:pPr>
    <w:rPr>
      <w:sz w:val="30"/>
      <w:szCs w:val="30"/>
      <w:b w:val="true"/>
    </w:rPr>
    <w:basedOn w:val="Title 3"/>
    <w:next w:val="Normal"/>
  </w:style>
  <w:style w:type="paragraph" w:styleId="IndicText">
    <w:name w:val="Indicator Paragraph"/>
    <w:pPr>
      <w:spacing w:after="120"/>
    </w:pPr>
    <w:rPr>
      <w:sz w:val="24"/>
      <w:szCs w:val="24"/>
    </w:rPr>
    <w:basedOn w:val="Normal"/>
    <w:next w:val="Normal"/>
  </w:style>
  <w:style w:type="paragraph" w:styleId="Legend">
    <w:name w:val="Legend"/>
    <w:pPr>
      <w:spacing w:after="240"/>
    </w:pPr>
    <w:rPr>
      <w:sz w:val="20"/>
      <w:szCs w:val="20"/>
      <w:i w:val="true"/>
      <w:color w:val="999999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72bvjry05lxgro8g6exbs.png"/><Relationship Id="rId14" Type="http://schemas.openxmlformats.org/officeDocument/2006/relationships/image" Target="media/faconyvwufgwdnohlhy2u.png"/><Relationship Id="rId15" Type="http://schemas.openxmlformats.org/officeDocument/2006/relationships/image" Target="media/on3z2739ygc702pg1shii2.png"/><Relationship Id="rId16" Type="http://schemas.openxmlformats.org/officeDocument/2006/relationships/image" Target="media/7jhyzpl0bzmafok08brq2.png"/><Relationship Id="rId17" Type="http://schemas.openxmlformats.org/officeDocument/2006/relationships/image" Target="media/7w5gepapnyadk6be73pr45.png"/><Relationship Id="rId18" Type="http://schemas.openxmlformats.org/officeDocument/2006/relationships/image" Target="media/h646qtihfjohf5qt9wmm6a.png"/><Relationship Id="rId19" Type="http://schemas.openxmlformats.org/officeDocument/2006/relationships/image" Target="media/bxcfgaqa7goa8yn04oda4e.png"/><Relationship Id="rId20" Type="http://schemas.openxmlformats.org/officeDocument/2006/relationships/image" Target="media/j234slou2a365s1ic1d5j.png"/><Relationship Id="rId21" Type="http://schemas.openxmlformats.org/officeDocument/2006/relationships/image" Target="media/v4ryxitvue01eh0az8rwf6.png"/><Relationship Id="rId22" Type="http://schemas.openxmlformats.org/officeDocument/2006/relationships/image" Target="media/2yny2l7y5xrlyphb2dil6s.png"/><Relationship Id="rId23" Type="http://schemas.openxmlformats.org/officeDocument/2006/relationships/image" Target="media/2ohcjtu24ialjgrxrjmnsd.png"/><Relationship Id="rId24" Type="http://schemas.openxmlformats.org/officeDocument/2006/relationships/image" Target="media/4ir38do550pcjzi20ve8r.png"/><Relationship Id="rId25" Type="http://schemas.openxmlformats.org/officeDocument/2006/relationships/image" Target="media/3d1pi2y2o47du7z96la2aa.png"/><Relationship Id="rId26" Type="http://schemas.openxmlformats.org/officeDocument/2006/relationships/image" Target="media/boujsobjoqh6hb8gokm2r7.png"/><Relationship Id="rId27" Type="http://schemas.openxmlformats.org/officeDocument/2006/relationships/image" Target="media/6hl6phdw1nizl46fwb5l2a.png"/><Relationship Id="rId28" Type="http://schemas.openxmlformats.org/officeDocument/2006/relationships/image" Target="media/hjcjzwww1gj5twr40qotg.png"/><Relationship Id="rId29" Type="http://schemas.openxmlformats.org/officeDocument/2006/relationships/image" Target="media/wfty9mph8ungkupnp546b.png"/><Relationship Id="rId30" Type="http://schemas.openxmlformats.org/officeDocument/2006/relationships/image" Target="media/y0ot8n56giqbll6kr2puf.png"/><Relationship Id="rId31" Type="http://schemas.openxmlformats.org/officeDocument/2006/relationships/image" Target="media/m05zp74btsbmktimm0xex8.png"/><Relationship Id="rId32" Type="http://schemas.openxmlformats.org/officeDocument/2006/relationships/image" Target="media/a4c4nofccsuy3s0hu0mje.png"/><Relationship Id="rId33" Type="http://schemas.openxmlformats.org/officeDocument/2006/relationships/image" Target="media/7v4pk8we2fc3n3ytih8szf.png"/><Relationship Id="rId34" Type="http://schemas.openxmlformats.org/officeDocument/2006/relationships/image" Target="media/yaqyua7kq7p6kum5xijn6c.png"/><Relationship Id="rId35" Type="http://schemas.openxmlformats.org/officeDocument/2006/relationships/image" Target="media/en7ysnbr28bageumf5bsv.png"/><Relationship Id="rId36" Type="http://schemas.openxmlformats.org/officeDocument/2006/relationships/image" Target="media/py7la7kh28ok1dfcjykdjo.png"/><Relationship Id="rId37" Type="http://schemas.openxmlformats.org/officeDocument/2006/relationships/image" Target="media/4de2w8y5zpkla5ci7poh6.png"/><Relationship Id="rId38" Type="http://schemas.openxmlformats.org/officeDocument/2006/relationships/image" Target="media/vwczvi83brbezhdlx2ds.png"/><Relationship Id="rId39" Type="http://schemas.openxmlformats.org/officeDocument/2006/relationships/image" Target="media/32na2cfv2xb74zqcfz6ooy.png"/><Relationship Id="rId40" Type="http://schemas.openxmlformats.org/officeDocument/2006/relationships/image" Target="media/u8w5uqq9zfdi643m5x0fb.png"/><Relationship Id="rId41" Type="http://schemas.openxmlformats.org/officeDocument/2006/relationships/image" Target="media/jbpcwlbefo5me1oczst9m.png"/><Relationship Id="rId42" Type="http://schemas.openxmlformats.org/officeDocument/2006/relationships/image" Target="media/yz7qp48i1wjxxvhyz3utd.png"/><Relationship Id="rId43" Type="http://schemas.openxmlformats.org/officeDocument/2006/relationships/image" Target="media/dlcspzhcu7pw6js3bfkgx.png"/><Relationship Id="rId44" Type="http://schemas.openxmlformats.org/officeDocument/2006/relationships/image" Target="media/aacmwv9mcpap088ifjmltc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d'indicateurs statistiques</dc:title>
  <dc:creator>Algolov</dc:creator>
  <dc:description>Rapport permettant l'analyse des statistiques tirées des données des questionnaires</dc:description>
  <dcterms:created xsi:type="dcterms:W3CDTF">2020-04-13T19:46:05Z</dcterms:created>
  <dcterms:modified xsi:type="dcterms:W3CDTF">2020-04-13T19:46:05Z</dcterms:modified>
</cp:coreProperties>
</file>