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9A9D" w14:textId="77777777" w:rsidR="0094706A" w:rsidRDefault="00000000">
      <w:pPr>
        <w:spacing w:after="5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Forecast Modernization — Candidate Projects</w:t>
      </w:r>
    </w:p>
    <w:p w14:paraId="090350A1" w14:textId="77777777" w:rsidR="0094706A" w:rsidRDefault="00000000">
      <w:pPr>
        <w:pBdr>
          <w:bottom w:val="single" w:sz="10" w:space="6" w:color="1F3864"/>
        </w:pBdr>
        <w:spacing w:after="160"/>
      </w:pP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Working </w:t>
      </w:r>
      <w:proofErr w:type="gramStart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inventory  ·</w:t>
      </w:r>
      <w:proofErr w:type="gramEnd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  v0.1 </w:t>
      </w:r>
      <w:proofErr w:type="gramStart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DRAFT  ·</w:t>
      </w:r>
      <w:proofErr w:type="gramEnd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  [</w:t>
      </w:r>
      <w:proofErr w:type="gramStart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Owner]  ·</w:t>
      </w:r>
      <w:proofErr w:type="gramEnd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  [Date]</w:t>
      </w:r>
    </w:p>
    <w:p w14:paraId="5F38F0ED" w14:textId="77777777" w:rsidR="0094706A" w:rsidRDefault="00000000">
      <w:pPr>
        <w:spacing w:after="90"/>
      </w:pPr>
      <w:r>
        <w:rPr>
          <w:rFonts w:ascii="Calibri" w:eastAsia="Calibri" w:hAnsi="Calibri" w:cs="Calibri"/>
          <w:color w:val="000000"/>
          <w:sz w:val="21"/>
          <w:szCs w:val="21"/>
        </w:rPr>
        <w:t>A running list of candidate projects under the Actuarial Methods &amp; Forecast Modernization mandate. This is an inventory, not a plan — nothing here is sequenced, sized, or committed. Grouped by the accountability each sits under.</w:t>
      </w:r>
    </w:p>
    <w:p w14:paraId="267F9608" w14:textId="77777777" w:rsidR="0094706A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Status: In flight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= work underway. 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Proposed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= written up, awaiting a decision. 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Concept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= idea only, not yet scoped.</w:t>
      </w:r>
    </w:p>
    <w:p w14:paraId="07AB73E5" w14:textId="77777777" w:rsidR="0094706A" w:rsidRDefault="00000000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1.  Forecast Performance Measurement and Learning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500"/>
        <w:gridCol w:w="1600"/>
      </w:tblGrid>
      <w:tr w:rsidR="0094706A" w14:paraId="21F2D6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89DA80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5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90572F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16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6D9B7C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4706A" w14:paraId="54B76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0BF55C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Variance attribution bridge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0D5C9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standard, reproducible decomposition of forecast-to-actual variance into named drivers, with the unattributed residual published as its own line.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A67A86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Proposed</w:t>
            </w:r>
          </w:p>
        </w:tc>
      </w:tr>
      <w:tr w:rsidR="0094706A" w14:paraId="5FF9D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DBBEE3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Accuracy and bias baseline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36BF10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Retrospective accuracy, directional bias, and error-by-horizon across recent quarters and segments. Establishes the reference point every later improvement claim is measured against.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CB647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28D8C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1CC4C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Assumption capture standard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73FBF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Requiring forecast assumptions to be recorded at a retrievable grain, so future cycles are traceable by construction rather than reconstructed after the fact.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E56ECF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19E9B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D5D4D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Retrospective learning routine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710B06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recurring forum where misses are diagnosed against the bridge and produce specific method changes, closing the loop between result and correction.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C0938F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</w:tbl>
    <w:p w14:paraId="37645037" w14:textId="77777777" w:rsidR="0094706A" w:rsidRDefault="00000000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2.  Methods, Standards, and Governance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500"/>
        <w:gridCol w:w="1600"/>
      </w:tblGrid>
      <w:tr w:rsidR="0094706A" w14:paraId="1F6F66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62918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5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4352C3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16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CAE2E6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4706A" w14:paraId="65A5B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AE9C6B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Common definitions and driver taxonomy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37BD4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One agreed set of definitions and driver categories — trend, incurred vs. paid, membership normalization, service categories — mutually exclusive and summing to the total.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24E61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1D70B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10420F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Fit-for-purpose method tiering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C30A4C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documented framework setting required rigor, refresh cadence, validation depth, and documentation by decision type, so effort matches the decision being supported.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6EDF13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4E43F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46D3B8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Method validation and documentation standard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34DFD5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Validation expectations and documentation requirements for forecast methods, including the additional bar for statistical, ML, and AI-enabled approaches.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7BCBBD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55D3B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B89B5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Scenario and range framework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E9E3A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small, named, reusable set of scenarios with defined ranges, replacing ad hoc sensitivity work and giving leadership a defensible range rather than a point estimate.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8D6C3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2132E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7E5CFA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Uncertainty quantification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C1A163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How forecast uncertainty is estimated and expressed — intervals, confidence framing, and what is communicated to decision-makers alongside the number.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92025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</w:tbl>
    <w:p w14:paraId="3822E918" w14:textId="77777777" w:rsidR="0094706A" w:rsidRDefault="00000000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3.  Forecast Methods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500"/>
        <w:gridCol w:w="1600"/>
      </w:tblGrid>
      <w:tr w:rsidR="0094706A" w14:paraId="2642EE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55195C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5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A9785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16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38C87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4706A" w14:paraId="21287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BB444C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ML component forecast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380E25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Lightweight component-based forecast producing separate utilization and unit cost views at a finer grain, with a vintage-correct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backtest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framework.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8388EC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 flight</w:t>
            </w:r>
          </w:p>
        </w:tc>
      </w:tr>
      <w:tr w:rsidR="0094706A" w14:paraId="41418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BC882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Nowcast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A7E8E9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completion-aware estimate of recent incurred months built from faster-arriving signals, refreshed on a fixed cadence, published with driver attribution.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9F09A4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Proposed</w:t>
            </w:r>
          </w:p>
        </w:tc>
      </w:tr>
      <w:tr w:rsidR="0094706A" w14:paraId="17DFA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FD2E64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Leading indicator and signal library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E97251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scored inventory of early signals — authorizations, Rx, census, referral patterns, contracting pipeline — rated for lead time and predictive value.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D36BEA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0BE4B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D77A7B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Completion and IBNR method modernization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2CC80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Improved completion estimation, which is frequently the largest source of error in recent-month views and a prerequisite for a credible nowcast.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C2217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5ECFA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B9E776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Membership and mix forecasting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F18337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Dedicated treatment of membership volume and mix, often a material driver of PMPM variance and typically modeled less rigorously than cost components.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43BDA8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27DB9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309FFA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Large claim and high-cost claimant modeling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7627BD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Separate treatment of the tail, which behaves differently from the body of the distribution and distorts aggregate methods when left combined.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DF6968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</w:tbl>
    <w:p w14:paraId="2F069C3E" w14:textId="77777777" w:rsidR="0094706A" w:rsidRDefault="00000000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4.  Enablement and Shared Infrastructure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500"/>
        <w:gridCol w:w="1600"/>
      </w:tblGrid>
      <w:tr w:rsidR="0094706A" w14:paraId="4099F8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A4D190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5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084F63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16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DA6D24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4706A" w14:paraId="1929E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E82B78" w14:textId="77777777" w:rsidR="0094706A" w:rsidRDefault="00000000">
            <w:pPr>
              <w:spacing w:line="234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Backtesting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harness as shared infrastructure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D89F5D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Vintage-correct evaluation any method can be scored against, including the incumbent. Currently embedded in the ML forecast work; candidate to be lifted out and generalized.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66ADE4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 flight</w:t>
            </w:r>
          </w:p>
        </w:tc>
      </w:tr>
      <w:tr w:rsidR="0094706A" w14:paraId="63516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D9DD2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Method documentation library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8C7EA5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single place where enterprise methods, definitions, and validation records live, so methods are discoverable rather than tribal.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35570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7389C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E2B53F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Business actuarial enablement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010BF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Templates, training, and adoption support so business teams can apply enterprise methods while retaining their own assumptions and accountability.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9F4794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</w:tbl>
    <w:p w14:paraId="082DC3D2" w14:textId="77777777" w:rsidR="0094706A" w:rsidRDefault="00000000">
      <w:pPr>
        <w:pStyle w:val="Heading1"/>
        <w:keepNext/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5"/>
          <w:szCs w:val="25"/>
        </w:rPr>
        <w:t>5.  Operating Model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500"/>
        <w:gridCol w:w="1600"/>
      </w:tblGrid>
      <w:tr w:rsidR="0094706A" w14:paraId="4B861B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BE1558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5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45CACD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16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201A6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4706A" w14:paraId="3F906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E21039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Innovation portfolio stage-gate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954541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Intake, proof-of-concept design, pre-committed success and stop criteria, and scale/refine/stop decisions on a fixed review cadence.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8EB3B1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65E64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027F8E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Forecast review forum design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E42448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What gets reviewed, by whom, at what cadence, and against which standing artifacts — so review is a routine rather than a series of one-off requests.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50B2C0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  <w:tr w:rsidR="0094706A" w14:paraId="14914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0C52BE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Executive communication standard</w:t>
            </w:r>
          </w:p>
        </w:tc>
        <w:tc>
          <w:tcPr>
            <w:tcW w:w="5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CF1D64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consistent way of presenting method, uncertainty, tradeoffs, and what changed since last cycle, so senior audiences see a comparable story each time.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A73B0D" w14:textId="77777777" w:rsidR="0094706A" w:rsidRDefault="00000000">
            <w:pPr>
              <w:spacing w:line="234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Concept</w:t>
            </w:r>
          </w:p>
        </w:tc>
      </w:tr>
    </w:tbl>
    <w:p w14:paraId="2402A557" w14:textId="77777777" w:rsidR="0094706A" w:rsidRDefault="00000000">
      <w:pPr>
        <w:pBdr>
          <w:top w:val="single" w:sz="6" w:space="10" w:color="BFBFBF"/>
        </w:pBdr>
        <w:spacing w:before="200"/>
      </w:pPr>
      <w:r>
        <w:rPr>
          <w:rFonts w:ascii="Calibri" w:eastAsia="Calibri" w:hAnsi="Calibri" w:cs="Calibri"/>
          <w:b/>
          <w:bCs/>
          <w:color w:val="595959"/>
        </w:rPr>
        <w:t xml:space="preserve">Status values are a first pass and need correcting. </w:t>
      </w:r>
      <w:r>
        <w:rPr>
          <w:rFonts w:ascii="Calibri" w:eastAsia="Calibri" w:hAnsi="Calibri" w:cs="Calibri"/>
          <w:i/>
          <w:iCs/>
          <w:color w:val="595959"/>
        </w:rPr>
        <w:t>Several of these have likely been raised in forums not reflected here, and some may already sit with another pillar.</w:t>
      </w:r>
    </w:p>
    <w:sectPr w:rsidR="0094706A">
      <w:pgSz w:w="12240" w:h="15840"/>
      <w:pgMar w:top="860" w:right="1250" w:bottom="78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3B88"/>
    <w:multiLevelType w:val="hybridMultilevel"/>
    <w:tmpl w:val="1ADCD498"/>
    <w:lvl w:ilvl="0" w:tplc="707A55EA">
      <w:start w:val="1"/>
      <w:numFmt w:val="bullet"/>
      <w:lvlText w:val="●"/>
      <w:lvlJc w:val="left"/>
      <w:pPr>
        <w:ind w:left="720" w:hanging="360"/>
      </w:pPr>
    </w:lvl>
    <w:lvl w:ilvl="1" w:tplc="75D295AC">
      <w:start w:val="1"/>
      <w:numFmt w:val="bullet"/>
      <w:lvlText w:val="○"/>
      <w:lvlJc w:val="left"/>
      <w:pPr>
        <w:ind w:left="1440" w:hanging="360"/>
      </w:pPr>
    </w:lvl>
    <w:lvl w:ilvl="2" w:tplc="841EDEBE">
      <w:start w:val="1"/>
      <w:numFmt w:val="bullet"/>
      <w:lvlText w:val="■"/>
      <w:lvlJc w:val="left"/>
      <w:pPr>
        <w:ind w:left="2160" w:hanging="360"/>
      </w:pPr>
    </w:lvl>
    <w:lvl w:ilvl="3" w:tplc="D6DEA7C8">
      <w:start w:val="1"/>
      <w:numFmt w:val="bullet"/>
      <w:lvlText w:val="●"/>
      <w:lvlJc w:val="left"/>
      <w:pPr>
        <w:ind w:left="2880" w:hanging="360"/>
      </w:pPr>
    </w:lvl>
    <w:lvl w:ilvl="4" w:tplc="4DB0C1A6">
      <w:start w:val="1"/>
      <w:numFmt w:val="bullet"/>
      <w:lvlText w:val="○"/>
      <w:lvlJc w:val="left"/>
      <w:pPr>
        <w:ind w:left="3600" w:hanging="360"/>
      </w:pPr>
    </w:lvl>
    <w:lvl w:ilvl="5" w:tplc="A1188718">
      <w:start w:val="1"/>
      <w:numFmt w:val="bullet"/>
      <w:lvlText w:val="■"/>
      <w:lvlJc w:val="left"/>
      <w:pPr>
        <w:ind w:left="4320" w:hanging="360"/>
      </w:pPr>
    </w:lvl>
    <w:lvl w:ilvl="6" w:tplc="2AC42720">
      <w:start w:val="1"/>
      <w:numFmt w:val="bullet"/>
      <w:lvlText w:val="●"/>
      <w:lvlJc w:val="left"/>
      <w:pPr>
        <w:ind w:left="5040" w:hanging="360"/>
      </w:pPr>
    </w:lvl>
    <w:lvl w:ilvl="7" w:tplc="42309BE8">
      <w:start w:val="1"/>
      <w:numFmt w:val="bullet"/>
      <w:lvlText w:val="●"/>
      <w:lvlJc w:val="left"/>
      <w:pPr>
        <w:ind w:left="5760" w:hanging="360"/>
      </w:pPr>
    </w:lvl>
    <w:lvl w:ilvl="8" w:tplc="A88EF3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774A11"/>
    <w:multiLevelType w:val="hybridMultilevel"/>
    <w:tmpl w:val="411A0170"/>
    <w:lvl w:ilvl="0" w:tplc="865E59A8">
      <w:start w:val="1"/>
      <w:numFmt w:val="bullet"/>
      <w:lvlText w:val="•"/>
      <w:lvlJc w:val="left"/>
      <w:pPr>
        <w:ind w:left="374" w:hanging="244"/>
      </w:pPr>
    </w:lvl>
    <w:lvl w:ilvl="1" w:tplc="081460D4">
      <w:numFmt w:val="decimal"/>
      <w:lvlText w:val=""/>
      <w:lvlJc w:val="left"/>
    </w:lvl>
    <w:lvl w:ilvl="2" w:tplc="1D1CFD72">
      <w:numFmt w:val="decimal"/>
      <w:lvlText w:val=""/>
      <w:lvlJc w:val="left"/>
    </w:lvl>
    <w:lvl w:ilvl="3" w:tplc="A62C5232">
      <w:numFmt w:val="decimal"/>
      <w:lvlText w:val=""/>
      <w:lvlJc w:val="left"/>
    </w:lvl>
    <w:lvl w:ilvl="4" w:tplc="CA4421C4">
      <w:numFmt w:val="decimal"/>
      <w:lvlText w:val=""/>
      <w:lvlJc w:val="left"/>
    </w:lvl>
    <w:lvl w:ilvl="5" w:tplc="A5CC2D7C">
      <w:numFmt w:val="decimal"/>
      <w:lvlText w:val=""/>
      <w:lvlJc w:val="left"/>
    </w:lvl>
    <w:lvl w:ilvl="6" w:tplc="4B928EBC">
      <w:numFmt w:val="decimal"/>
      <w:lvlText w:val=""/>
      <w:lvlJc w:val="left"/>
    </w:lvl>
    <w:lvl w:ilvl="7" w:tplc="25D81740">
      <w:numFmt w:val="decimal"/>
      <w:lvlText w:val=""/>
      <w:lvlJc w:val="left"/>
    </w:lvl>
    <w:lvl w:ilvl="8" w:tplc="4CD26664">
      <w:numFmt w:val="decimal"/>
      <w:lvlText w:val=""/>
      <w:lvlJc w:val="left"/>
    </w:lvl>
  </w:abstractNum>
  <w:num w:numId="1" w16cid:durableId="1406217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06A"/>
    <w:rsid w:val="009111AF"/>
    <w:rsid w:val="0094706A"/>
    <w:rsid w:val="00C2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378FF"/>
  <w15:docId w15:val="{F8A3EC12-793A-7E45-B6A8-D2FDA477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Swan</cp:lastModifiedBy>
  <cp:revision>2</cp:revision>
  <dcterms:created xsi:type="dcterms:W3CDTF">2026-08-26T17:57:00Z</dcterms:created>
  <dcterms:modified xsi:type="dcterms:W3CDTF">2026-08-26T17:57:00Z</dcterms:modified>
</cp:coreProperties>
</file>