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Forecast Modernization — Priority Projects</w:t>
      </w:r>
    </w:p>
    <w:p>
      <w:pPr>
        <w:pBdr>
          <w:bottom w:val="single" w:color="1F3864" w:sz="10" w:space="6"/>
        </w:pBdr>
        <w:spacing w:after="160"/>
      </w:pPr>
      <w:r>
        <w:rPr>
          <w:rFonts w:ascii="Calibri" w:cs="Calibri" w:eastAsia="Calibri" w:hAnsi="Calibri"/>
          <w:i/>
          <w:iCs/>
          <w:color w:val="595959"/>
          <w:sz w:val="21"/>
          <w:szCs w:val="21"/>
        </w:rPr>
        <w:t xml:space="preserve">Shortlist  ·  v0.1 DRAFT  ·  [Owner]  ·  [Date]</w:t>
      </w:r>
    </w:p>
    <w:p>
      <w:pPr>
        <w:spacing w:after="90" w:line="24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Eight candidates drawn from the wider inventory. Grouped by what each one changes: what gets forecast, what it is forecast from, and how the result is framed and learned from. Nothing here is sequenced or sized yet.</w:t>
      </w:r>
    </w:p>
    <w:p>
      <w:pPr>
        <w:pStyle w:val="Heading1"/>
        <w:keepNext/>
        <w:spacing w:after="80" w:before="21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1.  Extending What Gets Forecast</w:t>
      </w:r>
    </w:p>
    <w:tbl>
      <w:tblPr>
        <w:tblW w:type="dxa" w:w="960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2350"/>
        <w:gridCol w:w="4150"/>
        <w:gridCol w:w="3100"/>
      </w:tblGrid>
      <w:tr>
        <w:trPr>
          <w:cantSplit/>
          <w:tblHeader/>
        </w:trPr>
        <w:tc>
          <w:tcPr>
            <w:tcW w:type="dxa" w:w="2350"/>
            <w:shd w:fill="1F3864" w:color="auto" w:val="clear"/>
            <w:tcMar>
              <w:top w:type="dxa" w:w="42"/>
              <w:left w:type="dxa" w:w="100"/>
              <w:bottom w:type="dxa" w:w="42"/>
              <w:right w:type="dxa" w:w="100"/>
            </w:tcMar>
          </w:tcPr>
          <w:p>
            <w:pPr>
              <w:spacing w:after="0" w:line="23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Project</w:t>
            </w:r>
          </w:p>
        </w:tc>
        <w:tc>
          <w:tcPr>
            <w:tcW w:type="dxa" w:w="4150"/>
            <w:shd w:fill="1F3864" w:color="auto" w:val="clear"/>
            <w:tcMar>
              <w:top w:type="dxa" w:w="42"/>
              <w:left w:type="dxa" w:w="100"/>
              <w:bottom w:type="dxa" w:w="42"/>
              <w:right w:type="dxa" w:w="100"/>
            </w:tcMar>
          </w:tcPr>
          <w:p>
            <w:pPr>
              <w:spacing w:after="0" w:line="23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it is</w:t>
            </w:r>
          </w:p>
        </w:tc>
        <w:tc>
          <w:tcPr>
            <w:tcW w:type="dxa" w:w="3100"/>
            <w:shd w:fill="1F3864" w:color="auto" w:val="clear"/>
            <w:tcMar>
              <w:top w:type="dxa" w:w="42"/>
              <w:left w:type="dxa" w:w="100"/>
              <w:bottom w:type="dxa" w:w="42"/>
              <w:right w:type="dxa" w:w="100"/>
            </w:tcMar>
          </w:tcPr>
          <w:p>
            <w:pPr>
              <w:spacing w:after="0" w:line="23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it enables</w:t>
            </w:r>
          </w:p>
        </w:tc>
      </w:tr>
      <w:tr>
        <w:trPr>
          <w:cantSplit/>
          <w:tblHeader w:val="false"/>
        </w:trPr>
        <w:tc>
          <w:tcPr>
            <w:tcW w:type="dxa" w:w="2350"/>
            <w:tcMar>
              <w:top w:type="dxa" w:w="42"/>
              <w:left w:type="dxa" w:w="100"/>
              <w:bottom w:type="dxa" w:w="42"/>
              <w:right w:type="dxa" w:w="100"/>
            </w:tcMar>
          </w:tcPr>
          <w:p>
            <w:pPr>
              <w:spacing w:after="0" w:line="234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Membership and mix forecasting</w:t>
            </w:r>
          </w:p>
        </w:tc>
        <w:tc>
          <w:tcPr>
            <w:tcW w:type="dxa" w:w="4150"/>
            <w:tcMar>
              <w:top w:type="dxa" w:w="42"/>
              <w:left w:type="dxa" w:w="100"/>
              <w:bottom w:type="dxa" w:w="42"/>
              <w:right w:type="dxa" w:w="100"/>
            </w:tcMar>
          </w:tcPr>
          <w:p>
            <w:pPr>
              <w:spacing w:after="0" w:line="234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Dedicated treatment of membership volume and mix as forecast components in their own right, rather than as inputs held flat or trended simply.</w:t>
            </w:r>
          </w:p>
        </w:tc>
        <w:tc>
          <w:tcPr>
            <w:tcW w:type="dxa" w:w="3100"/>
            <w:tcMar>
              <w:top w:type="dxa" w:w="42"/>
              <w:left w:type="dxa" w:w="100"/>
              <w:bottom w:type="dxa" w:w="42"/>
              <w:right w:type="dxa" w:w="100"/>
            </w:tcMar>
          </w:tcPr>
          <w:p>
            <w:pPr>
              <w:spacing w:after="0" w:line="234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Separates volume effects from cost effects in variance; improves PMPM accuracy wherever enrollment is shifting.</w:t>
            </w:r>
          </w:p>
        </w:tc>
      </w:tr>
      <w:tr>
        <w:trPr>
          <w:cantSplit/>
          <w:tblHeader w:val="false"/>
        </w:trPr>
        <w:tc>
          <w:tcPr>
            <w:tcW w:type="dxa" w:w="2350"/>
            <w:tcMar>
              <w:top w:type="dxa" w:w="42"/>
              <w:left w:type="dxa" w:w="100"/>
              <w:bottom w:type="dxa" w:w="42"/>
              <w:right w:type="dxa" w:w="100"/>
            </w:tcMar>
          </w:tcPr>
          <w:p>
            <w:pPr>
              <w:spacing w:after="0" w:line="234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Large claim and high-cost claimant modeling</w:t>
            </w:r>
          </w:p>
        </w:tc>
        <w:tc>
          <w:tcPr>
            <w:tcW w:type="dxa" w:w="4150"/>
            <w:tcMar>
              <w:top w:type="dxa" w:w="42"/>
              <w:left w:type="dxa" w:w="100"/>
              <w:bottom w:type="dxa" w:w="42"/>
              <w:right w:type="dxa" w:w="100"/>
            </w:tcMar>
          </w:tcPr>
          <w:p>
            <w:pPr>
              <w:spacing w:after="0" w:line="234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Separate modeling of the tail of the cost distribution, which behaves differently from the body and distorts aggregate methods when left combined.</w:t>
            </w:r>
          </w:p>
        </w:tc>
        <w:tc>
          <w:tcPr>
            <w:tcW w:type="dxa" w:w="3100"/>
            <w:tcMar>
              <w:top w:type="dxa" w:w="42"/>
              <w:left w:type="dxa" w:w="100"/>
              <w:bottom w:type="dxa" w:w="42"/>
              <w:right w:type="dxa" w:w="100"/>
            </w:tcMar>
          </w:tcPr>
          <w:p>
            <w:pPr>
              <w:spacing w:after="0" w:line="234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Reduces the most common source of large unexplained misses; supports stop-loss and reinsurance discussion.</w:t>
            </w:r>
          </w:p>
        </w:tc>
      </w:tr>
      <w:tr>
        <w:trPr>
          <w:cantSplit/>
          <w:tblHeader w:val="false"/>
        </w:trPr>
        <w:tc>
          <w:tcPr>
            <w:tcW w:type="dxa" w:w="2350"/>
            <w:tcMar>
              <w:top w:type="dxa" w:w="42"/>
              <w:left w:type="dxa" w:w="100"/>
              <w:bottom w:type="dxa" w:w="42"/>
              <w:right w:type="dxa" w:w="100"/>
            </w:tcMar>
          </w:tcPr>
          <w:p>
            <w:pPr>
              <w:spacing w:after="0" w:line="234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Provider-level forecast</w:t>
            </w:r>
          </w:p>
        </w:tc>
        <w:tc>
          <w:tcPr>
            <w:tcW w:type="dxa" w:w="4150"/>
            <w:tcMar>
              <w:top w:type="dxa" w:w="42"/>
              <w:left w:type="dxa" w:w="100"/>
              <w:bottom w:type="dxa" w:w="42"/>
              <w:right w:type="dxa" w:w="100"/>
            </w:tcMar>
          </w:tcPr>
          <w:p>
            <w:pPr>
              <w:spacing w:after="0" w:line="234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Forecasting at provider or contract grain rather than only at market and service category level.</w:t>
            </w:r>
          </w:p>
        </w:tc>
        <w:tc>
          <w:tcPr>
            <w:tcW w:type="dxa" w:w="3100"/>
            <w:tcMar>
              <w:top w:type="dxa" w:w="42"/>
              <w:left w:type="dxa" w:w="100"/>
              <w:bottom w:type="dxa" w:w="42"/>
              <w:right w:type="dxa" w:w="100"/>
            </w:tcMar>
          </w:tcPr>
          <w:p>
            <w:pPr>
              <w:spacing w:after="0" w:line="234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Supports contracting, network, and value-based arrangement decisions; makes unit cost movement attributable to specific contract actions.</w:t>
            </w:r>
          </w:p>
        </w:tc>
      </w:tr>
    </w:tbl>
    <w:p>
      <w:pPr>
        <w:pStyle w:val="Heading1"/>
        <w:keepNext/>
        <w:spacing w:after="80" w:before="21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2.  Seeing It Sooner</w:t>
      </w:r>
    </w:p>
    <w:tbl>
      <w:tblPr>
        <w:tblW w:type="dxa" w:w="960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2350"/>
        <w:gridCol w:w="4150"/>
        <w:gridCol w:w="3100"/>
      </w:tblGrid>
      <w:tr>
        <w:trPr>
          <w:cantSplit/>
          <w:tblHeader/>
        </w:trPr>
        <w:tc>
          <w:tcPr>
            <w:tcW w:type="dxa" w:w="2350"/>
            <w:shd w:fill="1F3864" w:color="auto" w:val="clear"/>
            <w:tcMar>
              <w:top w:type="dxa" w:w="42"/>
              <w:left w:type="dxa" w:w="100"/>
              <w:bottom w:type="dxa" w:w="42"/>
              <w:right w:type="dxa" w:w="100"/>
            </w:tcMar>
          </w:tcPr>
          <w:p>
            <w:pPr>
              <w:spacing w:after="0" w:line="23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Project</w:t>
            </w:r>
          </w:p>
        </w:tc>
        <w:tc>
          <w:tcPr>
            <w:tcW w:type="dxa" w:w="4150"/>
            <w:shd w:fill="1F3864" w:color="auto" w:val="clear"/>
            <w:tcMar>
              <w:top w:type="dxa" w:w="42"/>
              <w:left w:type="dxa" w:w="100"/>
              <w:bottom w:type="dxa" w:w="42"/>
              <w:right w:type="dxa" w:w="100"/>
            </w:tcMar>
          </w:tcPr>
          <w:p>
            <w:pPr>
              <w:spacing w:after="0" w:line="23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it is</w:t>
            </w:r>
          </w:p>
        </w:tc>
        <w:tc>
          <w:tcPr>
            <w:tcW w:type="dxa" w:w="3100"/>
            <w:shd w:fill="1F3864" w:color="auto" w:val="clear"/>
            <w:tcMar>
              <w:top w:type="dxa" w:w="42"/>
              <w:left w:type="dxa" w:w="100"/>
              <w:bottom w:type="dxa" w:w="42"/>
              <w:right w:type="dxa" w:w="100"/>
            </w:tcMar>
          </w:tcPr>
          <w:p>
            <w:pPr>
              <w:spacing w:after="0" w:line="23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it enables</w:t>
            </w:r>
          </w:p>
        </w:tc>
      </w:tr>
      <w:tr>
        <w:trPr>
          <w:cantSplit/>
          <w:tblHeader w:val="false"/>
        </w:trPr>
        <w:tc>
          <w:tcPr>
            <w:tcW w:type="dxa" w:w="2350"/>
            <w:tcMar>
              <w:top w:type="dxa" w:w="42"/>
              <w:left w:type="dxa" w:w="100"/>
              <w:bottom w:type="dxa" w:w="42"/>
              <w:right w:type="dxa" w:w="100"/>
            </w:tcMar>
          </w:tcPr>
          <w:p>
            <w:pPr>
              <w:spacing w:after="0" w:line="234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Nowcast</w:t>
            </w:r>
          </w:p>
        </w:tc>
        <w:tc>
          <w:tcPr>
            <w:tcW w:type="dxa" w:w="4150"/>
            <w:tcMar>
              <w:top w:type="dxa" w:w="42"/>
              <w:left w:type="dxa" w:w="100"/>
              <w:bottom w:type="dxa" w:w="42"/>
              <w:right w:type="dxa" w:w="100"/>
            </w:tcMar>
          </w:tcPr>
          <w:p>
            <w:pPr>
              <w:spacing w:after="0" w:line="234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 completion-aware estimate of recent incurred months built from faster-arriving signals, refreshed on a fixed cadence and published with driver attribution.</w:t>
            </w:r>
          </w:p>
        </w:tc>
        <w:tc>
          <w:tcPr>
            <w:tcW w:type="dxa" w:w="3100"/>
            <w:tcMar>
              <w:top w:type="dxa" w:w="42"/>
              <w:left w:type="dxa" w:w="100"/>
              <w:bottom w:type="dxa" w:w="42"/>
              <w:right w:type="dxa" w:w="100"/>
            </w:tcMar>
          </w:tcPr>
          <w:p>
            <w:pPr>
              <w:spacing w:after="0" w:line="234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Shortens the gap between what happened and when it becomes visible; gives an earlier read on emerging experience.</w:t>
            </w:r>
          </w:p>
        </w:tc>
      </w:tr>
      <w:tr>
        <w:trPr>
          <w:cantSplit/>
          <w:tblHeader w:val="false"/>
        </w:trPr>
        <w:tc>
          <w:tcPr>
            <w:tcW w:type="dxa" w:w="2350"/>
            <w:tcMar>
              <w:top w:type="dxa" w:w="42"/>
              <w:left w:type="dxa" w:w="100"/>
              <w:bottom w:type="dxa" w:w="42"/>
              <w:right w:type="dxa" w:w="100"/>
            </w:tcMar>
          </w:tcPr>
          <w:p>
            <w:pPr>
              <w:spacing w:after="0" w:line="234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Leading indicator and signal library</w:t>
            </w:r>
          </w:p>
        </w:tc>
        <w:tc>
          <w:tcPr>
            <w:tcW w:type="dxa" w:w="4150"/>
            <w:tcMar>
              <w:top w:type="dxa" w:w="42"/>
              <w:left w:type="dxa" w:w="100"/>
              <w:bottom w:type="dxa" w:w="42"/>
              <w:right w:type="dxa" w:w="100"/>
            </w:tcMar>
          </w:tcPr>
          <w:p>
            <w:pPr>
              <w:spacing w:after="0" w:line="234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 scored inventory of known early signals — authorizations, Rx, census, referral patterns, contracting pipeline — rated for lead time and predictive value.</w:t>
            </w:r>
          </w:p>
        </w:tc>
        <w:tc>
          <w:tcPr>
            <w:tcW w:type="dxa" w:w="3100"/>
            <w:tcMar>
              <w:top w:type="dxa" w:w="42"/>
              <w:left w:type="dxa" w:w="100"/>
              <w:bottom w:type="dxa" w:w="42"/>
              <w:right w:type="dxa" w:w="100"/>
            </w:tcMar>
          </w:tcPr>
          <w:p>
            <w:pPr>
              <w:spacing w:after="0" w:line="234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 governed set of inputs for the nowcast and scenario work, rather than signals used ad hoc and inconsistently.</w:t>
            </w:r>
          </w:p>
        </w:tc>
      </w:tr>
      <w:tr>
        <w:trPr>
          <w:cantSplit/>
          <w:tblHeader w:val="false"/>
        </w:trPr>
        <w:tc>
          <w:tcPr>
            <w:tcW w:type="dxa" w:w="2350"/>
            <w:tcMar>
              <w:top w:type="dxa" w:w="42"/>
              <w:left w:type="dxa" w:w="100"/>
              <w:bottom w:type="dxa" w:w="42"/>
              <w:right w:type="dxa" w:w="100"/>
            </w:tcMar>
          </w:tcPr>
          <w:p>
            <w:pPr>
              <w:spacing w:after="0" w:line="234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New data exploration</w:t>
            </w:r>
          </w:p>
        </w:tc>
        <w:tc>
          <w:tcPr>
            <w:tcW w:type="dxa" w:w="4150"/>
            <w:tcMar>
              <w:top w:type="dxa" w:w="42"/>
              <w:left w:type="dxa" w:w="100"/>
              <w:bottom w:type="dxa" w:w="42"/>
              <w:right w:type="dxa" w:w="100"/>
            </w:tcMar>
          </w:tcPr>
          <w:p>
            <w:pPr>
              <w:spacing w:after="0" w:line="234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 repeatable process for evaluating candidate data sources, claims and non-claims, for measurable forecast lift — with a go / no-go decision per source.</w:t>
            </w:r>
          </w:p>
        </w:tc>
        <w:tc>
          <w:tcPr>
            <w:tcW w:type="dxa" w:w="3100"/>
            <w:tcMar>
              <w:top w:type="dxa" w:w="42"/>
              <w:left w:type="dxa" w:w="100"/>
              <w:bottom w:type="dxa" w:w="42"/>
              <w:right w:type="dxa" w:w="100"/>
            </w:tcMar>
          </w:tcPr>
          <w:p>
            <w:pPr>
              <w:spacing w:after="0" w:line="234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Turns "should we ingest or buy this data" into an evidence-based decision; feeds proven sources into the signal library.</w:t>
            </w:r>
          </w:p>
        </w:tc>
      </w:tr>
    </w:tbl>
    <w:p>
      <w:pPr>
        <w:pStyle w:val="Heading1"/>
        <w:keepNext/>
        <w:spacing w:after="80" w:before="21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3.  Framing and Learning</w:t>
      </w:r>
    </w:p>
    <w:tbl>
      <w:tblPr>
        <w:tblW w:type="dxa" w:w="960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2350"/>
        <w:gridCol w:w="4150"/>
        <w:gridCol w:w="3100"/>
      </w:tblGrid>
      <w:tr>
        <w:trPr>
          <w:cantSplit/>
          <w:tblHeader/>
        </w:trPr>
        <w:tc>
          <w:tcPr>
            <w:tcW w:type="dxa" w:w="2350"/>
            <w:shd w:fill="1F3864" w:color="auto" w:val="clear"/>
            <w:tcMar>
              <w:top w:type="dxa" w:w="42"/>
              <w:left w:type="dxa" w:w="100"/>
              <w:bottom w:type="dxa" w:w="42"/>
              <w:right w:type="dxa" w:w="100"/>
            </w:tcMar>
          </w:tcPr>
          <w:p>
            <w:pPr>
              <w:spacing w:after="0" w:line="23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Project</w:t>
            </w:r>
          </w:p>
        </w:tc>
        <w:tc>
          <w:tcPr>
            <w:tcW w:type="dxa" w:w="4150"/>
            <w:shd w:fill="1F3864" w:color="auto" w:val="clear"/>
            <w:tcMar>
              <w:top w:type="dxa" w:w="42"/>
              <w:left w:type="dxa" w:w="100"/>
              <w:bottom w:type="dxa" w:w="42"/>
              <w:right w:type="dxa" w:w="100"/>
            </w:tcMar>
          </w:tcPr>
          <w:p>
            <w:pPr>
              <w:spacing w:after="0" w:line="23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it is</w:t>
            </w:r>
          </w:p>
        </w:tc>
        <w:tc>
          <w:tcPr>
            <w:tcW w:type="dxa" w:w="3100"/>
            <w:shd w:fill="1F3864" w:color="auto" w:val="clear"/>
            <w:tcMar>
              <w:top w:type="dxa" w:w="42"/>
              <w:left w:type="dxa" w:w="100"/>
              <w:bottom w:type="dxa" w:w="42"/>
              <w:right w:type="dxa" w:w="100"/>
            </w:tcMar>
          </w:tcPr>
          <w:p>
            <w:pPr>
              <w:spacing w:after="0" w:line="23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it enables</w:t>
            </w:r>
          </w:p>
        </w:tc>
      </w:tr>
      <w:tr>
        <w:trPr>
          <w:cantSplit/>
          <w:tblHeader w:val="false"/>
        </w:trPr>
        <w:tc>
          <w:tcPr>
            <w:tcW w:type="dxa" w:w="2350"/>
            <w:tcMar>
              <w:top w:type="dxa" w:w="42"/>
              <w:left w:type="dxa" w:w="100"/>
              <w:bottom w:type="dxa" w:w="42"/>
              <w:right w:type="dxa" w:w="100"/>
            </w:tcMar>
          </w:tcPr>
          <w:p>
            <w:pPr>
              <w:spacing w:after="0" w:line="234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Forecast scenario and range framework</w:t>
            </w:r>
          </w:p>
        </w:tc>
        <w:tc>
          <w:tcPr>
            <w:tcW w:type="dxa" w:w="4150"/>
            <w:tcMar>
              <w:top w:type="dxa" w:w="42"/>
              <w:left w:type="dxa" w:w="100"/>
              <w:bottom w:type="dxa" w:w="42"/>
              <w:right w:type="dxa" w:w="100"/>
            </w:tcMar>
          </w:tcPr>
          <w:p>
            <w:pPr>
              <w:spacing w:after="0" w:line="234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 small, named, reusable set of scenarios with defined ranges, replacing ad hoc sensitivity work.</w:t>
            </w:r>
          </w:p>
        </w:tc>
        <w:tc>
          <w:tcPr>
            <w:tcW w:type="dxa" w:w="3100"/>
            <w:tcMar>
              <w:top w:type="dxa" w:w="42"/>
              <w:left w:type="dxa" w:w="100"/>
              <w:bottom w:type="dxa" w:w="42"/>
              <w:right w:type="dxa" w:w="100"/>
            </w:tcMar>
          </w:tcPr>
          <w:p>
            <w:pPr>
              <w:spacing w:after="0" w:line="234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Gives leadership a defensible range rather than a point estimate, and supports "what would have to be true" discussion.</w:t>
            </w:r>
          </w:p>
        </w:tc>
      </w:tr>
      <w:tr>
        <w:trPr>
          <w:cantSplit/>
          <w:tblHeader w:val="false"/>
        </w:trPr>
        <w:tc>
          <w:tcPr>
            <w:tcW w:type="dxa" w:w="2350"/>
            <w:tcMar>
              <w:top w:type="dxa" w:w="42"/>
              <w:left w:type="dxa" w:w="100"/>
              <w:bottom w:type="dxa" w:w="42"/>
              <w:right w:type="dxa" w:w="100"/>
            </w:tcMar>
          </w:tcPr>
          <w:p>
            <w:pPr>
              <w:spacing w:after="0" w:line="234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Retrospective learning forum / routine</w:t>
            </w:r>
          </w:p>
        </w:tc>
        <w:tc>
          <w:tcPr>
            <w:tcW w:type="dxa" w:w="4150"/>
            <w:tcMar>
              <w:top w:type="dxa" w:w="42"/>
              <w:left w:type="dxa" w:w="100"/>
              <w:bottom w:type="dxa" w:w="42"/>
              <w:right w:type="dxa" w:w="100"/>
            </w:tcMar>
          </w:tcPr>
          <w:p>
            <w:pPr>
              <w:spacing w:after="0" w:line="234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 recurring forum where forecast misses are diagnosed against a standard decomposition and produce specific, tracked method changes.</w:t>
            </w:r>
          </w:p>
        </w:tc>
        <w:tc>
          <w:tcPr>
            <w:tcW w:type="dxa" w:w="3100"/>
            <w:tcMar>
              <w:top w:type="dxa" w:w="42"/>
              <w:left w:type="dxa" w:w="100"/>
              <w:bottom w:type="dxa" w:w="42"/>
              <w:right w:type="dxa" w:w="100"/>
            </w:tcMar>
          </w:tcPr>
          <w:p>
            <w:pPr>
              <w:spacing w:after="0" w:line="234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Closes the loop between result and correction, so each cycle informs the next rather than starting over.</w:t>
            </w:r>
          </w:p>
        </w:tc>
      </w:tr>
    </w:tbl>
    <w:p>
      <w:pPr>
        <w:pStyle w:val="Heading1"/>
        <w:keepNext/>
        <w:spacing w:after="80" w:before="21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Dependencies Worth Noting</w:t>
      </w:r>
    </w:p>
    <w:p>
      <w:pPr>
        <w:spacing w:after="70" w:line="24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Nowcast depends on completion estimation.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A recent-month view inherits whatever error sits in the completion curve, and that error is indistinguishable from genuine emergence unless the two are separated. Completion method work is a prerequisite, not a parallel track.</w:t>
      </w:r>
    </w:p>
    <w:p>
      <w:pPr>
        <w:spacing w:after="70" w:line="24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New data exploration and the signal library are process and artifact.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Exploration is the evaluation pipeline; the library is what it produces. They are listed separately because exploration also covers sources that are not leading indicators at all — better contract or provider data improves unit cost accuracy without providing any lead time. They could reasonably be run as one project.</w:t>
      </w:r>
    </w:p>
    <w:p>
      <w:pPr>
        <w:spacing w:after="70" w:line="24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Provider-level forecast is partly a grain decision.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It overlaps with the detail-grain question still open on the ML component forecast, and should be settled alongside it rather than separately.</w:t>
      </w:r>
    </w:p>
    <w:p>
      <w:pPr>
        <w:spacing w:after="90" w:line="24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Scenario framework and retrospective learning are cheap relative to the rest.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Both are largely design and routine rather than build, and neither depends on new data or new infrastructure.</w:t>
      </w:r>
    </w:p>
    <w:p>
      <w:pPr>
        <w:pBdr>
          <w:top w:val="single" w:color="BFBFBF" w:sz="6" w:space="10"/>
        </w:pBdr>
        <w:spacing w:after="0" w:before="190" w:line="240"/>
      </w:pPr>
      <w:r>
        <w:rPr>
          <w:rFonts w:ascii="Calibri" w:cs="Calibri" w:eastAsia="Calibri" w:hAnsi="Calibri"/>
          <w:b/>
          <w:bCs/>
          <w:color w:val="595959"/>
          <w:sz w:val="20"/>
          <w:szCs w:val="20"/>
        </w:rPr>
        <w:t xml:space="preserve">Next cut: 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sizing and sequencing. Several of these are blocked by decisions rather than by effort, which matters more for ordering than priority does.</w:t>
      </w:r>
    </w:p>
    <w:sectPr>
      <w:pgSz w:w="12240" w:h="15840" w:orient="portrait"/>
      <w:pgMar w:top="860" w:right="1250" w:bottom="780" w:left="12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2026-08-26T18:05:53.334Z</dcterms:created>
  <dcterms:modified xsi:type="dcterms:W3CDTF">2026-08-26T18:05:53.350Z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