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2D138" w14:textId="77777777" w:rsidR="00C410A2" w:rsidRDefault="00000000">
      <w:pPr>
        <w:spacing w:after="50"/>
      </w:pPr>
      <w:r>
        <w:rPr>
          <w:rFonts w:ascii="Calibri" w:eastAsia="Calibri" w:hAnsi="Calibri" w:cs="Calibri"/>
          <w:b/>
          <w:bCs/>
          <w:color w:val="1F3864"/>
          <w:sz w:val="38"/>
          <w:szCs w:val="38"/>
        </w:rPr>
        <w:t>ML Component Forecast</w:t>
      </w:r>
    </w:p>
    <w:p w14:paraId="7DA6975B" w14:textId="77777777" w:rsidR="002C6324" w:rsidRDefault="002C6324">
      <w:pPr>
        <w:pStyle w:val="Heading1"/>
        <w:spacing w:before="125" w:after="58"/>
        <w:rPr>
          <w:rFonts w:ascii="Calibri" w:eastAsia="Calibri" w:hAnsi="Calibri" w:cs="Calibri"/>
          <w:b/>
          <w:bCs/>
          <w:color w:val="1F3864"/>
          <w:sz w:val="26"/>
          <w:szCs w:val="26"/>
        </w:rPr>
      </w:pPr>
    </w:p>
    <w:p w14:paraId="37F89CE9" w14:textId="2EAEA96D" w:rsidR="00C410A2" w:rsidRDefault="00000000">
      <w:pPr>
        <w:pStyle w:val="Heading1"/>
        <w:spacing w:before="125" w:after="58"/>
      </w:pPr>
      <w:r>
        <w:rPr>
          <w:rFonts w:ascii="Calibri" w:eastAsia="Calibri" w:hAnsi="Calibri" w:cs="Calibri"/>
          <w:b/>
          <w:bCs/>
          <w:color w:val="1F3864"/>
          <w:sz w:val="26"/>
          <w:szCs w:val="26"/>
        </w:rPr>
        <w:t>What This Is</w:t>
      </w:r>
    </w:p>
    <w:p w14:paraId="039842CD" w14:textId="796D4755" w:rsidR="00DC026D" w:rsidRPr="00F33608" w:rsidRDefault="00000000">
      <w:pPr>
        <w:spacing w:after="58" w:line="236" w:lineRule="auto"/>
        <w:rPr>
          <w:rFonts w:ascii="Calibri" w:eastAsia="Calibri" w:hAnsi="Calibri" w:cs="Calibri"/>
          <w:color w:val="000000"/>
          <w:sz w:val="21"/>
          <w:szCs w:val="21"/>
        </w:rPr>
      </w:pPr>
      <w:r>
        <w:rPr>
          <w:rFonts w:ascii="Calibri" w:eastAsia="Calibri" w:hAnsi="Calibri" w:cs="Calibri"/>
          <w:color w:val="000000"/>
          <w:sz w:val="21"/>
          <w:szCs w:val="21"/>
        </w:rPr>
        <w:t xml:space="preserve">A lightweight, component-based medical cost forecast. A gradient-boosted </w:t>
      </w:r>
      <w:r w:rsidR="00DC026D">
        <w:rPr>
          <w:rFonts w:ascii="Calibri" w:eastAsia="Calibri" w:hAnsi="Calibri" w:cs="Calibri"/>
          <w:color w:val="000000"/>
          <w:sz w:val="21"/>
          <w:szCs w:val="21"/>
        </w:rPr>
        <w:t>machine learning model</w:t>
      </w:r>
      <w:r>
        <w:rPr>
          <w:rFonts w:ascii="Calibri" w:eastAsia="Calibri" w:hAnsi="Calibri" w:cs="Calibri"/>
          <w:color w:val="000000"/>
          <w:sz w:val="21"/>
          <w:szCs w:val="21"/>
        </w:rPr>
        <w:t xml:space="preserve"> produces separate utilization and unit cost forecasts at a more detailed grain than current methods — for example, service category and market. </w:t>
      </w:r>
      <w:r w:rsidR="00DC026D" w:rsidRPr="00DC026D">
        <w:rPr>
          <w:rFonts w:ascii="Calibri" w:eastAsia="Calibri" w:hAnsi="Calibri" w:cs="Calibri"/>
          <w:color w:val="000000"/>
          <w:sz w:val="21"/>
          <w:szCs w:val="21"/>
        </w:rPr>
        <w:t>It recursively processes claims data using seasonality, recent-experience, and credibility-control features; supports member-risk, respiratory, and other non-claims indexes; and refreshes on a fixed cadence without requiring manual assumption-setting.</w:t>
      </w:r>
    </w:p>
    <w:p w14:paraId="73ADF9B1" w14:textId="1BCA035B" w:rsidR="00C410A2" w:rsidRDefault="00000000">
      <w:pPr>
        <w:spacing w:after="58" w:line="236" w:lineRule="auto"/>
      </w:pPr>
      <w:r>
        <w:rPr>
          <w:rFonts w:ascii="Calibri" w:eastAsia="Calibri" w:hAnsi="Calibri" w:cs="Calibri"/>
          <w:color w:val="000000"/>
          <w:sz w:val="21"/>
          <w:szCs w:val="21"/>
        </w:rPr>
        <w:t xml:space="preserve">It is a </w:t>
      </w:r>
      <w:r>
        <w:rPr>
          <w:rFonts w:ascii="Calibri" w:eastAsia="Calibri" w:hAnsi="Calibri" w:cs="Calibri"/>
          <w:b/>
          <w:bCs/>
          <w:color w:val="000000"/>
          <w:sz w:val="21"/>
          <w:szCs w:val="21"/>
        </w:rPr>
        <w:t>complement to</w:t>
      </w:r>
      <w:r w:rsidR="00F33608">
        <w:rPr>
          <w:rFonts w:ascii="Calibri" w:eastAsia="Calibri" w:hAnsi="Calibri" w:cs="Calibri"/>
          <w:color w:val="000000"/>
          <w:sz w:val="21"/>
          <w:szCs w:val="21"/>
        </w:rPr>
        <w:t xml:space="preserve"> existing</w:t>
      </w:r>
      <w:r>
        <w:rPr>
          <w:rFonts w:ascii="Calibri" w:eastAsia="Calibri" w:hAnsi="Calibri" w:cs="Calibri"/>
          <w:color w:val="000000"/>
          <w:sz w:val="21"/>
          <w:szCs w:val="21"/>
        </w:rPr>
        <w:t xml:space="preserve"> forecast process</w:t>
      </w:r>
      <w:r w:rsidR="00F33608">
        <w:rPr>
          <w:rFonts w:ascii="Calibri" w:eastAsia="Calibri" w:hAnsi="Calibri" w:cs="Calibri"/>
          <w:color w:val="000000"/>
          <w:sz w:val="21"/>
          <w:szCs w:val="21"/>
        </w:rPr>
        <w:t>es</w:t>
      </w:r>
      <w:r>
        <w:rPr>
          <w:rFonts w:ascii="Calibri" w:eastAsia="Calibri" w:hAnsi="Calibri" w:cs="Calibri"/>
          <w:color w:val="000000"/>
          <w:sz w:val="21"/>
          <w:szCs w:val="21"/>
        </w:rPr>
        <w:t xml:space="preserve"> — an independent, faster, more granular view used alongside </w:t>
      </w:r>
      <w:r w:rsidR="00F33608">
        <w:rPr>
          <w:rFonts w:ascii="Calibri" w:eastAsia="Calibri" w:hAnsi="Calibri" w:cs="Calibri"/>
          <w:color w:val="000000"/>
          <w:sz w:val="21"/>
          <w:szCs w:val="21"/>
        </w:rPr>
        <w:t>them</w:t>
      </w:r>
      <w:r>
        <w:rPr>
          <w:rFonts w:ascii="Calibri" w:eastAsia="Calibri" w:hAnsi="Calibri" w:cs="Calibri"/>
          <w:color w:val="000000"/>
          <w:sz w:val="21"/>
          <w:szCs w:val="21"/>
        </w:rPr>
        <w:t>.</w:t>
      </w:r>
    </w:p>
    <w:p w14:paraId="7450E6BF" w14:textId="77777777" w:rsidR="00C410A2" w:rsidRDefault="00000000">
      <w:pPr>
        <w:pStyle w:val="Heading1"/>
        <w:spacing w:before="125" w:after="58"/>
      </w:pPr>
      <w:r>
        <w:rPr>
          <w:rFonts w:ascii="Calibri" w:eastAsia="Calibri" w:hAnsi="Calibri" w:cs="Calibri"/>
          <w:b/>
          <w:bCs/>
          <w:color w:val="1F3864"/>
          <w:sz w:val="26"/>
          <w:szCs w:val="26"/>
        </w:rPr>
        <w:t>The Problem It Solves</w:t>
      </w:r>
    </w:p>
    <w:p>
      <w:pPr>
        <w:spacing w:after="58" w:line="236" w:lineRule="auto"/>
      </w:pPr>
      <w:r>
        <w:rPr>
          <w:rFonts w:ascii="Calibri" w:eastAsia="Calibri" w:hAnsi="Calibri" w:cs="Calibri"/>
          <w:color w:val="000000"/>
          <w:sz w:val="21"/>
          <w:szCs w:val="21"/>
        </w:rPr>
        <w:t xml:space="preserve">The recurring expectations from leadership are timeliness, a clearer understanding of variance, and better accuracy. This capability targets all three, in that order of confidence: producing an independent read earlier in the cycle, decomposing actual-versus-expected at a finer grain and into more explainable components than current methods surface, and testing whether accuracy improves alongside them.</w:t>
      </w:r>
    </w:p>
    <w:p w14:paraId="4F2A32E4" w14:textId="77777777" w:rsidR="000D6E71" w:rsidRDefault="000D6E71">
      <w:pPr>
        <w:spacing w:after="50"/>
      </w:pPr>
    </w:p>
    <w:tbl>
      <w:tblPr>
        <w:tblW w:w="9500" w:type="dxa"/>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700"/>
        <w:gridCol w:w="6800"/>
      </w:tblGrid>
      <w:tr w:rsidR="00C410A2" w14:paraId="2346546E" w14:textId="77777777">
        <w:trPr>
          <w:cantSplit/>
        </w:trPr>
        <w:tblPrEx>
          <w:tblCellMar>
            <w:top w:w="0" w:type="dxa"/>
            <w:bottom w:w="0" w:type="dxa"/>
          </w:tblCellMar>
        </w:tblPrEx>
        <w:trPr>
          <w:cantSplit/>
          <w:tblHeader/>
        </w:trPr>
        <w:tc>
          <w:tcPr>
            <w:tcW w:w="2700" w:type="dxa"/>
            <w:shd w:val="clear" w:color="auto" w:fill="1F3864"/>
            <w:tcMar>
              <w:top w:w="34" w:type="dxa"/>
              <w:left w:w="100" w:type="dxa"/>
              <w:bottom w:w="34" w:type="dxa"/>
              <w:right w:w="100" w:type="dxa"/>
            </w:tcMar>
          </w:tcPr>
          <w:p w14:paraId="367FEAB2" w14:textId="3488E69D" w:rsidR="00C410A2" w:rsidRDefault="00000000">
            <w:pPr>
              <w:spacing w:line="260" w:lineRule="auto"/>
            </w:pPr>
            <w:r>
              <w:rPr>
                <w:rFonts w:ascii="Calibri" w:eastAsia="Calibri" w:hAnsi="Calibri" w:cs="Calibri"/>
                <w:b/>
                <w:bCs/>
                <w:color w:val="FFFFFF"/>
                <w:sz w:val="19"/>
                <w:szCs w:val="19"/>
              </w:rPr>
              <w:t xml:space="preserve">The </w:t>
            </w:r>
            <w:r w:rsidR="000D6E71">
              <w:rPr>
                <w:rFonts w:ascii="Calibri" w:eastAsia="Calibri" w:hAnsi="Calibri" w:cs="Calibri"/>
                <w:b/>
                <w:bCs/>
                <w:color w:val="FFFFFF"/>
                <w:sz w:val="19"/>
                <w:szCs w:val="19"/>
              </w:rPr>
              <w:t>question</w:t>
            </w:r>
          </w:p>
        </w:tc>
        <w:tc>
          <w:tcPr>
            <w:tcW w:w="6800" w:type="dxa"/>
            <w:shd w:val="clear" w:color="auto" w:fill="1F3864"/>
            <w:tcMar>
              <w:top w:w="34" w:type="dxa"/>
              <w:left w:w="100" w:type="dxa"/>
              <w:bottom w:w="34" w:type="dxa"/>
              <w:right w:w="100" w:type="dxa"/>
            </w:tcMar>
          </w:tcPr>
          <w:p w14:paraId="645B728C" w14:textId="77777777" w:rsidR="00C410A2" w:rsidRDefault="00000000">
            <w:pPr>
              <w:spacing w:line="260" w:lineRule="auto"/>
            </w:pPr>
            <w:r>
              <w:rPr>
                <w:rFonts w:ascii="Calibri" w:eastAsia="Calibri" w:hAnsi="Calibri" w:cs="Calibri"/>
                <w:b/>
                <w:bCs/>
                <w:color w:val="FFFFFF"/>
                <w:sz w:val="19"/>
                <w:szCs w:val="19"/>
              </w:rPr>
              <w:t>How this capability addresses it</w:t>
            </w:r>
          </w:p>
        </w:tc>
      </w:tr>
      <w:tr w:rsidR="00C410A2" w14:paraId="358427E6" w14:textId="77777777">
        <w:trPr>
          <w:cantSplit/>
        </w:trPr>
        <w:tblPrEx>
          <w:tblCellMar>
            <w:top w:w="0" w:type="dxa"/>
            <w:bottom w:w="0" w:type="dxa"/>
          </w:tblCellMar>
        </w:tblPrEx>
        <w:tc>
          <w:tcPr>
            <w:tcW w:w="2700" w:type="dxa"/>
            <w:tcMar>
              <w:top w:w="34" w:type="dxa"/>
              <w:left w:w="100" w:type="dxa"/>
              <w:bottom w:w="34" w:type="dxa"/>
              <w:right w:w="100" w:type="dxa"/>
            </w:tcMar>
          </w:tcPr>
          <w:p w14:paraId="5C21C531" w14:textId="77777777" w:rsidR="00C410A2" w:rsidRDefault="00000000">
            <w:pPr>
              <w:spacing w:line="260" w:lineRule="auto"/>
            </w:pPr>
            <w:r>
              <w:rPr>
                <w:rFonts w:ascii="Calibri" w:eastAsia="Calibri" w:hAnsi="Calibri" w:cs="Calibri"/>
                <w:color w:val="000000"/>
                <w:sz w:val="19"/>
                <w:szCs w:val="19"/>
              </w:rPr>
              <w:t>“I don’t know what’s driving the variance”</w:t>
            </w:r>
          </w:p>
        </w:tc>
        <w:tc>
          <w:tcPr>
            <w:tcW w:w="6800" w:type="dxa"/>
            <w:tcMar>
              <w:top w:w="34" w:type="dxa"/>
              <w:left w:w="100" w:type="dxa"/>
              <w:bottom w:w="34" w:type="dxa"/>
              <w:right w:w="100" w:type="dxa"/>
            </w:tcMar>
          </w:tcPr>
          <w:p>
            <w:pPr>
              <w:spacing w:line="260" w:lineRule="auto"/>
            </w:pPr>
            <w:r>
              <w:rPr>
                <w:rFonts w:ascii="Calibri" w:eastAsia="Calibri" w:hAnsi="Calibri" w:cs="Calibri"/>
                <w:color w:val="000000"/>
                <w:sz w:val="19"/>
                <w:szCs w:val="19"/>
              </w:rPr>
              <w:t xml:space="preserve">Utilization and unit cost are forecast separately at a finer grain, so more of the actual vs. expected movement resolves into named components rather than remaining unattributed.</w:t>
            </w:r>
          </w:p>
        </w:tc>
      </w:tr>
      <w:tr w:rsidR="00C410A2" w14:paraId="55214485" w14:textId="77777777">
        <w:trPr>
          <w:cantSplit/>
        </w:trPr>
        <w:tblPrEx>
          <w:tblCellMar>
            <w:top w:w="0" w:type="dxa"/>
            <w:bottom w:w="0" w:type="dxa"/>
          </w:tblCellMar>
        </w:tblPrEx>
        <w:tc>
          <w:tcPr>
            <w:tcW w:w="2700" w:type="dxa"/>
            <w:tcMar>
              <w:top w:w="34" w:type="dxa"/>
              <w:left w:w="100" w:type="dxa"/>
              <w:bottom w:w="34" w:type="dxa"/>
              <w:right w:w="100" w:type="dxa"/>
            </w:tcMar>
          </w:tcPr>
          <w:p w14:paraId="29FB7CD8" w14:textId="77777777" w:rsidR="00C410A2" w:rsidRDefault="00000000">
            <w:pPr>
              <w:spacing w:line="260" w:lineRule="auto"/>
            </w:pPr>
            <w:r>
              <w:rPr>
                <w:rFonts w:ascii="Calibri" w:eastAsia="Calibri" w:hAnsi="Calibri" w:cs="Calibri"/>
                <w:color w:val="000000"/>
                <w:sz w:val="19"/>
                <w:szCs w:val="19"/>
              </w:rPr>
              <w:t>“The forecast isn’t accurate”</w:t>
            </w:r>
          </w:p>
        </w:tc>
        <w:tc>
          <w:tcPr>
            <w:tcW w:w="6800" w:type="dxa"/>
            <w:tcMar>
              <w:top w:w="34" w:type="dxa"/>
              <w:left w:w="100" w:type="dxa"/>
              <w:bottom w:w="34" w:type="dxa"/>
              <w:right w:w="100" w:type="dxa"/>
            </w:tcMar>
          </w:tcPr>
          <w:p>
            <w:pPr>
              <w:spacing w:line="260" w:lineRule="auto"/>
            </w:pPr>
            <w:r>
              <w:rPr>
                <w:rFonts w:ascii="Calibri" w:eastAsia="Calibri" w:hAnsi="Calibri" w:cs="Calibri"/>
                <w:color w:val="000000"/>
                <w:sz w:val="19"/>
                <w:szCs w:val="19"/>
              </w:rPr>
              <w:t xml:space="preserve">Improvement requires decomposition. A miss caused by a bad utilization assumption, a completion artifact, or genuine emergence can look alike at the grain available today but requires a completely different fix.</w:t>
            </w:r>
          </w:p>
        </w:tc>
      </w:tr>
      <w:tr w:rsidR="00C410A2" w14:paraId="4E93DC06" w14:textId="77777777">
        <w:trPr>
          <w:cantSplit/>
        </w:trPr>
        <w:tblPrEx>
          <w:tblCellMar>
            <w:top w:w="0" w:type="dxa"/>
            <w:bottom w:w="0" w:type="dxa"/>
          </w:tblCellMar>
        </w:tblPrEx>
        <w:tc>
          <w:tcPr>
            <w:tcW w:w="2700" w:type="dxa"/>
            <w:tcMar>
              <w:top w:w="34" w:type="dxa"/>
              <w:left w:w="100" w:type="dxa"/>
              <w:bottom w:w="34" w:type="dxa"/>
              <w:right w:w="100" w:type="dxa"/>
            </w:tcMar>
          </w:tcPr>
          <w:p w14:paraId="784E72C9" w14:textId="77777777" w:rsidR="00C410A2" w:rsidRDefault="00000000">
            <w:pPr>
              <w:spacing w:line="260" w:lineRule="auto"/>
            </w:pPr>
            <w:r>
              <w:rPr>
                <w:rFonts w:ascii="Calibri" w:eastAsia="Calibri" w:hAnsi="Calibri" w:cs="Calibri"/>
                <w:color w:val="000000"/>
                <w:sz w:val="19"/>
                <w:szCs w:val="19"/>
              </w:rPr>
              <w:t>“It arrives too late to act on”</w:t>
            </w:r>
          </w:p>
        </w:tc>
        <w:tc>
          <w:tcPr>
            <w:tcW w:w="6800" w:type="dxa"/>
            <w:tcMar>
              <w:top w:w="34" w:type="dxa"/>
              <w:left w:w="100" w:type="dxa"/>
              <w:bottom w:w="34" w:type="dxa"/>
              <w:right w:w="100" w:type="dxa"/>
            </w:tcMar>
          </w:tcPr>
          <w:p w14:paraId="74968C5E" w14:textId="17602169" w:rsidR="00C410A2" w:rsidRDefault="00000000">
            <w:pPr>
              <w:spacing w:line="260" w:lineRule="auto"/>
            </w:pPr>
            <w:r>
              <w:rPr>
                <w:rFonts w:ascii="Calibri" w:eastAsia="Calibri" w:hAnsi="Calibri" w:cs="Calibri"/>
                <w:color w:val="000000"/>
                <w:sz w:val="19"/>
                <w:szCs w:val="19"/>
              </w:rPr>
              <w:t xml:space="preserve">Produced </w:t>
            </w:r>
            <w:r w:rsidR="000D6E71">
              <w:rPr>
                <w:rFonts w:ascii="Calibri" w:eastAsia="Calibri" w:hAnsi="Calibri" w:cs="Calibri"/>
                <w:color w:val="000000"/>
                <w:sz w:val="19"/>
                <w:szCs w:val="19"/>
              </w:rPr>
              <w:t>[N</w:t>
            </w:r>
            <w:r>
              <w:rPr>
                <w:rFonts w:ascii="Calibri" w:eastAsia="Calibri" w:hAnsi="Calibri" w:cs="Calibri"/>
                <w:color w:val="000000"/>
                <w:sz w:val="19"/>
                <w:szCs w:val="19"/>
              </w:rPr>
              <w:t xml:space="preserve">] </w:t>
            </w:r>
            <w:r w:rsidR="000D6E71">
              <w:rPr>
                <w:rFonts w:ascii="Calibri" w:eastAsia="Calibri" w:hAnsi="Calibri" w:cs="Calibri"/>
                <w:color w:val="000000"/>
                <w:sz w:val="19"/>
                <w:szCs w:val="19"/>
              </w:rPr>
              <w:t>days</w:t>
            </w:r>
            <w:r>
              <w:rPr>
                <w:rFonts w:ascii="Calibri" w:eastAsia="Calibri" w:hAnsi="Calibri" w:cs="Calibri"/>
                <w:color w:val="000000"/>
                <w:sz w:val="19"/>
                <w:szCs w:val="19"/>
              </w:rPr>
              <w:t xml:space="preserve"> earlier with no manual assumption-setting step</w:t>
            </w:r>
            <w:r w:rsidR="000D6E71">
              <w:rPr>
                <w:rFonts w:ascii="Calibri" w:eastAsia="Calibri" w:hAnsi="Calibri" w:cs="Calibri"/>
                <w:color w:val="000000"/>
                <w:sz w:val="19"/>
                <w:szCs w:val="19"/>
              </w:rPr>
              <w:t>.</w:t>
            </w:r>
          </w:p>
        </w:tc>
      </w:tr>
    </w:tbl>
    <w:p w14:paraId="196C9EFC" w14:textId="77777777" w:rsidR="00C410A2" w:rsidRDefault="00C410A2">
      <w:pPr>
        <w:spacing w:after="80"/>
      </w:pPr>
    </w:p>
    <w:p>
      <w:pPr>
        <w:spacing w:after="58" w:line="236" w:lineRule="auto"/>
      </w:pPr>
      <w:r>
        <w:rPr>
          <w:b/>
          <w:bCs/>
          <w:rFonts w:ascii="Calibri" w:eastAsia="Calibri" w:hAnsi="Calibri" w:cs="Calibri"/>
          <w:b/>
          <w:bCs/>
          <w:color w:val="000000"/>
          <w:sz w:val="21"/>
          <w:szCs w:val="21"/>
        </w:rPr>
        <w:t xml:space="preserve">The first two are the near-term focus. </w:t>
      </w:r>
      <w:r>
        <w:rPr>
          <w:rFonts w:ascii="Calibri" w:eastAsia="Calibri" w:hAnsi="Calibri" w:cs="Calibri"/>
          <w:color w:val="000000"/>
          <w:sz w:val="21"/>
          <w:szCs w:val="21"/>
        </w:rPr>
        <w:t xml:space="preserve">Accuracy is treated as a hypothesis to be tested, not a claim to be asserted — see Key Attributes.</w:t>
      </w:r>
    </w:p>
    <w:p w14:paraId="040654D4" w14:textId="77777777" w:rsidR="00C410A2" w:rsidRDefault="00000000">
      <w:pPr>
        <w:pStyle w:val="Heading1"/>
        <w:spacing w:before="125" w:after="58"/>
      </w:pPr>
      <w:r>
        <w:rPr>
          <w:rFonts w:ascii="Calibri" w:eastAsia="Calibri" w:hAnsi="Calibri" w:cs="Calibri"/>
          <w:b/>
          <w:bCs/>
          <w:color w:val="1F3864"/>
          <w:sz w:val="26"/>
          <w:szCs w:val="26"/>
        </w:rPr>
        <w:t>Stakeholder Benefits</w:t>
      </w:r>
    </w:p>
    <w:p w14:paraId="01F0FC7F" w14:textId="77777777" w:rsidR="00C410A2" w:rsidRDefault="00000000">
      <w:pPr>
        <w:spacing w:after="130" w:line="236" w:lineRule="auto"/>
      </w:pPr>
      <w:r>
        <w:rPr>
          <w:rFonts w:ascii="Calibri" w:eastAsia="Calibri" w:hAnsi="Calibri" w:cs="Calibri"/>
          <w:color w:val="000000"/>
          <w:sz w:val="21"/>
          <w:szCs w:val="21"/>
        </w:rPr>
        <w:t>Organized by who uses it and what decision it changes.</w:t>
      </w:r>
    </w:p>
    <w:tbl>
      <w:tblPr>
        <w:tblW w:w="9500" w:type="dxa"/>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500"/>
        <w:gridCol w:w="3400"/>
        <w:gridCol w:w="3600"/>
      </w:tblGrid>
      <w:tr w:rsidR="00C410A2" w14:paraId="4DDB9BDD" w14:textId="77777777">
        <w:trPr>
          <w:cantSplit/>
        </w:trPr>
        <w:tblPrEx>
          <w:tblCellMar>
            <w:top w:w="0" w:type="dxa"/>
            <w:bottom w:w="0" w:type="dxa"/>
          </w:tblCellMar>
        </w:tblPrEx>
        <w:trPr>
          <w:cantSplit/>
          <w:tblHeader/>
        </w:trPr>
        <w:tc>
          <w:tcPr>
            <w:tcW w:w="2500" w:type="dxa"/>
            <w:shd w:val="clear" w:color="auto" w:fill="1F3864"/>
            <w:tcMar>
              <w:top w:w="34" w:type="dxa"/>
              <w:left w:w="100" w:type="dxa"/>
              <w:bottom w:w="34" w:type="dxa"/>
              <w:right w:w="100" w:type="dxa"/>
            </w:tcMar>
          </w:tcPr>
          <w:p w14:paraId="15133F73" w14:textId="77777777" w:rsidR="00C410A2" w:rsidRDefault="00000000">
            <w:pPr>
              <w:spacing w:line="260" w:lineRule="auto"/>
            </w:pPr>
            <w:r>
              <w:rPr>
                <w:rFonts w:ascii="Calibri" w:eastAsia="Calibri" w:hAnsi="Calibri" w:cs="Calibri"/>
                <w:b/>
                <w:bCs/>
                <w:color w:val="FFFFFF"/>
                <w:sz w:val="19"/>
                <w:szCs w:val="19"/>
              </w:rPr>
              <w:t>Stakeholder</w:t>
            </w:r>
          </w:p>
        </w:tc>
        <w:tc>
          <w:tcPr>
            <w:tcW w:w="3400" w:type="dxa"/>
            <w:shd w:val="clear" w:color="auto" w:fill="1F3864"/>
            <w:tcMar>
              <w:top w:w="34" w:type="dxa"/>
              <w:left w:w="100" w:type="dxa"/>
              <w:bottom w:w="34" w:type="dxa"/>
              <w:right w:w="100" w:type="dxa"/>
            </w:tcMar>
          </w:tcPr>
          <w:p w14:paraId="1E75D1CF" w14:textId="77777777" w:rsidR="00C410A2" w:rsidRDefault="00000000">
            <w:pPr>
              <w:spacing w:line="260" w:lineRule="auto"/>
            </w:pPr>
            <w:r>
              <w:rPr>
                <w:rFonts w:ascii="Calibri" w:eastAsia="Calibri" w:hAnsi="Calibri" w:cs="Calibri"/>
                <w:b/>
                <w:bCs/>
                <w:color w:val="FFFFFF"/>
                <w:sz w:val="19"/>
                <w:szCs w:val="19"/>
              </w:rPr>
              <w:t>What they get</w:t>
            </w:r>
          </w:p>
        </w:tc>
        <w:tc>
          <w:tcPr>
            <w:tcW w:w="3600" w:type="dxa"/>
            <w:shd w:val="clear" w:color="auto" w:fill="1F3864"/>
            <w:tcMar>
              <w:top w:w="34" w:type="dxa"/>
              <w:left w:w="100" w:type="dxa"/>
              <w:bottom w:w="34" w:type="dxa"/>
              <w:right w:w="100" w:type="dxa"/>
            </w:tcMar>
          </w:tcPr>
          <w:p w14:paraId="28FEB111" w14:textId="77777777" w:rsidR="00C410A2" w:rsidRDefault="00000000">
            <w:pPr>
              <w:spacing w:line="260" w:lineRule="auto"/>
            </w:pPr>
            <w:r>
              <w:rPr>
                <w:rFonts w:ascii="Calibri" w:eastAsia="Calibri" w:hAnsi="Calibri" w:cs="Calibri"/>
                <w:b/>
                <w:bCs/>
                <w:color w:val="FFFFFF"/>
                <w:sz w:val="19"/>
                <w:szCs w:val="19"/>
              </w:rPr>
              <w:t>Decision it supports</w:t>
            </w:r>
          </w:p>
        </w:tc>
      </w:tr>
      <w:tr w:rsidR="00C410A2" w14:paraId="14845A6A" w14:textId="77777777">
        <w:trPr>
          <w:cantSplit/>
        </w:trPr>
        <w:tblPrEx>
          <w:tblCellMar>
            <w:top w:w="0" w:type="dxa"/>
            <w:bottom w:w="0" w:type="dxa"/>
          </w:tblCellMar>
        </w:tblPrEx>
        <w:tc>
          <w:tcPr>
            <w:tcW w:w="2500" w:type="dxa"/>
            <w:tcMar>
              <w:top w:w="34" w:type="dxa"/>
              <w:left w:w="100" w:type="dxa"/>
              <w:bottom w:w="34" w:type="dxa"/>
              <w:right w:w="100" w:type="dxa"/>
            </w:tcMar>
          </w:tcPr>
          <w:p w14:paraId="1680DD9F" w14:textId="77777777" w:rsidR="00C410A2" w:rsidRDefault="00000000">
            <w:pPr>
              <w:spacing w:line="260" w:lineRule="auto"/>
            </w:pPr>
            <w:r>
              <w:rPr>
                <w:rFonts w:ascii="Calibri" w:eastAsia="Calibri" w:hAnsi="Calibri" w:cs="Calibri"/>
                <w:color w:val="000000"/>
                <w:sz w:val="19"/>
                <w:szCs w:val="19"/>
              </w:rPr>
              <w:t>Executive / commentary</w:t>
            </w:r>
          </w:p>
        </w:tc>
        <w:tc>
          <w:tcPr>
            <w:tcW w:w="3400" w:type="dxa"/>
            <w:tcMar>
              <w:top w:w="34" w:type="dxa"/>
              <w:left w:w="100" w:type="dxa"/>
              <w:bottom w:w="34" w:type="dxa"/>
              <w:right w:w="100" w:type="dxa"/>
            </w:tcMar>
          </w:tcPr>
          <w:p w14:paraId="68C2D3E8" w14:textId="77777777" w:rsidR="00C410A2" w:rsidRDefault="00000000">
            <w:pPr>
              <w:spacing w:line="260" w:lineRule="auto"/>
            </w:pPr>
            <w:r>
              <w:rPr>
                <w:rFonts w:ascii="Calibri" w:eastAsia="Calibri" w:hAnsi="Calibri" w:cs="Calibri"/>
                <w:color w:val="000000"/>
                <w:sz w:val="19"/>
                <w:szCs w:val="19"/>
              </w:rPr>
              <w:t>Explainable variance narrative with named drivers</w:t>
            </w:r>
          </w:p>
        </w:tc>
        <w:tc>
          <w:tcPr>
            <w:tcW w:w="3600" w:type="dxa"/>
            <w:tcMar>
              <w:top w:w="34" w:type="dxa"/>
              <w:left w:w="100" w:type="dxa"/>
              <w:bottom w:w="34" w:type="dxa"/>
              <w:right w:w="100" w:type="dxa"/>
            </w:tcMar>
          </w:tcPr>
          <w:p w14:paraId="15485F7F" w14:textId="77777777" w:rsidR="00C410A2" w:rsidRDefault="00000000">
            <w:pPr>
              <w:spacing w:line="260" w:lineRule="auto"/>
            </w:pPr>
            <w:r>
              <w:rPr>
                <w:rFonts w:ascii="Calibri" w:eastAsia="Calibri" w:hAnsi="Calibri" w:cs="Calibri"/>
                <w:color w:val="000000"/>
                <w:sz w:val="19"/>
                <w:szCs w:val="19"/>
              </w:rPr>
              <w:t>Trend commentary; builds confidence that misses are understood, not just reported</w:t>
            </w:r>
          </w:p>
        </w:tc>
      </w:tr>
      <w:tr w:rsidR="00C410A2" w14:paraId="58141BF1" w14:textId="77777777">
        <w:trPr>
          <w:cantSplit/>
        </w:trPr>
        <w:tblPrEx>
          <w:tblCellMar>
            <w:top w:w="0" w:type="dxa"/>
            <w:bottom w:w="0" w:type="dxa"/>
          </w:tblCellMar>
        </w:tblPrEx>
        <w:tc>
          <w:tcPr>
            <w:tcW w:w="2500" w:type="dxa"/>
            <w:tcMar>
              <w:top w:w="34" w:type="dxa"/>
              <w:left w:w="100" w:type="dxa"/>
              <w:bottom w:w="34" w:type="dxa"/>
              <w:right w:w="100" w:type="dxa"/>
            </w:tcMar>
          </w:tcPr>
          <w:p w14:paraId="7CF73A15" w14:textId="77777777" w:rsidR="00C410A2" w:rsidRDefault="00000000">
            <w:pPr>
              <w:spacing w:line="260" w:lineRule="auto"/>
            </w:pPr>
            <w:r>
              <w:rPr>
                <w:rFonts w:ascii="Calibri" w:eastAsia="Calibri" w:hAnsi="Calibri" w:cs="Calibri"/>
                <w:color w:val="000000"/>
                <w:sz w:val="19"/>
                <w:szCs w:val="19"/>
              </w:rPr>
              <w:t>Affordability teams</w:t>
            </w:r>
          </w:p>
        </w:tc>
        <w:tc>
          <w:tcPr>
            <w:tcW w:w="3400" w:type="dxa"/>
            <w:tcMar>
              <w:top w:w="34" w:type="dxa"/>
              <w:left w:w="100" w:type="dxa"/>
              <w:bottom w:w="34" w:type="dxa"/>
              <w:right w:w="100" w:type="dxa"/>
            </w:tcMar>
          </w:tcPr>
          <w:p w14:paraId="337C3ECD" w14:textId="3368C901" w:rsidR="00C410A2" w:rsidRDefault="00000000">
            <w:pPr>
              <w:spacing w:line="260" w:lineRule="auto"/>
            </w:pPr>
            <w:r>
              <w:rPr>
                <w:rFonts w:ascii="Calibri" w:eastAsia="Calibri" w:hAnsi="Calibri" w:cs="Calibri"/>
                <w:color w:val="000000"/>
                <w:sz w:val="19"/>
                <w:szCs w:val="19"/>
              </w:rPr>
              <w:t xml:space="preserve">Actual vs. expected variance at </w:t>
            </w:r>
            <w:r w:rsidR="00B069FC">
              <w:rPr>
                <w:rFonts w:ascii="Calibri" w:eastAsia="Calibri" w:hAnsi="Calibri" w:cs="Calibri"/>
                <w:color w:val="000000"/>
                <w:sz w:val="19"/>
                <w:szCs w:val="19"/>
              </w:rPr>
              <w:t>detailed splits (example: service category and market)</w:t>
            </w:r>
          </w:p>
        </w:tc>
        <w:tc>
          <w:tcPr>
            <w:tcW w:w="3600" w:type="dxa"/>
            <w:tcMar>
              <w:top w:w="34" w:type="dxa"/>
              <w:left w:w="100" w:type="dxa"/>
              <w:bottom w:w="34" w:type="dxa"/>
              <w:right w:w="100" w:type="dxa"/>
            </w:tcMar>
          </w:tcPr>
          <w:p w14:paraId="40820C06" w14:textId="77777777" w:rsidR="00C410A2" w:rsidRDefault="00000000">
            <w:pPr>
              <w:spacing w:line="260" w:lineRule="auto"/>
            </w:pPr>
            <w:r>
              <w:rPr>
                <w:rFonts w:ascii="Calibri" w:eastAsia="Calibri" w:hAnsi="Calibri" w:cs="Calibri"/>
                <w:color w:val="000000"/>
                <w:sz w:val="19"/>
                <w:szCs w:val="19"/>
              </w:rPr>
              <w:t>Where to target affordability programs; sizing initiative impact</w:t>
            </w:r>
          </w:p>
        </w:tc>
      </w:tr>
      <w:tr w:rsidR="00C410A2" w14:paraId="0AB4B5C6" w14:textId="77777777">
        <w:trPr>
          <w:cantSplit/>
        </w:trPr>
        <w:tblPrEx>
          <w:tblCellMar>
            <w:top w:w="0" w:type="dxa"/>
            <w:bottom w:w="0" w:type="dxa"/>
          </w:tblCellMar>
        </w:tblPrEx>
        <w:tc>
          <w:tcPr>
            <w:tcW w:w="2500" w:type="dxa"/>
            <w:tcMar>
              <w:top w:w="34" w:type="dxa"/>
              <w:left w:w="100" w:type="dxa"/>
              <w:bottom w:w="34" w:type="dxa"/>
              <w:right w:w="100" w:type="dxa"/>
            </w:tcMar>
          </w:tcPr>
          <w:p w14:paraId="348D4EBA" w14:textId="77777777" w:rsidR="00C410A2" w:rsidRDefault="00000000">
            <w:pPr>
              <w:spacing w:line="260" w:lineRule="auto"/>
            </w:pPr>
            <w:r>
              <w:rPr>
                <w:rFonts w:ascii="Calibri" w:eastAsia="Calibri" w:hAnsi="Calibri" w:cs="Calibri"/>
                <w:color w:val="000000"/>
                <w:sz w:val="19"/>
                <w:szCs w:val="19"/>
              </w:rPr>
              <w:t>Financial forecast / pricing</w:t>
            </w:r>
          </w:p>
        </w:tc>
        <w:tc>
          <w:tcPr>
            <w:tcW w:w="3400" w:type="dxa"/>
            <w:tcMar>
              <w:top w:w="34" w:type="dxa"/>
              <w:left w:w="100" w:type="dxa"/>
              <w:bottom w:w="34" w:type="dxa"/>
              <w:right w:w="100" w:type="dxa"/>
            </w:tcMar>
          </w:tcPr>
          <w:p w14:paraId="2C121495" w14:textId="77777777" w:rsidR="00C410A2" w:rsidRDefault="00000000">
            <w:pPr>
              <w:spacing w:line="260" w:lineRule="auto"/>
            </w:pPr>
            <w:r>
              <w:rPr>
                <w:rFonts w:ascii="Calibri" w:eastAsia="Calibri" w:hAnsi="Calibri" w:cs="Calibri"/>
                <w:color w:val="000000"/>
                <w:sz w:val="19"/>
                <w:szCs w:val="19"/>
              </w:rPr>
              <w:t>An earlier, independent view of emerging cost</w:t>
            </w:r>
          </w:p>
        </w:tc>
        <w:tc>
          <w:tcPr>
            <w:tcW w:w="3600" w:type="dxa"/>
            <w:tcMar>
              <w:top w:w="34" w:type="dxa"/>
              <w:left w:w="100" w:type="dxa"/>
              <w:bottom w:w="34" w:type="dxa"/>
              <w:right w:w="100" w:type="dxa"/>
            </w:tcMar>
          </w:tcPr>
          <w:p w14:paraId="4CAC57E4" w14:textId="20A1A20E" w:rsidR="00C410A2" w:rsidRDefault="00000000">
            <w:pPr>
              <w:spacing w:line="260" w:lineRule="auto"/>
            </w:pPr>
            <w:r>
              <w:rPr>
                <w:rFonts w:ascii="Calibri" w:eastAsia="Calibri" w:hAnsi="Calibri" w:cs="Calibri"/>
                <w:color w:val="000000"/>
                <w:sz w:val="19"/>
                <w:szCs w:val="19"/>
              </w:rPr>
              <w:t xml:space="preserve">Timing and </w:t>
            </w:r>
            <w:r w:rsidR="00B069FC">
              <w:rPr>
                <w:rFonts w:ascii="Calibri" w:eastAsia="Calibri" w:hAnsi="Calibri" w:cs="Calibri"/>
                <w:color w:val="000000"/>
                <w:sz w:val="19"/>
                <w:szCs w:val="19"/>
              </w:rPr>
              <w:t xml:space="preserve">increased </w:t>
            </w:r>
            <w:r>
              <w:rPr>
                <w:rFonts w:ascii="Calibri" w:eastAsia="Calibri" w:hAnsi="Calibri" w:cs="Calibri"/>
                <w:color w:val="000000"/>
                <w:sz w:val="19"/>
                <w:szCs w:val="19"/>
              </w:rPr>
              <w:t>confidence of the forecast that feeds pricing</w:t>
            </w:r>
          </w:p>
        </w:tc>
      </w:tr>
    </w:tbl>
    <w:p w14:paraId="51AE2EA4" w14:textId="77777777" w:rsidR="00C410A2" w:rsidRDefault="00C410A2">
      <w:pPr>
        <w:spacing w:after="110"/>
      </w:pPr>
    </w:p>
    <w:p w14:paraId="4AE673B7" w14:textId="77777777" w:rsidR="00C410A2" w:rsidRDefault="00000000">
      <w:pPr>
        <w:pStyle w:val="Heading1"/>
        <w:spacing w:before="125" w:after="58"/>
      </w:pPr>
      <w:r>
        <w:rPr>
          <w:rFonts w:ascii="Calibri" w:eastAsia="Calibri" w:hAnsi="Calibri" w:cs="Calibri"/>
          <w:b/>
          <w:bCs/>
          <w:color w:val="1F3864"/>
          <w:sz w:val="26"/>
          <w:szCs w:val="26"/>
        </w:rPr>
        <w:t>What It Looks Like</w:t>
      </w:r>
    </w:p>
    <w:p>
      <w:pPr>
        <w:spacing w:after="130" w:line="236" w:lineRule="auto"/>
      </w:pPr>
      <w:r>
        <w:rPr>
          <w:rFonts w:ascii="Calibri" w:eastAsia="Calibri" w:hAnsi="Calibri" w:cs="Calibri"/>
          <w:color w:val="000000"/>
          <w:sz w:val="21"/>
          <w:szCs w:val="21"/>
        </w:rPr>
        <w:t xml:space="preserve">The base output is a single tabular dataset — one row per forecast month, per detail grain, tagged with the vintage it was produced from. Everything downstream is a view built on top of it, so the structure below is the actual deliverable; the summaries and tools that follow are presentation layers over the same rows. That design is what makes the output both bridgeable and </w:t>
      </w:r>
      <w:r>
        <w:rPr>
          <w:rFonts w:ascii="Calibri" w:eastAsia="Calibri" w:hAnsi="Calibri" w:cs="Calibri"/>
          <w:color w:val="000000"/>
          <w:sz w:val="21"/>
          <w:szCs w:val="21"/>
        </w:rPr>
        <w:t xml:space="preserve">backtestable</w:t>
      </w:r>
      <w:r>
        <w:rPr>
          <w:rFonts w:ascii="Calibri" w:eastAsia="Calibri" w:hAnsi="Calibri" w:cs="Calibri"/>
          <w:color w:val="000000"/>
          <w:sz w:val="21"/>
          <w:szCs w:val="21"/>
        </w:rPr>
        <w:t xml:space="preserve">: every forecast ever produced stays queryable alongside what actually happened.</w:t>
      </w:r>
    </w:p>
    <w:tbl>
      <w:tblPr>
        <w:tblW w:w="9500" w:type="dxa"/>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00"/>
        <w:gridCol w:w="4500"/>
        <w:gridCol w:w="2900"/>
      </w:tblGrid>
      <w:tr w:rsidR="00C410A2" w14:paraId="6437D0B7" w14:textId="77777777">
        <w:trPr>
          <w:cantSplit/>
        </w:trPr>
        <w:tblPrEx>
          <w:tblCellMar>
            <w:top w:w="0" w:type="dxa"/>
            <w:bottom w:w="0" w:type="dxa"/>
          </w:tblCellMar>
        </w:tblPrEx>
        <w:trPr>
          <w:cantSplit/>
          <w:tblHeader/>
        </w:trPr>
        <w:tc>
          <w:tcPr>
            <w:tcW w:w="2100" w:type="dxa"/>
            <w:shd w:val="clear" w:color="auto" w:fill="1F3864"/>
            <w:tcMar>
              <w:top w:w="34" w:type="dxa"/>
              <w:left w:w="100" w:type="dxa"/>
              <w:bottom w:w="34" w:type="dxa"/>
              <w:right w:w="100" w:type="dxa"/>
            </w:tcMar>
          </w:tcPr>
          <w:p w14:paraId="2F975E23" w14:textId="77777777" w:rsidR="00C410A2" w:rsidRDefault="00000000">
            <w:pPr>
              <w:spacing w:line="260" w:lineRule="auto"/>
            </w:pPr>
            <w:r>
              <w:rPr>
                <w:rFonts w:ascii="Calibri" w:eastAsia="Calibri" w:hAnsi="Calibri" w:cs="Calibri"/>
                <w:b/>
                <w:bCs/>
                <w:color w:val="FFFFFF"/>
                <w:sz w:val="19"/>
                <w:szCs w:val="19"/>
              </w:rPr>
              <w:t>Field</w:t>
            </w:r>
          </w:p>
        </w:tc>
        <w:tc>
          <w:tcPr>
            <w:tcW w:w="4500" w:type="dxa"/>
            <w:shd w:val="clear" w:color="auto" w:fill="1F3864"/>
            <w:tcMar>
              <w:top w:w="34" w:type="dxa"/>
              <w:left w:w="100" w:type="dxa"/>
              <w:bottom w:w="34" w:type="dxa"/>
              <w:right w:w="100" w:type="dxa"/>
            </w:tcMar>
          </w:tcPr>
          <w:p w14:paraId="5D032C7F" w14:textId="77777777" w:rsidR="00C410A2" w:rsidRDefault="00000000">
            <w:pPr>
              <w:spacing w:line="260" w:lineRule="auto"/>
            </w:pPr>
            <w:r>
              <w:rPr>
                <w:rFonts w:ascii="Calibri" w:eastAsia="Calibri" w:hAnsi="Calibri" w:cs="Calibri"/>
                <w:b/>
                <w:bCs/>
                <w:color w:val="FFFFFF"/>
                <w:sz w:val="19"/>
                <w:szCs w:val="19"/>
              </w:rPr>
              <w:t>Purpose</w:t>
            </w:r>
          </w:p>
        </w:tc>
        <w:tc>
          <w:tcPr>
            <w:tcW w:w="2900" w:type="dxa"/>
            <w:shd w:val="clear" w:color="auto" w:fill="1F3864"/>
            <w:tcMar>
              <w:top w:w="34" w:type="dxa"/>
              <w:left w:w="100" w:type="dxa"/>
              <w:bottom w:w="34" w:type="dxa"/>
              <w:right w:w="100" w:type="dxa"/>
            </w:tcMar>
          </w:tcPr>
          <w:p w14:paraId="5DCEDE6C" w14:textId="77777777" w:rsidR="00C410A2" w:rsidRDefault="00000000">
            <w:pPr>
              <w:spacing w:line="260" w:lineRule="auto"/>
            </w:pPr>
            <w:r>
              <w:rPr>
                <w:rFonts w:ascii="Calibri" w:eastAsia="Calibri" w:hAnsi="Calibri" w:cs="Calibri"/>
                <w:b/>
                <w:bCs/>
                <w:color w:val="FFFFFF"/>
                <w:sz w:val="19"/>
                <w:szCs w:val="19"/>
              </w:rPr>
              <w:t>Behavior</w:t>
            </w:r>
          </w:p>
        </w:tc>
      </w:tr>
      <w:tr w:rsidR="003702EF" w14:paraId="2D349EE4" w14:textId="77777777">
        <w:trPr>
          <w:cantSplit/>
        </w:trPr>
        <w:tblPrEx>
          <w:tblCellMar>
            <w:top w:w="0" w:type="dxa"/>
            <w:bottom w:w="0" w:type="dxa"/>
          </w:tblCellMar>
        </w:tblPrEx>
        <w:tc>
          <w:tcPr>
            <w:tcW w:w="2100" w:type="dxa"/>
            <w:tcMar>
              <w:top w:w="34" w:type="dxa"/>
              <w:left w:w="100" w:type="dxa"/>
              <w:bottom w:w="34" w:type="dxa"/>
              <w:right w:w="100" w:type="dxa"/>
            </w:tcMar>
          </w:tcPr>
          <w:p w14:paraId="4C4EE382" w14:textId="75965E7C" w:rsidR="003702EF" w:rsidRDefault="003702EF">
            <w:pPr>
              <w:spacing w:line="260" w:lineRule="auto"/>
            </w:pPr>
            <w:proofErr w:type="spellStart"/>
            <w:r>
              <w:rPr>
                <w:rFonts w:ascii="Calibri" w:eastAsia="Calibri" w:hAnsi="Calibri" w:cs="Calibri"/>
                <w:color w:val="000000"/>
                <w:sz w:val="19"/>
                <w:szCs w:val="19"/>
              </w:rPr>
              <w:t>Data_Thru</w:t>
            </w:r>
            <w:proofErr w:type="spellEnd"/>
          </w:p>
        </w:tc>
        <w:tc>
          <w:tcPr>
            <w:tcW w:w="4500" w:type="dxa"/>
            <w:tcMar>
              <w:top w:w="34" w:type="dxa"/>
              <w:left w:w="100" w:type="dxa"/>
              <w:bottom w:w="34" w:type="dxa"/>
              <w:right w:w="100" w:type="dxa"/>
            </w:tcMar>
          </w:tcPr>
          <w:p w14:paraId="097AC2B4" w14:textId="1E0C5909" w:rsidR="003702EF" w:rsidRDefault="003702EF">
            <w:pPr>
              <w:spacing w:line="260" w:lineRule="auto"/>
            </w:pPr>
            <w:r>
              <w:rPr>
                <w:rFonts w:ascii="Calibri" w:eastAsia="Calibri" w:hAnsi="Calibri" w:cs="Calibri"/>
                <w:color w:val="000000"/>
                <w:sz w:val="19"/>
                <w:szCs w:val="19"/>
              </w:rPr>
              <w:t>Last month of data available at that origin</w:t>
            </w:r>
          </w:p>
        </w:tc>
        <w:tc>
          <w:tcPr>
            <w:tcW w:w="2900" w:type="dxa"/>
            <w:tcMar>
              <w:top w:w="34" w:type="dxa"/>
              <w:left w:w="100" w:type="dxa"/>
              <w:bottom w:w="34" w:type="dxa"/>
              <w:right w:w="100" w:type="dxa"/>
            </w:tcMar>
          </w:tcPr>
          <w:p w14:paraId="458C2A03" w14:textId="219DCC1F" w:rsidR="003702EF" w:rsidRDefault="003702EF">
            <w:pPr>
              <w:spacing w:line="260" w:lineRule="auto"/>
            </w:pPr>
            <w:r>
              <w:rPr>
                <w:rFonts w:ascii="Calibri" w:eastAsia="Calibri" w:hAnsi="Calibri" w:cs="Calibri"/>
                <w:color w:val="000000"/>
                <w:sz w:val="19"/>
                <w:szCs w:val="19"/>
              </w:rPr>
              <w:t>Varies by origin</w:t>
            </w:r>
          </w:p>
        </w:tc>
      </w:tr>
      <w:tr w:rsidR="003702EF" w14:paraId="5651F299" w14:textId="77777777">
        <w:trPr>
          <w:cantSplit/>
        </w:trPr>
        <w:tblPrEx>
          <w:tblCellMar>
            <w:top w:w="0" w:type="dxa"/>
            <w:bottom w:w="0" w:type="dxa"/>
          </w:tblCellMar>
        </w:tblPrEx>
        <w:tc>
          <w:tcPr>
            <w:tcW w:w="2100" w:type="dxa"/>
            <w:tcMar>
              <w:top w:w="34" w:type="dxa"/>
              <w:left w:w="100" w:type="dxa"/>
              <w:bottom w:w="34" w:type="dxa"/>
              <w:right w:w="100" w:type="dxa"/>
            </w:tcMar>
          </w:tcPr>
          <w:p w14:paraId="56C05696" w14:textId="1E320F60" w:rsidR="003702EF" w:rsidRDefault="003702EF">
            <w:pPr>
              <w:spacing w:line="260" w:lineRule="auto"/>
            </w:pPr>
            <w:proofErr w:type="spellStart"/>
            <w:r>
              <w:rPr>
                <w:rFonts w:ascii="Calibri" w:eastAsia="Calibri" w:hAnsi="Calibri" w:cs="Calibri"/>
                <w:color w:val="000000"/>
                <w:sz w:val="19"/>
                <w:szCs w:val="19"/>
              </w:rPr>
              <w:lastRenderedPageBreak/>
              <w:t>Input_Runout_Thru</w:t>
            </w:r>
            <w:proofErr w:type="spellEnd"/>
          </w:p>
        </w:tc>
        <w:tc>
          <w:tcPr>
            <w:tcW w:w="4500" w:type="dxa"/>
            <w:tcMar>
              <w:top w:w="34" w:type="dxa"/>
              <w:left w:w="100" w:type="dxa"/>
              <w:bottom w:w="34" w:type="dxa"/>
              <w:right w:w="100" w:type="dxa"/>
            </w:tcMar>
          </w:tcPr>
          <w:p w14:paraId="2BC69674" w14:textId="560EA26D" w:rsidR="003702EF" w:rsidRDefault="003702EF">
            <w:pPr>
              <w:spacing w:line="260" w:lineRule="auto"/>
            </w:pPr>
            <w:r>
              <w:rPr>
                <w:rFonts w:ascii="Calibri" w:eastAsia="Calibri" w:hAnsi="Calibri" w:cs="Calibri"/>
                <w:color w:val="000000"/>
                <w:sz w:val="19"/>
                <w:szCs w:val="19"/>
              </w:rPr>
              <w:t>Maturity of that data as of the origin</w:t>
            </w:r>
          </w:p>
        </w:tc>
        <w:tc>
          <w:tcPr>
            <w:tcW w:w="2900" w:type="dxa"/>
            <w:tcMar>
              <w:top w:w="34" w:type="dxa"/>
              <w:left w:w="100" w:type="dxa"/>
              <w:bottom w:w="34" w:type="dxa"/>
              <w:right w:w="100" w:type="dxa"/>
            </w:tcMar>
          </w:tcPr>
          <w:p w14:paraId="7C86B16F" w14:textId="064D5063" w:rsidR="003702EF" w:rsidRDefault="003702EF">
            <w:pPr>
              <w:spacing w:line="260" w:lineRule="auto"/>
            </w:pPr>
            <w:r>
              <w:rPr>
                <w:rFonts w:ascii="Calibri" w:eastAsia="Calibri" w:hAnsi="Calibri" w:cs="Calibri"/>
                <w:color w:val="000000"/>
                <w:sz w:val="19"/>
                <w:szCs w:val="19"/>
              </w:rPr>
              <w:t xml:space="preserve">Varies by </w:t>
            </w:r>
            <w:proofErr w:type="gramStart"/>
            <w:r>
              <w:rPr>
                <w:rFonts w:ascii="Calibri" w:eastAsia="Calibri" w:hAnsi="Calibri" w:cs="Calibri"/>
                <w:color w:val="000000"/>
                <w:sz w:val="19"/>
                <w:szCs w:val="19"/>
              </w:rPr>
              <w:t>origin  —</w:t>
            </w:r>
            <w:proofErr w:type="gramEnd"/>
            <w:r>
              <w:rPr>
                <w:rFonts w:ascii="Calibri" w:eastAsia="Calibri" w:hAnsi="Calibri" w:cs="Calibri"/>
                <w:color w:val="000000"/>
                <w:sz w:val="19"/>
                <w:szCs w:val="19"/>
              </w:rPr>
              <w:t xml:space="preserve">  TO ADD</w:t>
            </w:r>
          </w:p>
        </w:tc>
      </w:tr>
      <w:tr w:rsidR="003702EF" w14:paraId="4DC287EE" w14:textId="77777777">
        <w:trPr>
          <w:cantSplit/>
        </w:trPr>
        <w:tblPrEx>
          <w:tblCellMar>
            <w:top w:w="0" w:type="dxa"/>
            <w:bottom w:w="0" w:type="dxa"/>
          </w:tblCellMar>
        </w:tblPrEx>
        <w:tc>
          <w:tcPr>
            <w:tcW w:w="2100" w:type="dxa"/>
            <w:tcMar>
              <w:top w:w="34" w:type="dxa"/>
              <w:left w:w="100" w:type="dxa"/>
              <w:bottom w:w="34" w:type="dxa"/>
              <w:right w:w="100" w:type="dxa"/>
            </w:tcMar>
          </w:tcPr>
          <w:p w14:paraId="20409027" w14:textId="36B96F10" w:rsidR="003702EF" w:rsidRDefault="003702EF">
            <w:pPr>
              <w:spacing w:line="260" w:lineRule="auto"/>
            </w:pPr>
            <w:proofErr w:type="spellStart"/>
            <w:r>
              <w:rPr>
                <w:rFonts w:ascii="Calibri" w:eastAsia="Calibri" w:hAnsi="Calibri" w:cs="Calibri"/>
                <w:color w:val="000000"/>
                <w:sz w:val="19"/>
                <w:szCs w:val="19"/>
              </w:rPr>
              <w:t>Fx_Month</w:t>
            </w:r>
            <w:proofErr w:type="spellEnd"/>
          </w:p>
        </w:tc>
        <w:tc>
          <w:tcPr>
            <w:tcW w:w="4500" w:type="dxa"/>
            <w:tcMar>
              <w:top w:w="34" w:type="dxa"/>
              <w:left w:w="100" w:type="dxa"/>
              <w:bottom w:w="34" w:type="dxa"/>
              <w:right w:w="100" w:type="dxa"/>
            </w:tcMar>
          </w:tcPr>
          <w:p w14:paraId="67E6E2D6" w14:textId="63D9B3B9" w:rsidR="003702EF" w:rsidRDefault="003702EF">
            <w:pPr>
              <w:spacing w:line="260" w:lineRule="auto"/>
            </w:pPr>
            <w:r>
              <w:rPr>
                <w:rFonts w:ascii="Calibri" w:eastAsia="Calibri" w:hAnsi="Calibri" w:cs="Calibri"/>
                <w:color w:val="000000"/>
                <w:sz w:val="19"/>
                <w:szCs w:val="19"/>
              </w:rPr>
              <w:t>Month being forecast</w:t>
            </w:r>
          </w:p>
        </w:tc>
        <w:tc>
          <w:tcPr>
            <w:tcW w:w="2900" w:type="dxa"/>
            <w:tcMar>
              <w:top w:w="34" w:type="dxa"/>
              <w:left w:w="100" w:type="dxa"/>
              <w:bottom w:w="34" w:type="dxa"/>
              <w:right w:w="100" w:type="dxa"/>
            </w:tcMar>
          </w:tcPr>
          <w:p w14:paraId="1F990E33" w14:textId="2F950EC7" w:rsidR="003702EF" w:rsidRDefault="003702EF">
            <w:pPr>
              <w:spacing w:line="260" w:lineRule="auto"/>
            </w:pPr>
            <w:r>
              <w:rPr>
                <w:rFonts w:ascii="Calibri" w:eastAsia="Calibri" w:hAnsi="Calibri" w:cs="Calibri"/>
                <w:color w:val="000000"/>
                <w:sz w:val="19"/>
                <w:szCs w:val="19"/>
              </w:rPr>
              <w:t>Horizon h = 1…N</w:t>
            </w:r>
          </w:p>
        </w:tc>
      </w:tr>
      <w:tr w:rsidR="003702EF" w14:paraId="24559A30" w14:textId="77777777">
        <w:trPr>
          <w:cantSplit/>
        </w:trPr>
        <w:tblPrEx>
          <w:tblCellMar>
            <w:top w:w="0" w:type="dxa"/>
            <w:bottom w:w="0" w:type="dxa"/>
          </w:tblCellMar>
        </w:tblPrEx>
        <w:tc>
          <w:tcPr>
            <w:tcW w:w="2100" w:type="dxa"/>
            <w:tcMar>
              <w:top w:w="34" w:type="dxa"/>
              <w:left w:w="100" w:type="dxa"/>
              <w:bottom w:w="34" w:type="dxa"/>
              <w:right w:w="100" w:type="dxa"/>
            </w:tcMar>
          </w:tcPr>
          <w:p w14:paraId="3AE5814A" w14:textId="289AE279" w:rsidR="003702EF" w:rsidRDefault="003702EF">
            <w:pPr>
              <w:spacing w:line="260" w:lineRule="auto"/>
            </w:pPr>
            <w:r>
              <w:rPr>
                <w:rFonts w:ascii="Calibri" w:eastAsia="Calibri" w:hAnsi="Calibri" w:cs="Calibri"/>
                <w:color w:val="000000"/>
                <w:sz w:val="19"/>
                <w:szCs w:val="19"/>
              </w:rPr>
              <w:t>Detail Forecast Grain (ex: Service Category / Market)</w:t>
            </w:r>
          </w:p>
        </w:tc>
        <w:tc>
          <w:tcPr>
            <w:tcW w:w="4500" w:type="dxa"/>
            <w:tcMar>
              <w:top w:w="34" w:type="dxa"/>
              <w:left w:w="100" w:type="dxa"/>
              <w:bottom w:w="34" w:type="dxa"/>
              <w:right w:w="100" w:type="dxa"/>
            </w:tcMar>
          </w:tcPr>
          <w:p w14:paraId="119DC6D5" w14:textId="656958B2" w:rsidR="003702EF" w:rsidRDefault="003702EF">
            <w:pPr>
              <w:spacing w:line="260" w:lineRule="auto"/>
            </w:pPr>
            <w:r>
              <w:rPr>
                <w:rFonts w:ascii="Calibri" w:eastAsia="Calibri" w:hAnsi="Calibri" w:cs="Calibri"/>
                <w:color w:val="000000"/>
                <w:sz w:val="19"/>
                <w:szCs w:val="19"/>
              </w:rPr>
              <w:t>Cut of the forecast</w:t>
            </w:r>
          </w:p>
        </w:tc>
        <w:tc>
          <w:tcPr>
            <w:tcW w:w="2900" w:type="dxa"/>
            <w:tcMar>
              <w:top w:w="34" w:type="dxa"/>
              <w:left w:w="100" w:type="dxa"/>
              <w:bottom w:w="34" w:type="dxa"/>
              <w:right w:w="100" w:type="dxa"/>
            </w:tcMar>
          </w:tcPr>
          <w:p w14:paraId="6CE18FC6" w14:textId="671BC95B" w:rsidR="003702EF" w:rsidRDefault="003702EF">
            <w:pPr>
              <w:spacing w:line="260" w:lineRule="auto"/>
            </w:pPr>
            <w:r>
              <w:rPr>
                <w:rFonts w:ascii="Calibri" w:eastAsia="Calibri" w:hAnsi="Calibri" w:cs="Calibri"/>
                <w:color w:val="000000"/>
                <w:sz w:val="19"/>
                <w:szCs w:val="19"/>
              </w:rPr>
              <w:t>Full cross</w:t>
            </w:r>
          </w:p>
        </w:tc>
      </w:tr>
      <w:tr w:rsidR="003702EF" w14:paraId="3056C84D" w14:textId="77777777">
        <w:trPr>
          <w:cantSplit/>
        </w:trPr>
        <w:tblPrEx>
          <w:tblCellMar>
            <w:top w:w="0" w:type="dxa"/>
            <w:bottom w:w="0" w:type="dxa"/>
          </w:tblCellMar>
        </w:tblPrEx>
        <w:tc>
          <w:tcPr>
            <w:tcW w:w="2100" w:type="dxa"/>
            <w:tcMar>
              <w:top w:w="34" w:type="dxa"/>
              <w:left w:w="100" w:type="dxa"/>
              <w:bottom w:w="34" w:type="dxa"/>
              <w:right w:w="100" w:type="dxa"/>
            </w:tcMar>
          </w:tcPr>
          <w:p w14:paraId="0308F5A3" w14:textId="55D8B345" w:rsidR="003702EF" w:rsidRDefault="003702EF">
            <w:pPr>
              <w:spacing w:line="260" w:lineRule="auto"/>
            </w:pPr>
            <w:proofErr w:type="spellStart"/>
            <w:r>
              <w:rPr>
                <w:rFonts w:ascii="Calibri" w:eastAsia="Calibri" w:hAnsi="Calibri" w:cs="Calibri"/>
                <w:color w:val="000000"/>
                <w:sz w:val="19"/>
                <w:szCs w:val="19"/>
              </w:rPr>
              <w:t>Util_</w:t>
            </w:r>
            <w:proofErr w:type="gramStart"/>
            <w:r>
              <w:rPr>
                <w:rFonts w:ascii="Calibri" w:eastAsia="Calibri" w:hAnsi="Calibri" w:cs="Calibri"/>
                <w:color w:val="000000"/>
                <w:sz w:val="19"/>
                <w:szCs w:val="19"/>
              </w:rPr>
              <w:t>Fx</w:t>
            </w:r>
            <w:proofErr w:type="spellEnd"/>
            <w:r>
              <w:rPr>
                <w:rFonts w:ascii="Calibri" w:eastAsia="Calibri" w:hAnsi="Calibri" w:cs="Calibri"/>
                <w:color w:val="000000"/>
                <w:sz w:val="19"/>
                <w:szCs w:val="19"/>
              </w:rPr>
              <w:t xml:space="preserve">  /</w:t>
            </w:r>
            <w:proofErr w:type="gramEnd"/>
            <w:r>
              <w:rPr>
                <w:rFonts w:ascii="Calibri" w:eastAsia="Calibri" w:hAnsi="Calibri" w:cs="Calibri"/>
                <w:color w:val="000000"/>
                <w:sz w:val="19"/>
                <w:szCs w:val="19"/>
              </w:rPr>
              <w:t xml:space="preserve">  </w:t>
            </w:r>
            <w:proofErr w:type="spellStart"/>
            <w:r>
              <w:rPr>
                <w:rFonts w:ascii="Calibri" w:eastAsia="Calibri" w:hAnsi="Calibri" w:cs="Calibri"/>
                <w:color w:val="000000"/>
                <w:sz w:val="19"/>
                <w:szCs w:val="19"/>
              </w:rPr>
              <w:t>UC_</w:t>
            </w:r>
            <w:proofErr w:type="gramStart"/>
            <w:r>
              <w:rPr>
                <w:rFonts w:ascii="Calibri" w:eastAsia="Calibri" w:hAnsi="Calibri" w:cs="Calibri"/>
                <w:color w:val="000000"/>
                <w:sz w:val="19"/>
                <w:szCs w:val="19"/>
              </w:rPr>
              <w:t>Fx</w:t>
            </w:r>
            <w:proofErr w:type="spellEnd"/>
            <w:r>
              <w:rPr>
                <w:rFonts w:ascii="Calibri" w:eastAsia="Calibri" w:hAnsi="Calibri" w:cs="Calibri"/>
                <w:color w:val="000000"/>
                <w:sz w:val="19"/>
                <w:szCs w:val="19"/>
              </w:rPr>
              <w:t xml:space="preserve">  /</w:t>
            </w:r>
            <w:proofErr w:type="gramEnd"/>
            <w:r>
              <w:rPr>
                <w:rFonts w:ascii="Calibri" w:eastAsia="Calibri" w:hAnsi="Calibri" w:cs="Calibri"/>
                <w:color w:val="000000"/>
                <w:sz w:val="19"/>
                <w:szCs w:val="19"/>
              </w:rPr>
              <w:t xml:space="preserve">  </w:t>
            </w:r>
            <w:proofErr w:type="spellStart"/>
            <w:r>
              <w:rPr>
                <w:rFonts w:ascii="Calibri" w:eastAsia="Calibri" w:hAnsi="Calibri" w:cs="Calibri"/>
                <w:color w:val="000000"/>
                <w:sz w:val="19"/>
                <w:szCs w:val="19"/>
              </w:rPr>
              <w:t>PMPM_Fx</w:t>
            </w:r>
            <w:proofErr w:type="spellEnd"/>
          </w:p>
        </w:tc>
        <w:tc>
          <w:tcPr>
            <w:tcW w:w="4500" w:type="dxa"/>
            <w:tcMar>
              <w:top w:w="34" w:type="dxa"/>
              <w:left w:w="100" w:type="dxa"/>
              <w:bottom w:w="34" w:type="dxa"/>
              <w:right w:w="100" w:type="dxa"/>
            </w:tcMar>
          </w:tcPr>
          <w:p w14:paraId="09C42BA9" w14:textId="57D8E4FB" w:rsidR="003702EF" w:rsidRDefault="003702EF">
            <w:pPr>
              <w:spacing w:line="260" w:lineRule="auto"/>
            </w:pPr>
            <w:r>
              <w:rPr>
                <w:rFonts w:ascii="Calibri" w:eastAsia="Calibri" w:hAnsi="Calibri" w:cs="Calibri"/>
                <w:color w:val="000000"/>
                <w:sz w:val="19"/>
                <w:szCs w:val="19"/>
              </w:rPr>
              <w:t>Utilization, unit cost, and resulting PMPM</w:t>
            </w:r>
          </w:p>
        </w:tc>
        <w:tc>
          <w:tcPr>
            <w:tcW w:w="2900" w:type="dxa"/>
            <w:tcMar>
              <w:top w:w="34" w:type="dxa"/>
              <w:left w:w="100" w:type="dxa"/>
              <w:bottom w:w="34" w:type="dxa"/>
              <w:right w:w="100" w:type="dxa"/>
            </w:tcMar>
          </w:tcPr>
          <w:p w14:paraId="45CBA3C6" w14:textId="32581813" w:rsidR="003702EF" w:rsidRDefault="003702EF">
            <w:pPr>
              <w:spacing w:line="260" w:lineRule="auto"/>
            </w:pPr>
            <w:r>
              <w:rPr>
                <w:rFonts w:ascii="Calibri" w:eastAsia="Calibri" w:hAnsi="Calibri" w:cs="Calibri"/>
                <w:color w:val="000000"/>
                <w:sz w:val="19"/>
                <w:szCs w:val="19"/>
              </w:rPr>
              <w:t>Components forecast separately</w:t>
            </w:r>
          </w:p>
        </w:tc>
      </w:tr>
    </w:tbl>
    <w:p w14:paraId="652A89D9" w14:textId="77777777" w:rsidR="00C410A2" w:rsidRDefault="00C410A2">
      <w:pPr>
        <w:spacing w:after="105"/>
      </w:pPr>
    </w:p>
    <w:p>
      <w:pPr>
        <w:spacing w:after="40" w:line="236" w:lineRule="auto"/>
      </w:pPr>
      <w:r>
        <w:rPr>
          <w:rFonts w:ascii="Calibri" w:eastAsia="Calibri" w:hAnsi="Calibri" w:cs="Calibri"/>
          <w:b/>
          <w:bCs/>
          <w:color w:val="000000"/>
          <w:sz w:val="21"/>
          <w:szCs w:val="21"/>
        </w:rPr>
        <w:t xml:space="preserve">Downstream consumers. </w:t>
      </w:r>
      <w:r>
        <w:rPr>
          <w:rFonts w:ascii="Calibri" w:eastAsia="Calibri" w:hAnsi="Calibri" w:cs="Calibri"/>
          <w:color w:val="000000"/>
          <w:sz w:val="21"/>
          <w:szCs w:val="21"/>
        </w:rPr>
        <w:t xml:space="preserve">The same base table supports several views. Only the first is in scope for v1; the others are expansion areas that depend on agreement with the pillar that owns delivery.</w:t>
      </w:r>
    </w:p>
    <w:p>
      <w:pPr>
        <w:pStyle w:val="ListParagraph"/>
        <w:numPr>
          <w:ilvl w:val="0"/>
          <w:numId w:val="2"/>
        </w:numPr>
        <w:spacing w:after="26" w:line="236" w:lineRule="auto"/>
      </w:pPr>
      <w:r>
        <w:rPr>
          <w:rFonts w:ascii="Calibri" w:eastAsia="Calibri" w:hAnsi="Calibri" w:cs="Calibri"/>
          <w:b/>
          <w:bCs/>
          <w:color w:val="000000"/>
          <w:sz w:val="21"/>
          <w:szCs w:val="21"/>
        </w:rPr>
        <w:t xml:space="preserve">Executive Forecast Summary. </w:t>
      </w:r>
      <w:r>
        <w:rPr>
          <w:rFonts w:ascii="Calibri" w:eastAsia="Calibri" w:hAnsi="Calibri" w:cs="Calibri"/>
          <w:color w:val="000000"/>
          <w:sz w:val="21"/>
          <w:szCs w:val="21"/>
        </w:rPr>
        <w:t xml:space="preserve">A concise read of the current forecast, what moved since the prior cycle, and the drivers behind the movement. This is the v1 deliverable and the view the pilot will be judged on.</w:t>
      </w:r>
    </w:p>
    <w:p>
      <w:pPr>
        <w:pStyle w:val="ListParagraph"/>
        <w:numPr>
          <w:ilvl w:val="0"/>
          <w:numId w:val="2"/>
        </w:numPr>
        <w:spacing w:after="26" w:line="236" w:lineRule="auto"/>
      </w:pPr>
      <w:r>
        <w:rPr>
          <w:rFonts w:ascii="Calibri" w:eastAsia="Calibri" w:hAnsi="Calibri" w:cs="Calibri"/>
          <w:b/>
          <w:bCs/>
          <w:color w:val="000000"/>
          <w:sz w:val="21"/>
          <w:szCs w:val="21"/>
        </w:rPr>
        <w:t xml:space="preserve">Dashboard. </w:t>
      </w:r>
      <w:r>
        <w:rPr>
          <w:rFonts w:ascii="Calibri" w:eastAsia="Calibri" w:hAnsi="Calibri" w:cs="Calibri"/>
          <w:color w:val="000000"/>
          <w:sz w:val="21"/>
          <w:szCs w:val="21"/>
        </w:rPr>
        <w:t xml:space="preserve">Self-service exploration of forecast and actual-versus-expected variance across available grains, so users can investigate without a bespoke request. </w:t>
      </w:r>
      <w:r>
        <w:rPr>
          <w:rFonts w:ascii="Calibri" w:eastAsia="Calibri" w:hAnsi="Calibri" w:cs="Calibri"/>
          <w:i/>
          <w:iCs/>
          <w:color w:val="595959"/>
          <w:sz w:val="21"/>
          <w:szCs w:val="21"/>
        </w:rPr>
        <w:t xml:space="preserve">Expansion area — tooling and delivery sit with Infrastructure Modernization.</w:t>
      </w:r>
    </w:p>
    <w:p>
      <w:pPr>
        <w:pStyle w:val="ListParagraph"/>
        <w:numPr>
          <w:ilvl w:val="0"/>
          <w:numId w:val="2"/>
        </w:numPr>
        <w:spacing w:after="58" w:line="236" w:lineRule="auto"/>
      </w:pPr>
      <w:r>
        <w:rPr>
          <w:rFonts w:ascii="Calibri" w:eastAsia="Calibri" w:hAnsi="Calibri" w:cs="Calibri"/>
          <w:b/>
          <w:bCs/>
          <w:color w:val="000000"/>
          <w:sz w:val="21"/>
          <w:szCs w:val="21"/>
        </w:rPr>
        <w:t xml:space="preserve">HCTA inputs. </w:t>
      </w:r>
      <w:r>
        <w:rPr>
          <w:rFonts w:ascii="Calibri" w:eastAsia="Calibri" w:hAnsi="Calibri" w:cs="Calibri"/>
          <w:color w:val="000000"/>
          <w:sz w:val="21"/>
          <w:szCs w:val="21"/>
        </w:rPr>
        <w:t xml:space="preserve">Supplying forecast and variance components into affordability reporting and existing HCTA workflows. </w:t>
      </w:r>
      <w:r>
        <w:rPr>
          <w:rFonts w:ascii="Calibri" w:eastAsia="Calibri" w:hAnsi="Calibri" w:cs="Calibri"/>
          <w:i/>
          <w:iCs/>
          <w:color w:val="595959"/>
          <w:sz w:val="21"/>
          <w:szCs w:val="21"/>
        </w:rPr>
        <w:t xml:space="preserve">Expansion area — production and publishing sit with Reporting.</w:t>
      </w:r>
    </w:p>
    <w:p>
      <w:pPr>
        <w:spacing w:before="90" w:after="58" w:line="236" w:lineRule="auto"/>
      </w:pPr>
      <w:r>
        <w:rPr>
          <w:rFonts w:ascii="Calibri" w:eastAsia="Calibri" w:hAnsi="Calibri" w:cs="Calibri"/>
          <w:b/>
          <w:bCs/>
          <w:color w:val="000000"/>
          <w:sz w:val="21"/>
          <w:szCs w:val="21"/>
        </w:rPr>
        <w:t xml:space="preserve">Note on Input_Runout_Thru. </w:t>
      </w:r>
      <w:r>
        <w:rPr>
          <w:rFonts w:ascii="Calibri" w:eastAsia="Calibri" w:hAnsi="Calibri" w:cs="Calibri"/>
          <w:color w:val="000000"/>
          <w:sz w:val="21"/>
          <w:szCs w:val="21"/>
        </w:rPr>
        <w:t xml:space="preserve">Input maturity has to be tracked separately from scoring maturity so that backtests reflect what was actually knowable at each origin, rather than feeding every historical forecast data at today’s runout.</w:t>
      </w:r>
    </w:p>
    <w:p w14:paraId="180B739E" w14:textId="77777777" w:rsidR="00C410A2" w:rsidRDefault="00000000">
      <w:pPr>
        <w:pStyle w:val="Heading1"/>
        <w:spacing w:before="125" w:after="58"/>
      </w:pPr>
      <w:r>
        <w:rPr>
          <w:rFonts w:ascii="Calibri" w:eastAsia="Calibri" w:hAnsi="Calibri" w:cs="Calibri"/>
          <w:b/>
          <w:bCs/>
          <w:color w:val="1F3864"/>
          <w:sz w:val="26"/>
          <w:szCs w:val="26"/>
        </w:rPr>
        <w:t>Key Attributes</w:t>
      </w:r>
    </w:p>
    <w:p>
      <w:pPr>
        <w:spacing w:after="40" w:line="236" w:lineRule="auto"/>
      </w:pPr>
      <w:r>
        <w:rPr>
          <w:rFonts w:ascii="Calibri" w:eastAsia="Calibri" w:hAnsi="Calibri" w:cs="Calibri"/>
          <w:color w:val="000000"/>
          <w:sz w:val="21"/>
          <w:szCs w:val="21"/>
        </w:rPr>
        <w:t xml:space="preserve">What the capability provides today, and the one dimension still being tested.</w:t>
      </w:r>
    </w:p>
    <w:p w14:paraId="122EE225" w14:textId="6BEE95B4" w:rsidR="00C410A2" w:rsidRDefault="00000000">
      <w:pPr>
        <w:pStyle w:val="ListParagraph"/>
        <w:numPr>
          <w:ilvl w:val="0"/>
          <w:numId w:val="2"/>
        </w:numPr>
        <w:spacing w:after="26" w:line="236" w:lineRule="auto"/>
      </w:pPr>
      <w:r>
        <w:rPr>
          <w:rFonts w:ascii="Calibri" w:eastAsia="Calibri" w:hAnsi="Calibri" w:cs="Calibri"/>
          <w:b/>
          <w:bCs/>
          <w:color w:val="000000"/>
          <w:sz w:val="21"/>
          <w:szCs w:val="21"/>
        </w:rPr>
        <w:t xml:space="preserve">Light touch. </w:t>
      </w:r>
      <w:r>
        <w:rPr>
          <w:rFonts w:ascii="Calibri" w:eastAsia="Calibri" w:hAnsi="Calibri" w:cs="Calibri"/>
          <w:color w:val="000000"/>
          <w:sz w:val="21"/>
          <w:szCs w:val="21"/>
        </w:rPr>
        <w:t xml:space="preserve">Produced [N] </w:t>
      </w:r>
      <w:r w:rsidR="00B069FC">
        <w:rPr>
          <w:rFonts w:ascii="Calibri" w:eastAsia="Calibri" w:hAnsi="Calibri" w:cs="Calibri"/>
          <w:color w:val="000000"/>
          <w:sz w:val="21"/>
          <w:szCs w:val="21"/>
        </w:rPr>
        <w:t>days</w:t>
      </w:r>
      <w:r>
        <w:rPr>
          <w:rFonts w:ascii="Calibri" w:eastAsia="Calibri" w:hAnsi="Calibri" w:cs="Calibri"/>
          <w:color w:val="000000"/>
          <w:sz w:val="21"/>
          <w:szCs w:val="21"/>
        </w:rPr>
        <w:t xml:space="preserve"> earlier in the cycle, with materially less manual effort per cycle — shifting analyst time from production to diagnosis.</w:t>
      </w:r>
    </w:p>
    <w:p>
      <w:pPr>
        <w:pStyle w:val="ListParagraph"/>
        <w:numPr>
          <w:ilvl w:val="0"/>
          <w:numId w:val="2"/>
        </w:numPr>
        <w:spacing w:after="26" w:line="236" w:lineRule="auto"/>
      </w:pPr>
      <w:r>
        <w:rPr>
          <w:rFonts w:ascii="Calibri" w:eastAsia="Calibri" w:hAnsi="Calibri" w:cs="Calibri"/>
          <w:b/>
          <w:bCs/>
          <w:color w:val="000000"/>
          <w:sz w:val="21"/>
          <w:szCs w:val="21"/>
        </w:rPr>
        <w:t xml:space="preserve">Detail and explainability. </w:t>
      </w:r>
      <w:r>
        <w:rPr>
          <w:rFonts w:ascii="Calibri" w:eastAsia="Calibri" w:hAnsi="Calibri" w:cs="Calibri"/>
          <w:color w:val="000000"/>
          <w:sz w:val="21"/>
          <w:szCs w:val="21"/>
        </w:rPr>
        <w:t xml:space="preserve">Forecasts are produced at a finer grain than current methods, with utilization and unit cost carried separately at every level. That structure lets actual vs. expected be broken down into more explainable components, so less of the movement is left unexplained. The specific cut (for example, service category × market) is still to be set.</w:t>
      </w:r>
    </w:p>
    <w:p w14:paraId="1490B238" w14:textId="77777777" w:rsidR="00C410A2" w:rsidRDefault="00000000">
      <w:pPr>
        <w:pStyle w:val="ListParagraph"/>
        <w:numPr>
          <w:ilvl w:val="0"/>
          <w:numId w:val="2"/>
        </w:numPr>
        <w:spacing w:after="26" w:line="236" w:lineRule="auto"/>
      </w:pPr>
      <w:proofErr w:type="spellStart"/>
      <w:r>
        <w:rPr>
          <w:rFonts w:ascii="Calibri" w:eastAsia="Calibri" w:hAnsi="Calibri" w:cs="Calibri"/>
          <w:b/>
          <w:bCs/>
          <w:color w:val="000000"/>
          <w:sz w:val="21"/>
          <w:szCs w:val="21"/>
        </w:rPr>
        <w:t>Backtesting</w:t>
      </w:r>
      <w:proofErr w:type="spellEnd"/>
      <w:r>
        <w:rPr>
          <w:rFonts w:ascii="Calibri" w:eastAsia="Calibri" w:hAnsi="Calibri" w:cs="Calibri"/>
          <w:b/>
          <w:bCs/>
          <w:color w:val="000000"/>
          <w:sz w:val="21"/>
          <w:szCs w:val="21"/>
        </w:rPr>
        <w:t xml:space="preserve"> framework. </w:t>
      </w:r>
      <w:r>
        <w:rPr>
          <w:rFonts w:ascii="Calibri" w:eastAsia="Calibri" w:hAnsi="Calibri" w:cs="Calibri"/>
          <w:color w:val="000000"/>
          <w:sz w:val="21"/>
          <w:szCs w:val="21"/>
        </w:rPr>
        <w:t xml:space="preserve">Any method — including the incumbent — can be scored against the same history on the same footing. </w:t>
      </w:r>
      <w:r>
        <w:rPr>
          <w:rFonts w:ascii="Calibri" w:eastAsia="Calibri" w:hAnsi="Calibri" w:cs="Calibri"/>
          <w:i/>
          <w:iCs/>
          <w:color w:val="000000"/>
          <w:sz w:val="21"/>
          <w:szCs w:val="21"/>
        </w:rPr>
        <w:t>This is the most durable asset in the project and outlives the current model.</w:t>
      </w:r>
    </w:p>
    <w:p w14:paraId="0E11DD3F" w14:textId="77777777" w:rsidR="00C410A2" w:rsidRDefault="00000000">
      <w:pPr>
        <w:pStyle w:val="ListParagraph"/>
        <w:numPr>
          <w:ilvl w:val="0"/>
          <w:numId w:val="2"/>
        </w:numPr>
        <w:spacing w:after="26" w:line="236" w:lineRule="auto"/>
      </w:pPr>
      <w:r>
        <w:rPr>
          <w:rFonts w:ascii="Calibri" w:eastAsia="Calibri" w:hAnsi="Calibri" w:cs="Calibri"/>
          <w:b/>
          <w:bCs/>
          <w:color w:val="000000"/>
          <w:sz w:val="21"/>
          <w:szCs w:val="21"/>
        </w:rPr>
        <w:t xml:space="preserve">Consistent across LOBs. </w:t>
      </w:r>
      <w:r>
        <w:rPr>
          <w:rFonts w:ascii="Calibri" w:eastAsia="Calibri" w:hAnsi="Calibri" w:cs="Calibri"/>
          <w:color w:val="000000"/>
          <w:sz w:val="21"/>
          <w:szCs w:val="21"/>
        </w:rPr>
        <w:t>One framework rather than per-segment bespoke methods, which is what makes results comparable across the enterprise.</w:t>
      </w:r>
    </w:p>
    <w:p w14:paraId="5E6177A0" w14:textId="77777777" w:rsidR="00C410A2" w:rsidRDefault="00000000">
      <w:pPr>
        <w:pStyle w:val="ListParagraph"/>
        <w:numPr>
          <w:ilvl w:val="0"/>
          <w:numId w:val="2"/>
        </w:numPr>
        <w:spacing w:after="26" w:line="236" w:lineRule="auto"/>
      </w:pPr>
      <w:r>
        <w:rPr>
          <w:rFonts w:ascii="Calibri" w:eastAsia="Calibri" w:hAnsi="Calibri" w:cs="Calibri"/>
          <w:b/>
          <w:bCs/>
          <w:color w:val="000000"/>
          <w:sz w:val="21"/>
          <w:szCs w:val="21"/>
        </w:rPr>
        <w:t xml:space="preserve">Integrates business-provided indexes. </w:t>
      </w:r>
      <w:r>
        <w:rPr>
          <w:rFonts w:ascii="Calibri" w:eastAsia="Calibri" w:hAnsi="Calibri" w:cs="Calibri"/>
          <w:color w:val="000000"/>
          <w:sz w:val="21"/>
          <w:szCs w:val="21"/>
        </w:rPr>
        <w:t>Consumes the indexes already supplied to the businesses rather than introducing a competing set.</w:t>
      </w:r>
    </w:p>
    <w:p>
      <w:pPr>
        <w:pStyle w:val="ListParagraph"/>
        <w:numPr>
          <w:ilvl w:val="0"/>
          <w:numId w:val="2"/>
        </w:numPr>
        <w:spacing w:after="58" w:line="236" w:lineRule="auto"/>
      </w:pPr>
      <w:r>
        <w:rPr>
          <w:rFonts w:ascii="Calibri" w:eastAsia="Calibri" w:hAnsi="Calibri" w:cs="Calibri"/>
          <w:b/>
          <w:bCs/>
          <w:color w:val="000000"/>
          <w:sz w:val="21"/>
          <w:szCs w:val="21"/>
        </w:rPr>
        <w:t xml:space="preserve">Accuracy — still to be determined. </w:t>
      </w:r>
      <w:r>
        <w:rPr>
          <w:rFonts w:ascii="Calibri" w:eastAsia="Calibri" w:hAnsi="Calibri" w:cs="Calibri"/>
          <w:color w:val="000000"/>
          <w:sz w:val="21"/>
          <w:szCs w:val="21"/>
        </w:rPr>
        <w:t xml:space="preserve">The working hypothesis is that it matches or beats the incumbent method on [error metric] at horizons h ≤ [3] for [pilot segments]. Tested by backtesting across [N] origins at fixed runout maturity, with an answer by [date].</w:t>
      </w:r>
    </w:p>
    <w:p>
      <w:pPr>
        <w:spacing w:after="58" w:line="236" w:lineRule="auto"/>
      </w:pPr>
      <w:r>
        <w:rPr>
          <w:rFonts w:ascii="Calibri" w:eastAsia="Calibri" w:hAnsi="Calibri" w:cs="Calibri"/>
          <w:color w:val="000000"/>
          <w:sz w:val="21"/>
          <w:szCs w:val="21"/>
        </w:rPr>
        <w:t xml:space="preserve">If accuracy comes out a wash, the capability may still be justified on timeliness and granularity alone — or it may not. That call gets made against criteria agreed up front, not renegotiated afterward.</w:t>
      </w:r>
    </w:p>
    <w:p w14:paraId="0D99934F" w14:textId="77777777" w:rsidR="00C410A2" w:rsidRDefault="00000000">
      <w:pPr>
        <w:pageBreakBefore/>
        <w:pStyle w:val="Heading1"/>
        <w:spacing w:before="125" w:after="58"/>
      </w:pPr>
      <w:r>
        <w:rPr>
          <w:rFonts w:ascii="Calibri" w:eastAsia="Calibri" w:hAnsi="Calibri" w:cs="Calibri"/>
          <w:b/>
          <w:bCs/>
          <w:color w:val="1F3864"/>
          <w:sz w:val="26"/>
          <w:szCs w:val="26"/>
        </w:rPr>
        <w:t>Roadmap Beyond v1</w:t>
      </w:r>
    </w:p>
    <w:p w14:paraId="57B4EDF4" w14:textId="77777777" w:rsidR="00C410A2" w:rsidRDefault="00000000">
      <w:pPr>
        <w:keepNext/>
        <w:spacing w:after="130" w:line="236" w:lineRule="auto"/>
      </w:pPr>
      <w:r>
        <w:rPr>
          <w:rFonts w:ascii="Calibri" w:eastAsia="Calibri" w:hAnsi="Calibri" w:cs="Calibri"/>
          <w:color w:val="000000"/>
          <w:sz w:val="21"/>
          <w:szCs w:val="21"/>
        </w:rPr>
        <w:t>Merged into one sequence so the scope of v1 is unambiguous. Nothing below is being requested now.</w:t>
      </w:r>
    </w:p>
    <w:tbl>
      <w:tblPr>
        <w:tblW w:w="9500" w:type="dxa"/>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3100"/>
        <w:gridCol w:w="3200"/>
        <w:gridCol w:w="3200"/>
      </w:tblGrid>
      <w:tr w:rsidR="00C410A2" w14:paraId="5F322291" w14:textId="77777777">
        <w:trPr>
          <w:cantSplit/>
        </w:trPr>
        <w:tblPrEx>
          <w:tblCellMar>
            <w:top w:w="0" w:type="dxa"/>
            <w:bottom w:w="0" w:type="dxa"/>
          </w:tblCellMar>
        </w:tblPrEx>
        <w:trPr>
          <w:cantSplit/>
          <w:tblHeader/>
        </w:trPr>
        <w:tc>
          <w:tcPr>
            <w:tcW w:w="3100" w:type="dxa"/>
            <w:shd w:val="clear" w:color="auto" w:fill="1F3864"/>
            <w:tcMar>
              <w:top w:w="34" w:type="dxa"/>
              <w:left w:w="100" w:type="dxa"/>
              <w:bottom w:w="34" w:type="dxa"/>
              <w:right w:w="100" w:type="dxa"/>
            </w:tcMar>
          </w:tcPr>
          <w:p w14:paraId="53198294" w14:textId="77777777" w:rsidR="00C410A2" w:rsidRDefault="00000000">
            <w:pPr>
              <w:spacing w:line="260" w:lineRule="auto"/>
            </w:pPr>
            <w:r>
              <w:rPr>
                <w:rFonts w:ascii="Calibri" w:eastAsia="Calibri" w:hAnsi="Calibri" w:cs="Calibri"/>
                <w:b/>
                <w:bCs/>
                <w:color w:val="FFFFFF"/>
                <w:sz w:val="19"/>
                <w:szCs w:val="19"/>
              </w:rPr>
              <w:t>Item</w:t>
            </w:r>
          </w:p>
        </w:tc>
        <w:tc>
          <w:tcPr>
            <w:tcW w:w="3200" w:type="dxa"/>
            <w:shd w:val="clear" w:color="auto" w:fill="1F3864"/>
            <w:tcMar>
              <w:top w:w="34" w:type="dxa"/>
              <w:left w:w="100" w:type="dxa"/>
              <w:bottom w:w="34" w:type="dxa"/>
              <w:right w:w="100" w:type="dxa"/>
            </w:tcMar>
          </w:tcPr>
          <w:p w14:paraId="14B358E9" w14:textId="77777777" w:rsidR="00C410A2" w:rsidRDefault="00000000">
            <w:pPr>
              <w:spacing w:line="260" w:lineRule="auto"/>
            </w:pPr>
            <w:r>
              <w:rPr>
                <w:rFonts w:ascii="Calibri" w:eastAsia="Calibri" w:hAnsi="Calibri" w:cs="Calibri"/>
                <w:b/>
                <w:bCs/>
                <w:color w:val="FFFFFF"/>
                <w:sz w:val="19"/>
                <w:szCs w:val="19"/>
              </w:rPr>
              <w:t>Type</w:t>
            </w:r>
          </w:p>
        </w:tc>
        <w:tc>
          <w:tcPr>
            <w:tcW w:w="3200" w:type="dxa"/>
            <w:shd w:val="clear" w:color="auto" w:fill="1F3864"/>
            <w:tcMar>
              <w:top w:w="34" w:type="dxa"/>
              <w:left w:w="100" w:type="dxa"/>
              <w:bottom w:w="34" w:type="dxa"/>
              <w:right w:w="100" w:type="dxa"/>
            </w:tcMar>
          </w:tcPr>
          <w:p w14:paraId="3F66A0C3" w14:textId="77777777" w:rsidR="00C410A2" w:rsidRDefault="00000000">
            <w:pPr>
              <w:spacing w:line="260" w:lineRule="auto"/>
            </w:pPr>
            <w:r>
              <w:rPr>
                <w:rFonts w:ascii="Calibri" w:eastAsia="Calibri" w:hAnsi="Calibri" w:cs="Calibri"/>
                <w:b/>
                <w:bCs/>
                <w:color w:val="FFFFFF"/>
                <w:sz w:val="19"/>
                <w:szCs w:val="19"/>
              </w:rPr>
              <w:t>What unlocks it</w:t>
            </w:r>
          </w:p>
        </w:tc>
      </w:tr>
      <w:tr w:rsidR="00C410A2" w14:paraId="765ED06A" w14:textId="77777777">
        <w:trPr>
          <w:cantSplit/>
        </w:trPr>
        <w:tblPrEx>
          <w:tblCellMar>
            <w:top w:w="0" w:type="dxa"/>
            <w:bottom w:w="0" w:type="dxa"/>
          </w:tblCellMar>
        </w:tblPrEx>
        <w:tc>
          <w:tcPr>
            <w:tcW w:w="3100" w:type="dxa"/>
            <w:tcMar>
              <w:top w:w="34" w:type="dxa"/>
              <w:left w:w="100" w:type="dxa"/>
              <w:bottom w:w="34" w:type="dxa"/>
              <w:right w:w="100" w:type="dxa"/>
            </w:tcMar>
          </w:tcPr>
          <w:p w14:paraId="21650AB1" w14:textId="77777777" w:rsidR="00C410A2" w:rsidRDefault="00000000">
            <w:pPr>
              <w:spacing w:line="260" w:lineRule="auto"/>
            </w:pPr>
            <w:r>
              <w:rPr>
                <w:rFonts w:ascii="Calibri" w:eastAsia="Calibri" w:hAnsi="Calibri" w:cs="Calibri"/>
                <w:color w:val="000000"/>
                <w:sz w:val="19"/>
                <w:szCs w:val="19"/>
              </w:rPr>
              <w:t>Non-claims data sources</w:t>
            </w:r>
          </w:p>
        </w:tc>
        <w:tc>
          <w:tcPr>
            <w:tcW w:w="3200" w:type="dxa"/>
            <w:tcMar>
              <w:top w:w="34" w:type="dxa"/>
              <w:left w:w="100" w:type="dxa"/>
              <w:bottom w:w="34" w:type="dxa"/>
              <w:right w:w="100" w:type="dxa"/>
            </w:tcMar>
          </w:tcPr>
          <w:p w14:paraId="3C57DF00" w14:textId="77777777" w:rsidR="00C410A2" w:rsidRDefault="00000000">
            <w:pPr>
              <w:spacing w:line="260" w:lineRule="auto"/>
            </w:pPr>
            <w:r>
              <w:rPr>
                <w:rFonts w:ascii="Calibri" w:eastAsia="Calibri" w:hAnsi="Calibri" w:cs="Calibri"/>
                <w:color w:val="000000"/>
                <w:sz w:val="19"/>
                <w:szCs w:val="19"/>
              </w:rPr>
              <w:t>Model expansion</w:t>
            </w:r>
          </w:p>
        </w:tc>
        <w:tc>
          <w:tcPr>
            <w:tcW w:w="3200" w:type="dxa"/>
            <w:tcMar>
              <w:top w:w="34" w:type="dxa"/>
              <w:left w:w="100" w:type="dxa"/>
              <w:bottom w:w="34" w:type="dxa"/>
              <w:right w:w="100" w:type="dxa"/>
            </w:tcMar>
          </w:tcPr>
          <w:p>
            <w:pPr>
              <w:spacing w:line="260" w:lineRule="auto"/>
            </w:pPr>
            <w:r>
              <w:rPr>
                <w:rFonts w:ascii="Calibri" w:eastAsia="Calibri" w:hAnsi="Calibri" w:cs="Calibri"/>
                <w:color w:val="000000"/>
                <w:sz w:val="19"/>
                <w:szCs w:val="19"/>
              </w:rPr>
              <w:t xml:space="preserve">Accuracy question answered; Data Foundation availability</w:t>
            </w:r>
          </w:p>
        </w:tc>
      </w:tr>
      <w:tr w:rsidR="00C410A2" w14:paraId="501EDF36" w14:textId="77777777">
        <w:trPr>
          <w:cantSplit/>
        </w:trPr>
        <w:tblPrEx>
          <w:tblCellMar>
            <w:top w:w="0" w:type="dxa"/>
            <w:bottom w:w="0" w:type="dxa"/>
          </w:tblCellMar>
        </w:tblPrEx>
        <w:tc>
          <w:tcPr>
            <w:tcW w:w="3100" w:type="dxa"/>
            <w:tcMar>
              <w:top w:w="34" w:type="dxa"/>
              <w:left w:w="100" w:type="dxa"/>
              <w:bottom w:w="34" w:type="dxa"/>
              <w:right w:w="100" w:type="dxa"/>
            </w:tcMar>
          </w:tcPr>
          <w:p w14:paraId="2E6E7735" w14:textId="77777777" w:rsidR="00C410A2" w:rsidRDefault="00000000">
            <w:pPr>
              <w:spacing w:line="260" w:lineRule="auto"/>
            </w:pPr>
            <w:r>
              <w:rPr>
                <w:rFonts w:ascii="Calibri" w:eastAsia="Calibri" w:hAnsi="Calibri" w:cs="Calibri"/>
                <w:color w:val="000000"/>
                <w:sz w:val="19"/>
                <w:szCs w:val="19"/>
              </w:rPr>
              <w:t>Expanded model classes (e.g. neural networks)</w:t>
            </w:r>
          </w:p>
        </w:tc>
        <w:tc>
          <w:tcPr>
            <w:tcW w:w="3200" w:type="dxa"/>
            <w:tcMar>
              <w:top w:w="34" w:type="dxa"/>
              <w:left w:w="100" w:type="dxa"/>
              <w:bottom w:w="34" w:type="dxa"/>
              <w:right w:w="100" w:type="dxa"/>
            </w:tcMar>
          </w:tcPr>
          <w:p w14:paraId="5EDFFA1A" w14:textId="77777777" w:rsidR="00C410A2" w:rsidRDefault="00000000">
            <w:pPr>
              <w:spacing w:line="260" w:lineRule="auto"/>
            </w:pPr>
            <w:r>
              <w:rPr>
                <w:rFonts w:ascii="Calibri" w:eastAsia="Calibri" w:hAnsi="Calibri" w:cs="Calibri"/>
                <w:color w:val="000000"/>
                <w:sz w:val="19"/>
                <w:szCs w:val="19"/>
              </w:rPr>
              <w:t>Model expansion</w:t>
            </w:r>
          </w:p>
        </w:tc>
        <w:tc>
          <w:tcPr>
            <w:tcW w:w="3200" w:type="dxa"/>
            <w:tcMar>
              <w:top w:w="34" w:type="dxa"/>
              <w:left w:w="100" w:type="dxa"/>
              <w:bottom w:w="34" w:type="dxa"/>
              <w:right w:w="100" w:type="dxa"/>
            </w:tcMar>
          </w:tcPr>
          <w:p w14:paraId="518AAD15" w14:textId="77777777" w:rsidR="00C410A2" w:rsidRDefault="00000000">
            <w:pPr>
              <w:spacing w:line="260" w:lineRule="auto"/>
            </w:pPr>
            <w:r>
              <w:rPr>
                <w:rFonts w:ascii="Calibri" w:eastAsia="Calibri" w:hAnsi="Calibri" w:cs="Calibri"/>
                <w:color w:val="000000"/>
                <w:sz w:val="19"/>
                <w:szCs w:val="19"/>
              </w:rPr>
              <w:t>Evidence that model class is the binding constraint, not data</w:t>
            </w:r>
          </w:p>
        </w:tc>
      </w:tr>
      <w:tr w:rsidR="00C410A2" w14:paraId="522707E0" w14:textId="77777777">
        <w:trPr>
          <w:cantSplit/>
        </w:trPr>
        <w:tblPrEx>
          <w:tblCellMar>
            <w:top w:w="0" w:type="dxa"/>
            <w:bottom w:w="0" w:type="dxa"/>
          </w:tblCellMar>
        </w:tblPrEx>
        <w:tc>
          <w:tcPr>
            <w:tcW w:w="3100" w:type="dxa"/>
            <w:tcMar>
              <w:top w:w="34" w:type="dxa"/>
              <w:left w:w="100" w:type="dxa"/>
              <w:bottom w:w="34" w:type="dxa"/>
              <w:right w:w="100" w:type="dxa"/>
            </w:tcMar>
          </w:tcPr>
          <w:p w14:paraId="4B65F9A0" w14:textId="77777777" w:rsidR="00C410A2" w:rsidRDefault="00000000">
            <w:pPr>
              <w:spacing w:line="260" w:lineRule="auto"/>
            </w:pPr>
            <w:r>
              <w:rPr>
                <w:rFonts w:ascii="Calibri" w:eastAsia="Calibri" w:hAnsi="Calibri" w:cs="Calibri"/>
                <w:color w:val="000000"/>
                <w:sz w:val="19"/>
                <w:szCs w:val="19"/>
              </w:rPr>
              <w:t>Embedded into customer HCTAs</w:t>
            </w:r>
          </w:p>
        </w:tc>
        <w:tc>
          <w:tcPr>
            <w:tcW w:w="3200" w:type="dxa"/>
            <w:tcMar>
              <w:top w:w="34" w:type="dxa"/>
              <w:left w:w="100" w:type="dxa"/>
              <w:bottom w:w="34" w:type="dxa"/>
              <w:right w:w="100" w:type="dxa"/>
            </w:tcMar>
          </w:tcPr>
          <w:p w14:paraId="22265541" w14:textId="77777777" w:rsidR="00C410A2" w:rsidRDefault="00000000">
            <w:pPr>
              <w:spacing w:line="260" w:lineRule="auto"/>
            </w:pPr>
            <w:r>
              <w:rPr>
                <w:rFonts w:ascii="Calibri" w:eastAsia="Calibri" w:hAnsi="Calibri" w:cs="Calibri"/>
                <w:color w:val="000000"/>
                <w:sz w:val="19"/>
                <w:szCs w:val="19"/>
              </w:rPr>
              <w:t>Project extension</w:t>
            </w:r>
          </w:p>
        </w:tc>
        <w:tc>
          <w:tcPr>
            <w:tcW w:w="3200" w:type="dxa"/>
            <w:tcMar>
              <w:top w:w="34" w:type="dxa"/>
              <w:left w:w="100" w:type="dxa"/>
              <w:bottom w:w="34" w:type="dxa"/>
              <w:right w:w="100" w:type="dxa"/>
            </w:tcMar>
          </w:tcPr>
          <w:p w14:paraId="33A16832" w14:textId="77777777" w:rsidR="00C410A2" w:rsidRDefault="00000000">
            <w:pPr>
              <w:spacing w:line="260" w:lineRule="auto"/>
            </w:pPr>
            <w:r>
              <w:rPr>
                <w:rFonts w:ascii="Calibri" w:eastAsia="Calibri" w:hAnsi="Calibri" w:cs="Calibri"/>
                <w:color w:val="000000"/>
                <w:sz w:val="19"/>
                <w:szCs w:val="19"/>
              </w:rPr>
              <w:t>Agreement with Reporting, who owns production and delivery</w:t>
            </w:r>
          </w:p>
        </w:tc>
      </w:tr>
      <w:tr w:rsidR="00C410A2" w14:paraId="3276F1B3" w14:textId="77777777">
        <w:trPr>
          <w:cantSplit/>
        </w:trPr>
        <w:tblPrEx>
          <w:tblCellMar>
            <w:top w:w="0" w:type="dxa"/>
            <w:bottom w:w="0" w:type="dxa"/>
          </w:tblCellMar>
        </w:tblPrEx>
        <w:tc>
          <w:tcPr>
            <w:tcW w:w="3100" w:type="dxa"/>
            <w:tcMar>
              <w:top w:w="34" w:type="dxa"/>
              <w:left w:w="100" w:type="dxa"/>
              <w:bottom w:w="34" w:type="dxa"/>
              <w:right w:w="100" w:type="dxa"/>
            </w:tcMar>
          </w:tcPr>
          <w:p w14:paraId="3E6601AE" w14:textId="77777777" w:rsidR="00C410A2" w:rsidRDefault="00000000">
            <w:pPr>
              <w:spacing w:line="260" w:lineRule="auto"/>
            </w:pPr>
            <w:r>
              <w:rPr>
                <w:rFonts w:ascii="Calibri" w:eastAsia="Calibri" w:hAnsi="Calibri" w:cs="Calibri"/>
                <w:color w:val="000000"/>
                <w:sz w:val="19"/>
                <w:szCs w:val="19"/>
              </w:rPr>
              <w:t>AI-embedded agent / dashboard</w:t>
            </w:r>
          </w:p>
        </w:tc>
        <w:tc>
          <w:tcPr>
            <w:tcW w:w="3200" w:type="dxa"/>
            <w:tcMar>
              <w:top w:w="34" w:type="dxa"/>
              <w:left w:w="100" w:type="dxa"/>
              <w:bottom w:w="34" w:type="dxa"/>
              <w:right w:w="100" w:type="dxa"/>
            </w:tcMar>
          </w:tcPr>
          <w:p w14:paraId="6A5B39DD" w14:textId="77777777" w:rsidR="00C410A2" w:rsidRDefault="00000000">
            <w:pPr>
              <w:spacing w:line="260" w:lineRule="auto"/>
            </w:pPr>
            <w:r>
              <w:rPr>
                <w:rFonts w:ascii="Calibri" w:eastAsia="Calibri" w:hAnsi="Calibri" w:cs="Calibri"/>
                <w:color w:val="000000"/>
                <w:sz w:val="19"/>
                <w:szCs w:val="19"/>
              </w:rPr>
              <w:t>Project extension</w:t>
            </w:r>
          </w:p>
        </w:tc>
        <w:tc>
          <w:tcPr>
            <w:tcW w:w="3200" w:type="dxa"/>
            <w:tcMar>
              <w:top w:w="34" w:type="dxa"/>
              <w:left w:w="100" w:type="dxa"/>
              <w:bottom w:w="34" w:type="dxa"/>
              <w:right w:w="100" w:type="dxa"/>
            </w:tcMar>
          </w:tcPr>
          <w:p w14:paraId="48C7C254" w14:textId="77777777" w:rsidR="00C410A2" w:rsidRDefault="00000000">
            <w:pPr>
              <w:spacing w:line="260" w:lineRule="auto"/>
            </w:pPr>
            <w:r>
              <w:rPr>
                <w:rFonts w:ascii="Calibri" w:eastAsia="Calibri" w:hAnsi="Calibri" w:cs="Calibri"/>
                <w:color w:val="000000"/>
                <w:sz w:val="19"/>
                <w:szCs w:val="19"/>
              </w:rPr>
              <w:t>Agreement with Infrastructure Modernization, who owns tooling</w:t>
            </w:r>
          </w:p>
        </w:tc>
      </w:tr>
      <w:tr w:rsidR="00C410A2" w14:paraId="3626B227" w14:textId="77777777">
        <w:trPr>
          <w:cantSplit/>
        </w:trPr>
        <w:tblPrEx>
          <w:tblCellMar>
            <w:top w:w="0" w:type="dxa"/>
            <w:bottom w:w="0" w:type="dxa"/>
          </w:tblCellMar>
        </w:tblPrEx>
        <w:tc>
          <w:tcPr>
            <w:tcW w:w="3100" w:type="dxa"/>
            <w:tcMar>
              <w:top w:w="34" w:type="dxa"/>
              <w:left w:w="100" w:type="dxa"/>
              <w:bottom w:w="34" w:type="dxa"/>
              <w:right w:w="100" w:type="dxa"/>
            </w:tcMar>
          </w:tcPr>
          <w:p w14:paraId="18232A0F" w14:textId="77777777" w:rsidR="00C410A2" w:rsidRDefault="00000000">
            <w:pPr>
              <w:spacing w:line="260" w:lineRule="auto"/>
            </w:pPr>
            <w:r>
              <w:rPr>
                <w:rFonts w:ascii="Calibri" w:eastAsia="Calibri" w:hAnsi="Calibri" w:cs="Calibri"/>
                <w:color w:val="000000"/>
                <w:sz w:val="19"/>
                <w:szCs w:val="19"/>
              </w:rPr>
              <w:t>Enhanced / automated reserving</w:t>
            </w:r>
          </w:p>
        </w:tc>
        <w:tc>
          <w:tcPr>
            <w:tcW w:w="3200" w:type="dxa"/>
            <w:tcMar>
              <w:top w:w="34" w:type="dxa"/>
              <w:left w:w="100" w:type="dxa"/>
              <w:bottom w:w="34" w:type="dxa"/>
              <w:right w:w="100" w:type="dxa"/>
            </w:tcMar>
          </w:tcPr>
          <w:p w14:paraId="1811469C" w14:textId="77777777" w:rsidR="00C410A2" w:rsidRDefault="00000000">
            <w:pPr>
              <w:spacing w:line="260" w:lineRule="auto"/>
            </w:pPr>
            <w:r>
              <w:rPr>
                <w:rFonts w:ascii="Calibri" w:eastAsia="Calibri" w:hAnsi="Calibri" w:cs="Calibri"/>
                <w:color w:val="000000"/>
                <w:sz w:val="19"/>
                <w:szCs w:val="19"/>
              </w:rPr>
              <w:t>Project extension</w:t>
            </w:r>
          </w:p>
        </w:tc>
        <w:tc>
          <w:tcPr>
            <w:tcW w:w="3200" w:type="dxa"/>
            <w:tcMar>
              <w:top w:w="34" w:type="dxa"/>
              <w:left w:w="100" w:type="dxa"/>
              <w:bottom w:w="34" w:type="dxa"/>
              <w:right w:w="100" w:type="dxa"/>
            </w:tcMar>
          </w:tcPr>
          <w:p w14:paraId="69CE9B3F" w14:textId="77777777" w:rsidR="00C410A2" w:rsidRDefault="00000000">
            <w:pPr>
              <w:spacing w:line="260" w:lineRule="auto"/>
            </w:pPr>
            <w:r>
              <w:rPr>
                <w:rFonts w:ascii="Calibri" w:eastAsia="Calibri" w:hAnsi="Calibri" w:cs="Calibri"/>
                <w:color w:val="000000"/>
                <w:sz w:val="19"/>
                <w:szCs w:val="19"/>
              </w:rPr>
              <w:t>Separate governance track — opinion-bearing, different validation bar</w:t>
            </w:r>
          </w:p>
        </w:tc>
      </w:tr>
    </w:tbl>
    <w:p w14:paraId="0D99934F" w14:textId="77777777" w:rsidR="00C410A2" w:rsidRDefault="00000000">
      <w:pPr>
        <w:pStyle w:val="Heading1"/>
        <w:keepNext/>
        <w:spacing w:before="105" w:after="60"/>
      </w:pPr>
      <w:r>
        <w:rPr>
          <w:rFonts w:ascii="Calibri" w:eastAsia="Calibri" w:hAnsi="Calibri" w:cs="Calibri"/>
          <w:b/>
          <w:bCs/>
          <w:color w:val="1F3864"/>
          <w:sz w:val="26"/>
          <w:szCs w:val="26"/>
        </w:rPr>
        <w:t>Next Step</w:t>
      </w:r>
    </w:p>
    <w:p>
      <w:pPr>
        <w:spacing w:after="58" w:line="236" w:lineRule="auto"/>
      </w:pPr>
      <w:r>
        <w:rPr>
          <w:rFonts w:ascii="Calibri" w:eastAsia="Calibri" w:hAnsi="Calibri" w:cs="Calibri"/>
          <w:color w:val="000000"/>
          <w:sz w:val="21"/>
          <w:szCs w:val="21"/>
        </w:rPr>
        <w:t xml:space="preserve">Looking for feedback on the framing above, and agreement to run the pilot on [pilot segments] so the accuracy question can be answered by [date].</w:t>
      </w:r>
    </w:p>
    <w:sectPr w:rsidR="00C410A2">
      <w:pgSz w:w="12240" w:h="15840"/>
      <w:pgMar w:top="740" w:right="1260" w:bottom="60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DE1412"/>
    <w:multiLevelType w:val="hybridMultilevel"/>
    <w:tmpl w:val="63CC264A"/>
    <w:lvl w:ilvl="0" w:tplc="3E68A130">
      <w:start w:val="1"/>
      <w:numFmt w:val="bullet"/>
      <w:lvlText w:val="•"/>
      <w:lvlJc w:val="left"/>
      <w:pPr>
        <w:ind w:left="374" w:hanging="244"/>
      </w:pPr>
    </w:lvl>
    <w:lvl w:ilvl="1" w:tplc="213A0454">
      <w:numFmt w:val="decimal"/>
      <w:lvlText w:val=""/>
      <w:lvlJc w:val="left"/>
    </w:lvl>
    <w:lvl w:ilvl="2" w:tplc="78D611D2">
      <w:numFmt w:val="decimal"/>
      <w:lvlText w:val=""/>
      <w:lvlJc w:val="left"/>
    </w:lvl>
    <w:lvl w:ilvl="3" w:tplc="F656CFE8">
      <w:numFmt w:val="decimal"/>
      <w:lvlText w:val=""/>
      <w:lvlJc w:val="left"/>
    </w:lvl>
    <w:lvl w:ilvl="4" w:tplc="869452F4">
      <w:numFmt w:val="decimal"/>
      <w:lvlText w:val=""/>
      <w:lvlJc w:val="left"/>
    </w:lvl>
    <w:lvl w:ilvl="5" w:tplc="C73831CE">
      <w:numFmt w:val="decimal"/>
      <w:lvlText w:val=""/>
      <w:lvlJc w:val="left"/>
    </w:lvl>
    <w:lvl w:ilvl="6" w:tplc="0A942808">
      <w:numFmt w:val="decimal"/>
      <w:lvlText w:val=""/>
      <w:lvlJc w:val="left"/>
    </w:lvl>
    <w:lvl w:ilvl="7" w:tplc="3B2A19F2">
      <w:numFmt w:val="decimal"/>
      <w:lvlText w:val=""/>
      <w:lvlJc w:val="left"/>
    </w:lvl>
    <w:lvl w:ilvl="8" w:tplc="DE029AF6">
      <w:numFmt w:val="decimal"/>
      <w:lvlText w:val=""/>
      <w:lvlJc w:val="left"/>
    </w:lvl>
  </w:abstractNum>
  <w:abstractNum w:abstractNumId="1" w15:restartNumberingAfterBreak="0">
    <w:nsid w:val="34B013A7"/>
    <w:multiLevelType w:val="hybridMultilevel"/>
    <w:tmpl w:val="4398A050"/>
    <w:lvl w:ilvl="0" w:tplc="C742CE28">
      <w:start w:val="1"/>
      <w:numFmt w:val="bullet"/>
      <w:lvlText w:val="●"/>
      <w:lvlJc w:val="left"/>
      <w:pPr>
        <w:ind w:left="720" w:hanging="360"/>
      </w:pPr>
    </w:lvl>
    <w:lvl w:ilvl="1" w:tplc="675A587C">
      <w:start w:val="1"/>
      <w:numFmt w:val="bullet"/>
      <w:lvlText w:val="○"/>
      <w:lvlJc w:val="left"/>
      <w:pPr>
        <w:ind w:left="1440" w:hanging="360"/>
      </w:pPr>
    </w:lvl>
    <w:lvl w:ilvl="2" w:tplc="1DB04742">
      <w:start w:val="1"/>
      <w:numFmt w:val="bullet"/>
      <w:lvlText w:val="■"/>
      <w:lvlJc w:val="left"/>
      <w:pPr>
        <w:ind w:left="2160" w:hanging="360"/>
      </w:pPr>
    </w:lvl>
    <w:lvl w:ilvl="3" w:tplc="29FE7922">
      <w:start w:val="1"/>
      <w:numFmt w:val="bullet"/>
      <w:lvlText w:val="●"/>
      <w:lvlJc w:val="left"/>
      <w:pPr>
        <w:ind w:left="2880" w:hanging="360"/>
      </w:pPr>
    </w:lvl>
    <w:lvl w:ilvl="4" w:tplc="ABB2798C">
      <w:start w:val="1"/>
      <w:numFmt w:val="bullet"/>
      <w:lvlText w:val="○"/>
      <w:lvlJc w:val="left"/>
      <w:pPr>
        <w:ind w:left="3600" w:hanging="360"/>
      </w:pPr>
    </w:lvl>
    <w:lvl w:ilvl="5" w:tplc="82FEEE72">
      <w:start w:val="1"/>
      <w:numFmt w:val="bullet"/>
      <w:lvlText w:val="■"/>
      <w:lvlJc w:val="left"/>
      <w:pPr>
        <w:ind w:left="4320" w:hanging="360"/>
      </w:pPr>
    </w:lvl>
    <w:lvl w:ilvl="6" w:tplc="0D0ABABE">
      <w:start w:val="1"/>
      <w:numFmt w:val="bullet"/>
      <w:lvlText w:val="●"/>
      <w:lvlJc w:val="left"/>
      <w:pPr>
        <w:ind w:left="5040" w:hanging="360"/>
      </w:pPr>
    </w:lvl>
    <w:lvl w:ilvl="7" w:tplc="B0DC758A">
      <w:start w:val="1"/>
      <w:numFmt w:val="bullet"/>
      <w:lvlText w:val="●"/>
      <w:lvlJc w:val="left"/>
      <w:pPr>
        <w:ind w:left="5760" w:hanging="360"/>
      </w:pPr>
    </w:lvl>
    <w:lvl w:ilvl="8" w:tplc="CB92596A">
      <w:start w:val="1"/>
      <w:numFmt w:val="bullet"/>
      <w:lvlText w:val="●"/>
      <w:lvlJc w:val="left"/>
      <w:pPr>
        <w:ind w:left="6480" w:hanging="360"/>
      </w:pPr>
    </w:lvl>
  </w:abstractNum>
  <w:num w:numId="1" w16cid:durableId="2071878280">
    <w:abstractNumId w:val="1"/>
    <w:lvlOverride w:ilvl="0">
      <w:startOverride w:val="1"/>
    </w:lvlOverride>
  </w:num>
  <w:num w:numId="2" w16cid:durableId="12915473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10A2"/>
    <w:rsid w:val="000D6E71"/>
    <w:rsid w:val="002C6324"/>
    <w:rsid w:val="003702EF"/>
    <w:rsid w:val="00AA4E2D"/>
    <w:rsid w:val="00B069FC"/>
    <w:rsid w:val="00C22473"/>
    <w:rsid w:val="00C410A2"/>
    <w:rsid w:val="00DC026D"/>
    <w:rsid w:val="00F336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5038F0B"/>
  <w15:docId w15:val="{F8A3EC12-793A-7E45-B6A8-D2FDA4772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3</Pages>
  <Words>766</Words>
  <Characters>4371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Andrew Swan</cp:lastModifiedBy>
  <cp:revision>2</cp:revision>
  <dcterms:created xsi:type="dcterms:W3CDTF">2026-08-26T15:17:00Z</dcterms:created>
  <dcterms:modified xsi:type="dcterms:W3CDTF">2026-08-26T15:17:00Z</dcterms:modified>
</cp:coreProperties>
</file>