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D138" w14:textId="77777777" w:rsidR="00C410A2" w:rsidRDefault="00000000">
      <w:pPr>
        <w:spacing w:after="50"/>
      </w:pPr>
      <w:r>
        <w:rPr>
          <w:rFonts w:ascii="Calibri" w:eastAsia="Calibri" w:hAnsi="Calibri" w:cs="Calibri"/>
          <w:b/>
          <w:bCs/>
          <w:color w:val="1F3864"/>
          <w:sz w:val="38"/>
          <w:szCs w:val="38"/>
        </w:rPr>
        <w:t>ML Component Forecast</w:t>
      </w:r>
    </w:p>
    <w:p w14:paraId="7DA6975B" w14:textId="77777777" w:rsidR="002C6324" w:rsidRDefault="002C6324">
      <w:pPr>
        <w:pStyle w:val="Heading1"/>
        <w:spacing w:before="150" w:after="82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37F89CE9" w14:textId="2EAEA96D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What This Is</w:t>
      </w:r>
    </w:p>
    <w:p w14:paraId="039842CD" w14:textId="796D4755" w:rsidR="00DC026D" w:rsidRPr="00F33608" w:rsidRDefault="00000000">
      <w:pPr>
        <w:spacing w:after="85" w:line="254" w:lineRule="auto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 lightweight, component-based medical cost forecast. A gradient-boosted </w:t>
      </w:r>
      <w:r w:rsidR="00DC026D">
        <w:rPr>
          <w:rFonts w:ascii="Calibri" w:eastAsia="Calibri" w:hAnsi="Calibri" w:cs="Calibri"/>
          <w:color w:val="000000"/>
          <w:sz w:val="21"/>
          <w:szCs w:val="21"/>
        </w:rPr>
        <w:t>machine learning model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produces separate utilization and unit cost forecasts by service category and market. </w:t>
      </w:r>
      <w:r w:rsidR="00DC026D" w:rsidRPr="00DC026D">
        <w:rPr>
          <w:rFonts w:ascii="Calibri" w:eastAsia="Calibri" w:hAnsi="Calibri" w:cs="Calibri"/>
          <w:color w:val="000000"/>
          <w:sz w:val="21"/>
          <w:szCs w:val="21"/>
        </w:rPr>
        <w:t>It recursively processes claims data using seasonality, recent-experience, and credibility-control features; supports member-risk, respiratory, and other non-claims indexes; and refreshes on a fixed cadence without requiring manual assumption-setting.</w:t>
      </w:r>
    </w:p>
    <w:p w14:paraId="73ADF9B1" w14:textId="1BCA035B" w:rsidR="00C410A2" w:rsidRDefault="00000000">
      <w:pPr>
        <w:spacing w:after="85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It is a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complement to</w:t>
      </w:r>
      <w:r w:rsidR="00F33608">
        <w:rPr>
          <w:rFonts w:ascii="Calibri" w:eastAsia="Calibri" w:hAnsi="Calibri" w:cs="Calibri"/>
          <w:color w:val="000000"/>
          <w:sz w:val="21"/>
          <w:szCs w:val="21"/>
        </w:rPr>
        <w:t xml:space="preserve"> existing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forecast process</w:t>
      </w:r>
      <w:r w:rsidR="00F33608">
        <w:rPr>
          <w:rFonts w:ascii="Calibri" w:eastAsia="Calibri" w:hAnsi="Calibri" w:cs="Calibri"/>
          <w:color w:val="000000"/>
          <w:sz w:val="21"/>
          <w:szCs w:val="21"/>
        </w:rPr>
        <w:t>es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an independent, faster, more granular view used alongside </w:t>
      </w:r>
      <w:r w:rsidR="00F33608">
        <w:rPr>
          <w:rFonts w:ascii="Calibri" w:eastAsia="Calibri" w:hAnsi="Calibri" w:cs="Calibri"/>
          <w:color w:val="000000"/>
          <w:sz w:val="21"/>
          <w:szCs w:val="21"/>
        </w:rPr>
        <w:t>them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7450E6BF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The Problem It Solves</w:t>
      </w:r>
    </w:p>
    <w:p w14:paraId="260204D3" w14:textId="0D8A4445" w:rsidR="00C410A2" w:rsidRDefault="000D6E71">
      <w:pPr>
        <w:spacing w:after="60"/>
        <w:rPr>
          <w:rFonts w:ascii="Calibri" w:eastAsia="Calibri" w:hAnsi="Calibri" w:cs="Calibri"/>
          <w:color w:val="000000"/>
          <w:sz w:val="21"/>
          <w:szCs w:val="21"/>
        </w:rPr>
      </w:pPr>
      <w:r w:rsidRPr="000D6E71">
        <w:rPr>
          <w:rFonts w:ascii="Calibri" w:eastAsia="Calibri" w:hAnsi="Calibri" w:cs="Calibri"/>
          <w:color w:val="000000"/>
          <w:sz w:val="21"/>
          <w:szCs w:val="21"/>
        </w:rPr>
        <w:t>Existing forecasting methods can improve in timeliness, explanatory power, and potentially accuracy. In particular, understanding actual-versus-expected and future performance is essential because unexplained error erodes confidence: a miss that cannot be explained or decomposed produces no correction, leaving the next forecast with no more credibility than the last.</w:t>
      </w:r>
    </w:p>
    <w:p w14:paraId="4F2A32E4" w14:textId="77777777" w:rsidR="000D6E71" w:rsidRDefault="000D6E71">
      <w:pPr>
        <w:spacing w:after="60"/>
      </w:pP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800"/>
      </w:tblGrid>
      <w:tr w:rsidR="00C410A2" w14:paraId="23465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67FEAB2" w14:textId="3488E69D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The </w:t>
            </w:r>
            <w:r w:rsidR="000D6E71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68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45B728C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 this capability addresses it</w:t>
            </w:r>
          </w:p>
        </w:tc>
      </w:tr>
      <w:tr w:rsidR="00C410A2" w14:paraId="358427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C21C53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“I don’t know what’s driving the variance”</w:t>
            </w:r>
          </w:p>
        </w:tc>
        <w:tc>
          <w:tcPr>
            <w:tcW w:w="68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696E2B6" w14:textId="7DEDA52C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Utilization and unit cost are forecast separately by 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detailed splits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so actual vs. expected decomposes into named components instead of arriving as one unexplained aggregate.</w:t>
            </w:r>
          </w:p>
        </w:tc>
      </w:tr>
      <w:tr w:rsidR="00C410A2" w14:paraId="552144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9FB7CD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“The forecast isn’t accurate”</w:t>
            </w:r>
          </w:p>
        </w:tc>
        <w:tc>
          <w:tcPr>
            <w:tcW w:w="68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FF13F97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Improvement requires decomposition. A miss caused by a bad utilization assumption, a completion artifact, or genuine emergence looks identical in aggregate but requires a completely different fix.</w:t>
            </w:r>
          </w:p>
        </w:tc>
      </w:tr>
      <w:tr w:rsidR="00C410A2" w14:paraId="4E93DC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84E72C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“It arrives too late to act on”</w:t>
            </w:r>
          </w:p>
        </w:tc>
        <w:tc>
          <w:tcPr>
            <w:tcW w:w="68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4968C5E" w14:textId="17602169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Produced 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[N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] 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days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earlier with no manual assumption-setting step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</w:tr>
    </w:tbl>
    <w:p w14:paraId="196C9EFC" w14:textId="77777777" w:rsidR="00C410A2" w:rsidRDefault="00C410A2">
      <w:pPr>
        <w:spacing w:after="100"/>
      </w:pPr>
    </w:p>
    <w:p w14:paraId="771BE3FD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This proposal is deliberately scoped against the third and first of those. </w:t>
      </w:r>
      <w:r>
        <w:rPr>
          <w:rFonts w:ascii="Calibri" w:eastAsia="Calibri" w:hAnsi="Calibri" w:cs="Calibri"/>
          <w:color w:val="000000"/>
          <w:sz w:val="21"/>
          <w:szCs w:val="21"/>
        </w:rPr>
        <w:t>Accuracy is treated as a hypothesis to be tested, not a claim to be asserted — see Key Attributes.</w:t>
      </w:r>
    </w:p>
    <w:p w14:paraId="040654D4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Stakeholder Benefits</w:t>
      </w:r>
    </w:p>
    <w:p w14:paraId="01F0FC7F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Organized by who uses it and what decision it changes.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00"/>
        <w:gridCol w:w="3600"/>
      </w:tblGrid>
      <w:tr w:rsidR="00C410A2" w14:paraId="4DDB9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5133F7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34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E75D1C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they get</w:t>
            </w:r>
          </w:p>
        </w:tc>
        <w:tc>
          <w:tcPr>
            <w:tcW w:w="36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8FEB11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Decision it supports</w:t>
            </w:r>
          </w:p>
        </w:tc>
      </w:tr>
      <w:tr w:rsidR="00C410A2" w14:paraId="58141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CF73A1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Affordability teams</w:t>
            </w:r>
          </w:p>
        </w:tc>
        <w:tc>
          <w:tcPr>
            <w:tcW w:w="34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37C3ECD" w14:textId="3368C901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Actual vs. expected variance at </w:t>
            </w:r>
            <w:r w:rsidR="00B069FC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detailed splits (example: service category and market)</w:t>
            </w:r>
          </w:p>
        </w:tc>
        <w:tc>
          <w:tcPr>
            <w:tcW w:w="36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0820C06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Where to target affordability programs; sizing initiative impact</w:t>
            </w:r>
          </w:p>
        </w:tc>
      </w:tr>
      <w:tr w:rsidR="00C410A2" w14:paraId="14845A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680DD9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Executive / commentary</w:t>
            </w:r>
          </w:p>
        </w:tc>
        <w:tc>
          <w:tcPr>
            <w:tcW w:w="34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8C2D3E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Explainable variance narrative with named drivers</w:t>
            </w:r>
          </w:p>
        </w:tc>
        <w:tc>
          <w:tcPr>
            <w:tcW w:w="36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5485F7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Trend commentary; builds confidence that misses are understood, not just reported</w:t>
            </w:r>
          </w:p>
        </w:tc>
      </w:tr>
      <w:tr w:rsidR="00C410A2" w14:paraId="0AB4B5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48D4EBA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Financial forecast / pricing</w:t>
            </w:r>
          </w:p>
        </w:tc>
        <w:tc>
          <w:tcPr>
            <w:tcW w:w="34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C12149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 earlier, independent view of emerging cost</w:t>
            </w:r>
          </w:p>
        </w:tc>
        <w:tc>
          <w:tcPr>
            <w:tcW w:w="36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CAC57E4" w14:textId="20A1A20E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Timing and </w:t>
            </w:r>
            <w:r w:rsidR="00B069FC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increased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confidence of the forecast that feeds pricing</w:t>
            </w:r>
          </w:p>
        </w:tc>
      </w:tr>
    </w:tbl>
    <w:p w14:paraId="51AE2EA4" w14:textId="77777777" w:rsidR="00C410A2" w:rsidRDefault="00C410A2">
      <w:pPr>
        <w:spacing w:after="110"/>
      </w:pPr>
    </w:p>
    <w:p w14:paraId="22402EE2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Also benefits, secondarily: </w:t>
      </w:r>
      <w:r>
        <w:rPr>
          <w:rFonts w:ascii="Calibri" w:eastAsia="Calibri" w:hAnsi="Calibri" w:cs="Calibri"/>
          <w:color w:val="000000"/>
          <w:sz w:val="21"/>
          <w:szCs w:val="21"/>
        </w:rPr>
        <w:t>market-level actuarial (consistent bottom-up forecasts by market) and business actuarial teams (a lightweight alternative view for triangulation against the submitted forecast).</w:t>
      </w:r>
    </w:p>
    <w:p w14:paraId="13535DC2" w14:textId="77777777" w:rsidR="00C410A2" w:rsidRDefault="00C410A2">
      <w:pPr>
        <w:spacing w:after="100"/>
      </w:pPr>
    </w:p>
    <w:p w14:paraId="0040A429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Primary decision owner: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[name]. 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A proposal without a named owner for at least one decision above should not proceed.</w:t>
      </w:r>
    </w:p>
    <w:p w14:paraId="4AE673B7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What It Looks Like</w:t>
      </w:r>
    </w:p>
    <w:p w14:paraId="05F1FD84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 xml:space="preserve">Every row is one forecast, for one month, for one service category and market — tagged with the vintage it was produced from. That structure is what makes the output both bridgeable and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backtestable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00"/>
        <w:gridCol w:w="2900"/>
      </w:tblGrid>
      <w:tr w:rsidR="00C410A2" w14:paraId="6437D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F975E2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5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D032C7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9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DCEDE6C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Behavior</w:t>
            </w:r>
          </w:p>
        </w:tc>
      </w:tr>
      <w:tr w:rsidR="00C410A2" w14:paraId="2D349E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C4EE382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Run_Date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97AC2B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When the forecast was produced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58C2A0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Varies by origin</w:t>
            </w:r>
          </w:p>
        </w:tc>
      </w:tr>
      <w:tr w:rsidR="00C410A2" w14:paraId="5651F2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6C05696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Data_Thru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BC6967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Last month of data available at that origin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C86B16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Varies by origin</w:t>
            </w:r>
          </w:p>
        </w:tc>
      </w:tr>
      <w:tr w:rsidR="00C410A2" w14:paraId="7CBAAB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0D4BA6A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Input_Runout_Thru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C003E6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Maturity of that data as of the origin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066398D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Varies by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origin 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TO ADD</w:t>
            </w:r>
          </w:p>
        </w:tc>
      </w:tr>
      <w:tr w:rsidR="00C410A2" w14:paraId="4DC287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0409027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Runout_Thru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7E6E2D6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Maturity at which actuals are scored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F990E3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Held fixed and mature</w:t>
            </w:r>
          </w:p>
        </w:tc>
      </w:tr>
      <w:tr w:rsidR="00C410A2" w14:paraId="24559A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AE5814A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Fx_Month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19DC6D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Month being forecast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CE18FC6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Horizon h = 1…N</w:t>
            </w:r>
          </w:p>
        </w:tc>
      </w:tr>
      <w:tr w:rsidR="00C410A2" w14:paraId="3056C8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308F5A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Service Category / Market</w:t>
            </w:r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9C42BA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Cut of the forecast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5CBA3C6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cross</w:t>
            </w:r>
          </w:p>
        </w:tc>
      </w:tr>
      <w:tr w:rsidR="00C410A2" w14:paraId="1AE884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C4EF350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Util_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/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UC_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/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PMPM_Fx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BD90686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Utilization, unit cost, and resulting PMPM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FDC20F0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Components forecast separately</w:t>
            </w:r>
          </w:p>
        </w:tc>
      </w:tr>
    </w:tbl>
    <w:p w14:paraId="652A89D9" w14:textId="77777777" w:rsidR="00C410A2" w:rsidRDefault="00C410A2">
      <w:pPr>
        <w:spacing w:after="105"/>
      </w:pPr>
    </w:p>
    <w:p w14:paraId="2BF72E2A" w14:textId="77777777" w:rsidR="00C410A2" w:rsidRDefault="00000000">
      <w:pPr>
        <w:spacing w:after="60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Consumers: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Executive Forecast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Summary  ·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Dashboard  ·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 HCTA inputs</w:t>
      </w:r>
    </w:p>
    <w:p w14:paraId="44B2BD0D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Note on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Input_Runout_Thru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Today every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origin is fed data at current runout, so a forecast nominally made in early 2025 receives fully mature 2024-12 claims it could not have had. That is hindsight leakage on completion: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results will overstate live performance. Separating input maturity from scoring maturity is a prerequisite for the accuracy test below, not an enhancement.</w:t>
      </w:r>
    </w:p>
    <w:p w14:paraId="180B739E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Attributes</w:t>
      </w:r>
    </w:p>
    <w:p w14:paraId="0A5F2A5A" w14:textId="77777777" w:rsidR="00C410A2" w:rsidRDefault="00000000">
      <w:pPr>
        <w:spacing w:after="6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Split deliberately into what is demonstrable today and what is still a hypothesis. Both belong in the proposal; conflating them is what erodes credibility.</w:t>
      </w:r>
    </w:p>
    <w:p w14:paraId="7FE869C7" w14:textId="77777777" w:rsidR="00C410A2" w:rsidRDefault="00000000">
      <w:pPr>
        <w:spacing w:before="115" w:after="65"/>
      </w:pPr>
      <w:r>
        <w:rPr>
          <w:rFonts w:ascii="Calibri" w:eastAsia="Calibri" w:hAnsi="Calibri" w:cs="Calibri"/>
          <w:b/>
          <w:bCs/>
          <w:color w:val="1E6B3A"/>
          <w:sz w:val="22"/>
          <w:szCs w:val="22"/>
        </w:rPr>
        <w:t>Proven today — does not depend on winning an accuracy argument</w:t>
      </w:r>
    </w:p>
    <w:p w14:paraId="122EE225" w14:textId="6BEE95B4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Light touch.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Produced [N] </w:t>
      </w:r>
      <w:r w:rsidR="00B069FC">
        <w:rPr>
          <w:rFonts w:ascii="Calibri" w:eastAsia="Calibri" w:hAnsi="Calibri" w:cs="Calibri"/>
          <w:color w:val="000000"/>
          <w:sz w:val="21"/>
          <w:szCs w:val="21"/>
        </w:rPr>
        <w:t>days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earlier in the cycle, with materially less manual effort per cycle — shifting analyst time from production to diagnosis.</w:t>
      </w:r>
    </w:p>
    <w:p w14:paraId="2BA659AB" w14:textId="385725E0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Component separation. </w:t>
      </w:r>
      <w:r>
        <w:rPr>
          <w:rFonts w:ascii="Calibri" w:eastAsia="Calibri" w:hAnsi="Calibri" w:cs="Calibri"/>
          <w:color w:val="000000"/>
          <w:sz w:val="21"/>
          <w:szCs w:val="21"/>
        </w:rPr>
        <w:t>Utilization and unit cost forecast independently</w:t>
      </w:r>
    </w:p>
    <w:p w14:paraId="27CABFC0" w14:textId="0254DFAA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Granularity. </w:t>
      </w:r>
      <w:r>
        <w:rPr>
          <w:rFonts w:ascii="Calibri" w:eastAsia="Calibri" w:hAnsi="Calibri" w:cs="Calibri"/>
          <w:color w:val="000000"/>
          <w:sz w:val="21"/>
          <w:szCs w:val="21"/>
        </w:rPr>
        <w:t>Service category × market</w:t>
      </w:r>
    </w:p>
    <w:p w14:paraId="282AFF4B" w14:textId="0D1535B5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Variance explainability.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Actual vs. expected decomposes into named components rather than arriving as a single unexplained aggregate. </w:t>
      </w:r>
    </w:p>
    <w:p w14:paraId="1490B238" w14:textId="77777777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Backtesting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framework.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Any method — including the incumbent — can be scored against the same history on the same footing. 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This is the most durable asset in the project and outlives the current model.</w:t>
      </w:r>
    </w:p>
    <w:p w14:paraId="0E11DD3F" w14:textId="77777777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Consistent across LOBs. </w:t>
      </w:r>
      <w:r>
        <w:rPr>
          <w:rFonts w:ascii="Calibri" w:eastAsia="Calibri" w:hAnsi="Calibri" w:cs="Calibri"/>
          <w:color w:val="000000"/>
          <w:sz w:val="21"/>
          <w:szCs w:val="21"/>
        </w:rPr>
        <w:t>One framework rather than per-segment bespoke methods, which is what makes results comparable across the enterprise.</w:t>
      </w:r>
    </w:p>
    <w:p w14:paraId="5E6177A0" w14:textId="77777777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Integrates business-provided indexes. </w:t>
      </w:r>
      <w:r>
        <w:rPr>
          <w:rFonts w:ascii="Calibri" w:eastAsia="Calibri" w:hAnsi="Calibri" w:cs="Calibri"/>
          <w:color w:val="000000"/>
          <w:sz w:val="21"/>
          <w:szCs w:val="21"/>
        </w:rPr>
        <w:t>Consumes the indexes already supplied to the businesses rather than introducing a competing set.</w:t>
      </w:r>
    </w:p>
    <w:p w14:paraId="5C3728BD" w14:textId="77777777" w:rsidR="00C410A2" w:rsidRDefault="00000000">
      <w:pPr>
        <w:spacing w:before="115" w:after="65"/>
      </w:pPr>
      <w:r>
        <w:rPr>
          <w:rFonts w:ascii="Calibri" w:eastAsia="Calibri" w:hAnsi="Calibri" w:cs="Calibri"/>
          <w:b/>
          <w:bCs/>
          <w:color w:val="9C5A00"/>
          <w:sz w:val="22"/>
          <w:szCs w:val="22"/>
        </w:rPr>
        <w:t>Under test — stated as a hypothesis, not a claim</w:t>
      </w:r>
    </w:p>
    <w:p w14:paraId="4B22BEEA" w14:textId="77777777" w:rsidR="00C410A2" w:rsidRDefault="00000000">
      <w:pPr>
        <w:pBdr>
          <w:left w:val="single" w:sz="12" w:space="10" w:color="9C5A00"/>
        </w:pBdr>
        <w:spacing w:before="40" w:after="110" w:line="254" w:lineRule="auto"/>
        <w:ind w:left="403"/>
      </w:pPr>
      <w:r>
        <w:rPr>
          <w:rFonts w:ascii="Calibri" w:eastAsia="Calibri" w:hAnsi="Calibri" w:cs="Calibri"/>
          <w:b/>
          <w:bCs/>
          <w:sz w:val="21"/>
          <w:szCs w:val="21"/>
        </w:rPr>
        <w:t>H1: The ML component forecast matches or beats the incumbent method on [error metric] at horizons h ≤ [3], for [pilot segments].</w:t>
      </w:r>
    </w:p>
    <w:p w14:paraId="0F02F233" w14:textId="77777777" w:rsidR="00C410A2" w:rsidRDefault="00000000">
      <w:pPr>
        <w:spacing w:after="60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Test: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across [N] origins using the framework above, scored at fixed runout maturity.  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Answer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by: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000000"/>
          <w:sz w:val="21"/>
          <w:szCs w:val="21"/>
        </w:rPr>
        <w:t>[date].</w:t>
      </w:r>
    </w:p>
    <w:p w14:paraId="7F12442C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If H1 fails, the capability may still be justified on timeliness and granularity alone — or it may not. That call is made against the criteria below, not renegotiated afterward.</w:t>
      </w:r>
    </w:p>
    <w:p w14:paraId="7ACE4E48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Success and Stop Criteria</w:t>
      </w:r>
    </w:p>
    <w:p w14:paraId="579E1B90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Committed in advance, per the innovation portfolio standard.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2200"/>
        <w:gridCol w:w="2200"/>
      </w:tblGrid>
      <w:tr w:rsidR="00C410A2" w14:paraId="7C083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7944372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22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DEC47FA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Pilot target</w:t>
            </w:r>
          </w:p>
        </w:tc>
        <w:tc>
          <w:tcPr>
            <w:tcW w:w="22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C921A50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By</w:t>
            </w:r>
          </w:p>
        </w:tc>
      </w:tr>
      <w:tr w:rsidR="00C410A2" w14:paraId="79E36208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21B978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Forecast available after close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7912A5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[N] business days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7119DE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[date]</w:t>
            </w:r>
          </w:p>
        </w:tc>
      </w:tr>
      <w:tr w:rsidR="00C410A2" w14:paraId="291847E3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334D940" w14:textId="77777777" w:rsidR="00C410A2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Backtest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origins evaluated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D7F27F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[N]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22D260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[date]</w:t>
            </w:r>
          </w:p>
        </w:tc>
      </w:tr>
      <w:tr w:rsidR="00C410A2" w14:paraId="0D90D267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38AA08A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H1 outcome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83D962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Documented either way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DB5ABE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[date]</w:t>
            </w:r>
          </w:p>
        </w:tc>
      </w:tr>
      <w:tr w:rsidR="00C410A2" w14:paraId="65651ACD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7E47B3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Variance residual (unattributed)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357662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[X]% of gross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AF71ECB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[date]</w:t>
            </w:r>
          </w:p>
        </w:tc>
      </w:tr>
      <w:tr w:rsidR="00C410A2" w14:paraId="1D7CAB60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2C2082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Adoption in a recurring forum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8BEDC2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[1]</w:t>
            </w:r>
          </w:p>
        </w:tc>
        <w:tc>
          <w:tcPr>
            <w:tcW w:w="2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D10182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[date]</w:t>
            </w:r>
          </w:p>
        </w:tc>
      </w:tr>
    </w:tbl>
    <w:p w14:paraId="52C755B8" w14:textId="77777777" w:rsidR="00C410A2" w:rsidRDefault="00C410A2">
      <w:pPr>
        <w:spacing w:after="100"/>
      </w:pPr>
    </w:p>
    <w:p w14:paraId="44305780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Stop: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H1 fails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and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no timeliness or granularity benefit is used in a live decision by [date] — stop, document, do not scale. Separately, if the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cannot be made vintage-correct, stop and escalate to Data Foundation rather than proceed on results that will not hold up.</w:t>
      </w:r>
    </w:p>
    <w:p w14:paraId="0D99934F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Roadmap Beyond v1</w:t>
      </w:r>
    </w:p>
    <w:p w14:paraId="57B4EDF4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Merged into one sequence so the scope of v1 is unambiguous. Nothing below is being requested now.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200"/>
        <w:gridCol w:w="3200"/>
      </w:tblGrid>
      <w:tr w:rsidR="00C410A2" w14:paraId="5F322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319829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2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4B358E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F66A0C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unlocks it</w:t>
            </w:r>
          </w:p>
        </w:tc>
      </w:tr>
      <w:tr w:rsidR="00C410A2" w14:paraId="765ED06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1650AB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Non-claims data sources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C57DF00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 expansion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212CD6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H1 answered; Data Foundation availability</w:t>
            </w:r>
          </w:p>
        </w:tc>
      </w:tr>
      <w:tr w:rsidR="00C410A2" w14:paraId="501EDF3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E6E773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Expanded model classes (e.g. neural networks)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EDFFA1A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 expansion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18AAD1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Evidence that model class is the binding constraint, not data</w:t>
            </w:r>
          </w:p>
        </w:tc>
      </w:tr>
      <w:tr w:rsidR="00C410A2" w14:paraId="522707E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B65F9A0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Embedded into customer HCTAs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226554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 extension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3A16832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Agreement with Reporting, who owns production and delivery</w:t>
            </w:r>
          </w:p>
        </w:tc>
      </w:tr>
      <w:tr w:rsidR="00C410A2" w14:paraId="3276F1B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E6601AE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AI-embedded agent / dashboard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A5B39DD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 extension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8C7C25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Agreement with Infrastructure Modernization, who owns tooling</w:t>
            </w:r>
          </w:p>
        </w:tc>
      </w:tr>
      <w:tr w:rsidR="00C410A2" w14:paraId="3626B22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8232A0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Enhanced / automated reserving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811469C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 extension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9CE9B3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Separate governance track — opinion-bearing, different validation bar</w:t>
            </w:r>
          </w:p>
        </w:tc>
      </w:tr>
    </w:tbl>
    <w:p w14:paraId="058D5C16" w14:textId="77777777" w:rsidR="00C410A2" w:rsidRDefault="00C410A2">
      <w:pPr>
        <w:spacing w:after="100"/>
      </w:pPr>
    </w:p>
    <w:p w14:paraId="4FED2235" w14:textId="01BA1609" w:rsidR="00C410A2" w:rsidRDefault="00C410A2">
      <w:pPr>
        <w:pBdr>
          <w:top w:val="single" w:sz="6" w:space="10" w:color="BFBFBF"/>
        </w:pBdr>
        <w:spacing w:before="160" w:line="258" w:lineRule="auto"/>
      </w:pPr>
    </w:p>
    <w:sectPr w:rsidR="00C410A2">
      <w:pgSz w:w="12240" w:h="15840"/>
      <w:pgMar w:top="860" w:right="1280" w:bottom="72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1412"/>
    <w:multiLevelType w:val="hybridMultilevel"/>
    <w:tmpl w:val="63CC264A"/>
    <w:lvl w:ilvl="0" w:tplc="3E68A130">
      <w:start w:val="1"/>
      <w:numFmt w:val="bullet"/>
      <w:lvlText w:val="•"/>
      <w:lvlJc w:val="left"/>
      <w:pPr>
        <w:ind w:left="374" w:hanging="244"/>
      </w:pPr>
    </w:lvl>
    <w:lvl w:ilvl="1" w:tplc="213A0454">
      <w:numFmt w:val="decimal"/>
      <w:lvlText w:val=""/>
      <w:lvlJc w:val="left"/>
    </w:lvl>
    <w:lvl w:ilvl="2" w:tplc="78D611D2">
      <w:numFmt w:val="decimal"/>
      <w:lvlText w:val=""/>
      <w:lvlJc w:val="left"/>
    </w:lvl>
    <w:lvl w:ilvl="3" w:tplc="F656CFE8">
      <w:numFmt w:val="decimal"/>
      <w:lvlText w:val=""/>
      <w:lvlJc w:val="left"/>
    </w:lvl>
    <w:lvl w:ilvl="4" w:tplc="869452F4">
      <w:numFmt w:val="decimal"/>
      <w:lvlText w:val=""/>
      <w:lvlJc w:val="left"/>
    </w:lvl>
    <w:lvl w:ilvl="5" w:tplc="C73831CE">
      <w:numFmt w:val="decimal"/>
      <w:lvlText w:val=""/>
      <w:lvlJc w:val="left"/>
    </w:lvl>
    <w:lvl w:ilvl="6" w:tplc="0A942808">
      <w:numFmt w:val="decimal"/>
      <w:lvlText w:val=""/>
      <w:lvlJc w:val="left"/>
    </w:lvl>
    <w:lvl w:ilvl="7" w:tplc="3B2A19F2">
      <w:numFmt w:val="decimal"/>
      <w:lvlText w:val=""/>
      <w:lvlJc w:val="left"/>
    </w:lvl>
    <w:lvl w:ilvl="8" w:tplc="DE029AF6">
      <w:numFmt w:val="decimal"/>
      <w:lvlText w:val=""/>
      <w:lvlJc w:val="left"/>
    </w:lvl>
  </w:abstractNum>
  <w:abstractNum w:abstractNumId="1" w15:restartNumberingAfterBreak="0">
    <w:nsid w:val="34B013A7"/>
    <w:multiLevelType w:val="hybridMultilevel"/>
    <w:tmpl w:val="4398A050"/>
    <w:lvl w:ilvl="0" w:tplc="C742CE28">
      <w:start w:val="1"/>
      <w:numFmt w:val="bullet"/>
      <w:lvlText w:val="●"/>
      <w:lvlJc w:val="left"/>
      <w:pPr>
        <w:ind w:left="720" w:hanging="360"/>
      </w:pPr>
    </w:lvl>
    <w:lvl w:ilvl="1" w:tplc="675A587C">
      <w:start w:val="1"/>
      <w:numFmt w:val="bullet"/>
      <w:lvlText w:val="○"/>
      <w:lvlJc w:val="left"/>
      <w:pPr>
        <w:ind w:left="1440" w:hanging="360"/>
      </w:pPr>
    </w:lvl>
    <w:lvl w:ilvl="2" w:tplc="1DB04742">
      <w:start w:val="1"/>
      <w:numFmt w:val="bullet"/>
      <w:lvlText w:val="■"/>
      <w:lvlJc w:val="left"/>
      <w:pPr>
        <w:ind w:left="2160" w:hanging="360"/>
      </w:pPr>
    </w:lvl>
    <w:lvl w:ilvl="3" w:tplc="29FE7922">
      <w:start w:val="1"/>
      <w:numFmt w:val="bullet"/>
      <w:lvlText w:val="●"/>
      <w:lvlJc w:val="left"/>
      <w:pPr>
        <w:ind w:left="2880" w:hanging="360"/>
      </w:pPr>
    </w:lvl>
    <w:lvl w:ilvl="4" w:tplc="ABB2798C">
      <w:start w:val="1"/>
      <w:numFmt w:val="bullet"/>
      <w:lvlText w:val="○"/>
      <w:lvlJc w:val="left"/>
      <w:pPr>
        <w:ind w:left="3600" w:hanging="360"/>
      </w:pPr>
    </w:lvl>
    <w:lvl w:ilvl="5" w:tplc="82FEEE72">
      <w:start w:val="1"/>
      <w:numFmt w:val="bullet"/>
      <w:lvlText w:val="■"/>
      <w:lvlJc w:val="left"/>
      <w:pPr>
        <w:ind w:left="4320" w:hanging="360"/>
      </w:pPr>
    </w:lvl>
    <w:lvl w:ilvl="6" w:tplc="0D0ABABE">
      <w:start w:val="1"/>
      <w:numFmt w:val="bullet"/>
      <w:lvlText w:val="●"/>
      <w:lvlJc w:val="left"/>
      <w:pPr>
        <w:ind w:left="5040" w:hanging="360"/>
      </w:pPr>
    </w:lvl>
    <w:lvl w:ilvl="7" w:tplc="B0DC758A">
      <w:start w:val="1"/>
      <w:numFmt w:val="bullet"/>
      <w:lvlText w:val="●"/>
      <w:lvlJc w:val="left"/>
      <w:pPr>
        <w:ind w:left="5760" w:hanging="360"/>
      </w:pPr>
    </w:lvl>
    <w:lvl w:ilvl="8" w:tplc="CB92596A">
      <w:start w:val="1"/>
      <w:numFmt w:val="bullet"/>
      <w:lvlText w:val="●"/>
      <w:lvlJc w:val="left"/>
      <w:pPr>
        <w:ind w:left="6480" w:hanging="360"/>
      </w:pPr>
    </w:lvl>
  </w:abstractNum>
  <w:num w:numId="1" w16cid:durableId="2071878280">
    <w:abstractNumId w:val="1"/>
    <w:lvlOverride w:ilvl="0">
      <w:startOverride w:val="1"/>
    </w:lvlOverride>
  </w:num>
  <w:num w:numId="2" w16cid:durableId="1291547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A2"/>
    <w:rsid w:val="000D6E71"/>
    <w:rsid w:val="002C6324"/>
    <w:rsid w:val="00AA4E2D"/>
    <w:rsid w:val="00B069FC"/>
    <w:rsid w:val="00C22473"/>
    <w:rsid w:val="00C410A2"/>
    <w:rsid w:val="00DC026D"/>
    <w:rsid w:val="00F3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38F0B"/>
  <w15:docId w15:val="{F8A3EC12-793A-7E45-B6A8-D2FDA477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Swan</cp:lastModifiedBy>
  <cp:revision>6</cp:revision>
  <dcterms:created xsi:type="dcterms:W3CDTF">2026-08-26T13:28:00Z</dcterms:created>
  <dcterms:modified xsi:type="dcterms:W3CDTF">2026-08-26T14:19:00Z</dcterms:modified>
</cp:coreProperties>
</file>