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EAEA" w14:textId="77777777" w:rsidR="005F7B36" w:rsidRDefault="00000000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ML Component Forecast — Project Proposal</w:t>
      </w:r>
    </w:p>
    <w:p w14:paraId="283E001B" w14:textId="77777777" w:rsidR="005F7B36" w:rsidRDefault="00000000">
      <w:pPr>
        <w:pBdr>
          <w:bottom w:val="single" w:sz="10" w:space="6" w:color="1F3864"/>
        </w:pBdr>
        <w:spacing w:after="200"/>
      </w:pP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v0.1 </w:t>
      </w:r>
      <w:proofErr w:type="gramStart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DRAFT  |</w:t>
      </w:r>
      <w:proofErr w:type="gramEnd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  [</w:t>
      </w:r>
      <w:proofErr w:type="gramStart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Owner]  |</w:t>
      </w:r>
      <w:proofErr w:type="gramEnd"/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  [Date]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F7B36" w14:paraId="32E3E7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6D144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Proposed by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70627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VP, Actuarial Methods &amp; Forecast Modernization</w:t>
            </w:r>
          </w:p>
        </w:tc>
      </w:tr>
      <w:tr w:rsidR="005F7B36" w14:paraId="72E161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630B0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Sponsor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6C0DA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[SVP, Risk &amp; Analytics Modernization]</w:t>
            </w:r>
          </w:p>
        </w:tc>
      </w:tr>
      <w:tr w:rsidR="005F7B36" w14:paraId="3D0369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B0B51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Business sponsor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DECD3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[Named leader who owns the decision in §2]</w:t>
            </w:r>
          </w:p>
        </w:tc>
      </w:tr>
      <w:tr w:rsidR="005F7B36" w14:paraId="3C1150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09CCA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Stage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BBF29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Proof of concept → pilot</w:t>
            </w:r>
          </w:p>
        </w:tc>
      </w:tr>
      <w:tr w:rsidR="005F7B36" w14:paraId="7111B4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E993A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Decision requested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94B12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Approve pilot scope, resourcing, and the success/stop criteria in §6</w:t>
            </w:r>
          </w:p>
        </w:tc>
      </w:tr>
    </w:tbl>
    <w:p w14:paraId="4F55C0B5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 What this is</w:t>
      </w:r>
    </w:p>
    <w:p w14:paraId="27CEC1D6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A lightweight, component-based medical cost forecast. A gradient-boosted model (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LightGBM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) produces separate utilization and unit cost forecasts by service category and market, which roll up to PMPM. It runs recursively on claims data with seasonality and recent-experience features, and refreshes on a fixed cadence with no manual intervention.</w:t>
      </w:r>
    </w:p>
    <w:p w14:paraId="41EEFFAA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It is a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complement to</w:t>
      </w:r>
      <w:r>
        <w:rPr>
          <w:rFonts w:ascii="Calibri" w:eastAsia="Calibri" w:hAnsi="Calibri" w:cs="Calibri"/>
          <w:color w:val="000000"/>
          <w:sz w:val="21"/>
          <w:szCs w:val="21"/>
        </w:rPr>
        <w:t>, not a replacement for, the current forecast process. It is designed to be produced early in the cycle, at finer granularity, and to be scored honestly against history.</w:t>
      </w:r>
    </w:p>
    <w:p w14:paraId="08D2FD32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2.  The decision </w:t>
      </w:r>
      <w:proofErr w:type="gram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this changes</w:t>
      </w:r>
      <w:proofErr w:type="gramEnd"/>
    </w:p>
    <w:p w14:paraId="214811E0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Today, [describe the decision — e.g. the monthly trend review / affordability target setting / the first cut of the financial forecast that feeds pricing] is made [N] weeks after close, at [current granularity], with limited ability to see which components moved.</w:t>
      </w:r>
    </w:p>
    <w:p w14:paraId="64E28661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This capability supplies that decision with a forecast available at [target timing], decomposed by service category and market, and traceable to specific drivers.</w:t>
      </w:r>
    </w:p>
    <w:p w14:paraId="614A266E" w14:textId="77777777" w:rsidR="005F7B36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Decision owner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000000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name]</w:t>
      </w:r>
    </w:p>
    <w:p w14:paraId="74B13914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Without a named decision and owner, this proposal should not proceed.</w:t>
      </w:r>
    </w:p>
    <w:p w14:paraId="4DE79C6A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3.  What it does today — demonstrable now, not asserted</w:t>
      </w:r>
    </w:p>
    <w:p w14:paraId="49687AC7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These do not depend on winning an accuracy argument:</w:t>
      </w:r>
    </w:p>
    <w:p w14:paraId="483B1031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Timeliness. </w:t>
      </w:r>
      <w:r>
        <w:rPr>
          <w:rFonts w:ascii="Calibri" w:eastAsia="Calibri" w:hAnsi="Calibri" w:cs="Calibri"/>
          <w:color w:val="000000"/>
          <w:sz w:val="21"/>
          <w:szCs w:val="21"/>
        </w:rPr>
        <w:t>Produced [N] weeks earlier in the cycle than the current process, because it requires no manual assumption-setting step.</w:t>
      </w:r>
    </w:p>
    <w:p w14:paraId="1CE8F0DC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Granularity. </w:t>
      </w:r>
      <w:r>
        <w:rPr>
          <w:rFonts w:ascii="Calibri" w:eastAsia="Calibri" w:hAnsi="Calibri" w:cs="Calibri"/>
          <w:color w:val="000000"/>
          <w:sz w:val="21"/>
          <w:szCs w:val="21"/>
        </w:rPr>
        <w:t>Forecasts at service category × market, with utilization and unit cost separated. The current process produces [current granularity].</w:t>
      </w:r>
    </w:p>
    <w:p w14:paraId="2F6CDF38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Component separation. </w:t>
      </w:r>
      <w:r>
        <w:rPr>
          <w:rFonts w:ascii="Calibri" w:eastAsia="Calibri" w:hAnsi="Calibri" w:cs="Calibri"/>
          <w:color w:val="000000"/>
          <w:sz w:val="21"/>
          <w:szCs w:val="21"/>
        </w:rPr>
        <w:t>Because utilization and unit cost are forecast independently, output is decomposable. A PMPM-only forecast cannot be taken apart after the fact.</w:t>
      </w:r>
    </w:p>
    <w:p w14:paraId="7EBC4321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 vintage-correct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harness.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Any method can be evaluated against the same history on the same footing, including the incumbent. 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This is the most durable asset in the </w:t>
      </w:r>
      <w:proofErr w:type="gramStart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project</w:t>
      </w:r>
      <w:proofErr w:type="gramEnd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and it outlives this model — see §9.</w:t>
      </w:r>
    </w:p>
    <w:p w14:paraId="17683663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Consistency across LOBs. </w:t>
      </w:r>
      <w:r>
        <w:rPr>
          <w:rFonts w:ascii="Calibri" w:eastAsia="Calibri" w:hAnsi="Calibri" w:cs="Calibri"/>
          <w:color w:val="000000"/>
          <w:sz w:val="21"/>
          <w:szCs w:val="21"/>
        </w:rPr>
        <w:t>One framework rather than per-segment bespoke methods.</w:t>
      </w:r>
    </w:p>
    <w:p w14:paraId="13FB2EF0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4.  Hypothesis under test — accuracy</w:t>
      </w:r>
    </w:p>
    <w:p w14:paraId="26445ECB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lastRenderedPageBreak/>
        <w:t xml:space="preserve">Accuracy is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not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claimed. It is stated as a falsifiable hypothesis with a test and a date:</w:t>
      </w:r>
    </w:p>
    <w:p w14:paraId="27F54EAA" w14:textId="77777777" w:rsidR="005F7B36" w:rsidRDefault="00000000">
      <w:pPr>
        <w:pBdr>
          <w:left w:val="single" w:sz="12" w:space="10" w:color="1F3864"/>
        </w:pBdr>
        <w:spacing w:before="60" w:after="140" w:line="276" w:lineRule="auto"/>
        <w:ind w:left="431"/>
      </w:pPr>
      <w:r>
        <w:rPr>
          <w:rFonts w:ascii="Calibri" w:eastAsia="Calibri" w:hAnsi="Calibri" w:cs="Calibri"/>
          <w:b/>
          <w:bCs/>
          <w:sz w:val="21"/>
          <w:szCs w:val="21"/>
        </w:rPr>
        <w:t>H1: The ML component forecast matches or beats the incumbent method on [chosen error metric] at horizons h ≤ [3], for [pilot segments].</w:t>
      </w:r>
    </w:p>
    <w:p w14:paraId="08D79D16" w14:textId="77777777" w:rsidR="005F7B36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Test: 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across [N] forecast origins using the harness in §9, scored at a fixed runout maturity.</w:t>
      </w:r>
    </w:p>
    <w:p w14:paraId="52B219DA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Answer by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000000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date].</w:t>
      </w:r>
    </w:p>
    <w:p w14:paraId="15969744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If H1 fails, the capability may still be justified on timeliness and granularity alone — or it may not. That call is made against §6, not renegotiated afterward.</w:t>
      </w:r>
    </w:p>
    <w:p w14:paraId="4D35C1BA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5.  How it supports variance explanation</w:t>
      </w:r>
    </w:p>
    <w:p w14:paraId="2255D4FD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The strongest near-term use is not the forecast. It is explaining the miss.</w:t>
      </w:r>
    </w:p>
    <w:p w14:paraId="51D8AE46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Because utilization and unit cost are forecast separately by service category and market, forecast-to-actual variance decomposes into named components rather than arriving as a single unexplained aggregate. Output maps to the enterprise variance bridge through a governed feature-to-driver crosswalk, so ML attribution and actuarial attribution can be discussed in the same vocabulary.</w:t>
      </w:r>
    </w:p>
    <w:p w14:paraId="00A28E66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Two commitments that make this credible rather than decorative:</w:t>
      </w:r>
    </w:p>
    <w:p w14:paraId="773D7FCC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The residual stays visible. </w:t>
      </w:r>
      <w:r>
        <w:rPr>
          <w:rFonts w:ascii="Calibri" w:eastAsia="Calibri" w:hAnsi="Calibri" w:cs="Calibri"/>
          <w:color w:val="000000"/>
          <w:sz w:val="21"/>
          <w:szCs w:val="21"/>
        </w:rPr>
        <w:t>Unattributed variance is published as its own line and is never redistributed into named drivers. Its size over time is how we measure whether the decomposition works.</w:t>
      </w:r>
    </w:p>
    <w:p w14:paraId="0D5C9D6A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Method is frozen within a cycle. </w:t>
      </w:r>
      <w:r>
        <w:rPr>
          <w:rFonts w:ascii="Calibri" w:eastAsia="Calibri" w:hAnsi="Calibri" w:cs="Calibri"/>
          <w:color w:val="000000"/>
          <w:sz w:val="21"/>
          <w:szCs w:val="21"/>
        </w:rPr>
        <w:t>Changes are released between cycles, never mid-cycle, so the track record is honest.</w:t>
      </w:r>
    </w:p>
    <w:p w14:paraId="350FA487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6.  Success and stop criteria — committed in advance</w:t>
      </w:r>
    </w:p>
    <w:p w14:paraId="3427B1A6" w14:textId="77777777" w:rsidR="005F7B36" w:rsidRDefault="00000000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Success (pilot, by [date]):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5F7B36" w14:paraId="230AB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708A4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Criterion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36586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Target</w:t>
            </w:r>
          </w:p>
        </w:tc>
      </w:tr>
      <w:tr w:rsidR="005F7B36" w14:paraId="12CFF87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A8B60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Forecast available after close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1DA4A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≤ [N] business days</w:t>
            </w:r>
          </w:p>
        </w:tc>
      </w:tr>
      <w:tr w:rsidR="005F7B36" w14:paraId="55B8BED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BADD1" w14:textId="77777777" w:rsidR="005F7B36" w:rsidRDefault="00000000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Backtest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origins evaluated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81ACB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≥ [N]</w:t>
            </w:r>
          </w:p>
        </w:tc>
      </w:tr>
      <w:tr w:rsidR="005F7B36" w14:paraId="6AC2653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E9A9F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H1 outcome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E8F0B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Documented either way</w:t>
            </w:r>
          </w:p>
        </w:tc>
      </w:tr>
      <w:tr w:rsidR="005F7B36" w14:paraId="2BD1A4E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124F4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Variance decomposition residual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36CCC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≤ [X]% of gross variance</w:t>
            </w:r>
          </w:p>
        </w:tc>
      </w:tr>
      <w:tr w:rsidR="005F7B36" w14:paraId="468B830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F0C41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Adoption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5DC26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Used in ≥ [1] recurring forum</w:t>
            </w:r>
          </w:p>
        </w:tc>
      </w:tr>
    </w:tbl>
    <w:p w14:paraId="712EB2F4" w14:textId="77777777" w:rsidR="005F7B36" w:rsidRDefault="005F7B36">
      <w:pPr>
        <w:spacing w:after="100"/>
      </w:pPr>
    </w:p>
    <w:p w14:paraId="27942DCF" w14:textId="77777777" w:rsidR="005F7B36" w:rsidRDefault="00000000">
      <w:p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Stop / escalate:</w:t>
      </w:r>
    </w:p>
    <w:p w14:paraId="7AAE18B7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H1 fails and the timeliness or granularity benefit is not used in a live decision by [date] → stop, document, do not scale.</w:t>
      </w:r>
    </w:p>
    <w:p w14:paraId="03F71F5E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cannot be made vintage-correct (see §9) → stop and escalate to Data Foundation. A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with hindsight leakage will overstate performance and cannot support a scale decision.</w:t>
      </w:r>
    </w:p>
    <w:p w14:paraId="3A7B086E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7.  What this does not own</w:t>
      </w:r>
    </w:p>
    <w:p w14:paraId="1CFF2F0B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Stated explicitly to avoid boundary ambiguity with the other modernization pillars:</w:t>
      </w:r>
    </w:p>
    <w:p w14:paraId="04BC6CA0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Not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HCTA production, report publishing, or delivery — Reporting owns trusted production; this supplies method and output to it</w:t>
      </w:r>
    </w:p>
    <w:p w14:paraId="4B9FEF5F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>Not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a technology platform — Infrastructure Modernization owns workflow, tooling, and automation</w:t>
      </w:r>
    </w:p>
    <w:p w14:paraId="51AEE0A9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Not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trusted data inputs — Data Foundation</w:t>
      </w:r>
    </w:p>
    <w:p w14:paraId="3CED825F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Not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segment assumptions, forecast submissions, or financial accountability — business actuarial teams retain these</w:t>
      </w:r>
    </w:p>
    <w:p w14:paraId="7EAF3B38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Not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a reserving method or an opinion-bearing estimate</w:t>
      </w:r>
    </w:p>
    <w:p w14:paraId="237FC2D7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This capability produces a method and an output. It does not produce a system of record.</w:t>
      </w:r>
    </w:p>
    <w:p w14:paraId="7762705E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8.  Explicitly out of scope for v1</w:t>
      </w:r>
    </w:p>
    <w:p w14:paraId="167DC42E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Named here so they are visibly parked, not quietly pursued:</w:t>
      </w:r>
    </w:p>
    <w:p w14:paraId="71DBE01D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Neural networks and expanded model classes</w:t>
      </w:r>
    </w:p>
    <w:p w14:paraId="1B31BCB6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Non-claims data sources</w:t>
      </w:r>
    </w:p>
    <w:p w14:paraId="5E21557A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Embedded AI agent / dashboard build</w:t>
      </w:r>
    </w:p>
    <w:p w14:paraId="3FD90E79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Enhanced or automated reserving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(different governance bar; would materially slow v1 approval)</w:t>
      </w:r>
    </w:p>
    <w:p w14:paraId="050D1A0B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Embedding into customer-facing HCTAs</w:t>
      </w:r>
    </w:p>
    <w:p w14:paraId="62ACC28E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Each may be a reasonable v2 discussion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after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H1 is answered and boundaries with Reporting and Infrastructure Modernization are agreed.</w:t>
      </w:r>
    </w:p>
    <w:p w14:paraId="18B0A205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9.  Technical dependency — vintage-correct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backtesting</w:t>
      </w:r>
      <w:proofErr w:type="spellEnd"/>
    </w:p>
    <w:p w14:paraId="4B446AE3" w14:textId="77777777" w:rsidR="005F7B36" w:rsidRDefault="00000000">
      <w:pPr>
        <w:spacing w:after="10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The harness requires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two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distinct maturity concepts, currently conflated: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60"/>
        <w:gridCol w:w="2600"/>
      </w:tblGrid>
      <w:tr w:rsidR="005F7B36" w14:paraId="1F3CE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574D6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43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FFE93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61628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Behavior</w:t>
            </w:r>
          </w:p>
        </w:tc>
      </w:tr>
      <w:tr w:rsidR="005F7B36" w14:paraId="70A03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DD37B" w14:textId="77777777" w:rsidR="005F7B36" w:rsidRDefault="00000000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Data_Thru</w:t>
            </w:r>
            <w:proofErr w:type="spellEnd"/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70194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Last month of data available at the forecast origin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47A30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Varies by origin</w:t>
            </w:r>
          </w:p>
        </w:tc>
      </w:tr>
      <w:tr w:rsidR="005F7B36" w14:paraId="0BCA9B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A1A15" w14:textId="77777777" w:rsidR="005F7B36" w:rsidRDefault="00000000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Input_Runout_Thru</w:t>
            </w:r>
            <w:proofErr w:type="spellEnd"/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7851A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Maturity of that data as of the origin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9F863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 xml:space="preserve">Varies by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origin  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NEW)</w:t>
            </w:r>
          </w:p>
        </w:tc>
      </w:tr>
      <w:tr w:rsidR="005F7B36" w14:paraId="34162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A4811" w14:textId="77777777" w:rsidR="005F7B36" w:rsidRDefault="00000000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Runout_Thru</w:t>
            </w:r>
            <w:proofErr w:type="spellEnd"/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BA457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Maturity at which actuals are scored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C9AA9" w14:textId="77777777" w:rsidR="005F7B3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000000"/>
              </w:rPr>
              <w:t>Held fixed and mature</w:t>
            </w:r>
          </w:p>
        </w:tc>
      </w:tr>
    </w:tbl>
    <w:p w14:paraId="50A1E7FE" w14:textId="77777777" w:rsidR="005F7B36" w:rsidRDefault="005F7B36">
      <w:pPr>
        <w:spacing w:after="100"/>
      </w:pPr>
    </w:p>
    <w:p w14:paraId="6E4DE020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The issue: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if every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origin is fed data at today’s runout, a forecast nominally made in early 2025 receives fully mature 2024-12 claims it could not have had. That is hindsight leakage on completion.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performance will overstate live performance, and the gap will surface as unexplained deterioration in production.</w:t>
      </w:r>
    </w:p>
    <w:p w14:paraId="3C9C1832" w14:textId="77777777" w:rsidR="005F7B36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Resolution: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add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Input_Runout_Thru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and reconstruct input maturity per origin. This is a prerequisite for §4, not an enhancement.</w:t>
      </w:r>
    </w:p>
    <w:p w14:paraId="4B5917A5" w14:textId="77777777" w:rsidR="005F7B36" w:rsidRDefault="00000000">
      <w:pPr>
        <w:pStyle w:val="Heading1"/>
        <w:spacing w:before="25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10.  What is needed</w:t>
      </w:r>
    </w:p>
    <w:p w14:paraId="33ECFAD8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[N] analyst FTE for [N] weeks</w:t>
      </w:r>
    </w:p>
    <w:p w14:paraId="25600B82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Data Foundation support for vintage reconstruction (§9)</w:t>
      </w:r>
    </w:p>
    <w:p w14:paraId="70A6484D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Named business sponsor and decision (§2)</w:t>
      </w:r>
    </w:p>
    <w:p w14:paraId="36309627" w14:textId="77777777" w:rsidR="005F7B36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Approval of §6 as written, including the stop criteria</w:t>
      </w:r>
    </w:p>
    <w:p w14:paraId="00FD2A77" w14:textId="77777777" w:rsidR="005F7B36" w:rsidRDefault="00000000">
      <w:pPr>
        <w:pBdr>
          <w:top w:val="single" w:sz="6" w:space="10" w:color="BFBFBF"/>
        </w:pBdr>
        <w:spacing w:before="200" w:line="264" w:lineRule="auto"/>
      </w:pPr>
      <w:r>
        <w:rPr>
          <w:rFonts w:ascii="Calibri" w:eastAsia="Calibri" w:hAnsi="Calibri" w:cs="Calibri"/>
          <w:b/>
          <w:bCs/>
          <w:color w:val="595959"/>
        </w:rPr>
        <w:t xml:space="preserve">Bracketed items require input before this is circulated. </w:t>
      </w:r>
      <w:r>
        <w:rPr>
          <w:rFonts w:ascii="Calibri" w:eastAsia="Calibri" w:hAnsi="Calibri" w:cs="Calibri"/>
          <w:i/>
          <w:iCs/>
          <w:color w:val="595959"/>
        </w:rPr>
        <w:t>The two most important are the named decision in §2 and the metric and date in §4 — without them this reads as a model in search of a use.</w:t>
      </w:r>
    </w:p>
    <w:sectPr w:rsidR="005F7B36">
      <w:pgSz w:w="12240" w:h="15840"/>
      <w:pgMar w:top="1000" w:right="1350" w:bottom="90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BF3"/>
    <w:multiLevelType w:val="hybridMultilevel"/>
    <w:tmpl w:val="FCAE3840"/>
    <w:lvl w:ilvl="0" w:tplc="5F547A22">
      <w:start w:val="1"/>
      <w:numFmt w:val="bullet"/>
      <w:lvlText w:val="•"/>
      <w:lvlJc w:val="left"/>
      <w:pPr>
        <w:ind w:left="403" w:hanging="259"/>
      </w:pPr>
    </w:lvl>
    <w:lvl w:ilvl="1" w:tplc="DD721AB6">
      <w:start w:val="1"/>
      <w:numFmt w:val="bullet"/>
      <w:lvlText w:val="◦"/>
      <w:lvlJc w:val="left"/>
      <w:pPr>
        <w:ind w:left="835" w:hanging="259"/>
      </w:pPr>
    </w:lvl>
    <w:lvl w:ilvl="2" w:tplc="014AEE0C">
      <w:numFmt w:val="decimal"/>
      <w:lvlText w:val=""/>
      <w:lvlJc w:val="left"/>
    </w:lvl>
    <w:lvl w:ilvl="3" w:tplc="D2C20C32">
      <w:numFmt w:val="decimal"/>
      <w:lvlText w:val=""/>
      <w:lvlJc w:val="left"/>
    </w:lvl>
    <w:lvl w:ilvl="4" w:tplc="52D8AED0">
      <w:numFmt w:val="decimal"/>
      <w:lvlText w:val=""/>
      <w:lvlJc w:val="left"/>
    </w:lvl>
    <w:lvl w:ilvl="5" w:tplc="E46CA7AA">
      <w:numFmt w:val="decimal"/>
      <w:lvlText w:val=""/>
      <w:lvlJc w:val="left"/>
    </w:lvl>
    <w:lvl w:ilvl="6" w:tplc="AF6421EC">
      <w:numFmt w:val="decimal"/>
      <w:lvlText w:val=""/>
      <w:lvlJc w:val="left"/>
    </w:lvl>
    <w:lvl w:ilvl="7" w:tplc="CB5ADA58">
      <w:numFmt w:val="decimal"/>
      <w:lvlText w:val=""/>
      <w:lvlJc w:val="left"/>
    </w:lvl>
    <w:lvl w:ilvl="8" w:tplc="229E9206">
      <w:numFmt w:val="decimal"/>
      <w:lvlText w:val=""/>
      <w:lvlJc w:val="left"/>
    </w:lvl>
  </w:abstractNum>
  <w:abstractNum w:abstractNumId="1" w15:restartNumberingAfterBreak="0">
    <w:nsid w:val="7DE92D82"/>
    <w:multiLevelType w:val="hybridMultilevel"/>
    <w:tmpl w:val="4038FFC8"/>
    <w:lvl w:ilvl="0" w:tplc="335EE73A">
      <w:start w:val="1"/>
      <w:numFmt w:val="bullet"/>
      <w:lvlText w:val="●"/>
      <w:lvlJc w:val="left"/>
      <w:pPr>
        <w:ind w:left="720" w:hanging="360"/>
      </w:pPr>
    </w:lvl>
    <w:lvl w:ilvl="1" w:tplc="24E4923C">
      <w:start w:val="1"/>
      <w:numFmt w:val="bullet"/>
      <w:lvlText w:val="○"/>
      <w:lvlJc w:val="left"/>
      <w:pPr>
        <w:ind w:left="1440" w:hanging="360"/>
      </w:pPr>
    </w:lvl>
    <w:lvl w:ilvl="2" w:tplc="76AE6A98">
      <w:start w:val="1"/>
      <w:numFmt w:val="bullet"/>
      <w:lvlText w:val="■"/>
      <w:lvlJc w:val="left"/>
      <w:pPr>
        <w:ind w:left="2160" w:hanging="360"/>
      </w:pPr>
    </w:lvl>
    <w:lvl w:ilvl="3" w:tplc="C77440B8">
      <w:start w:val="1"/>
      <w:numFmt w:val="bullet"/>
      <w:lvlText w:val="●"/>
      <w:lvlJc w:val="left"/>
      <w:pPr>
        <w:ind w:left="2880" w:hanging="360"/>
      </w:pPr>
    </w:lvl>
    <w:lvl w:ilvl="4" w:tplc="30DCBF14">
      <w:start w:val="1"/>
      <w:numFmt w:val="bullet"/>
      <w:lvlText w:val="○"/>
      <w:lvlJc w:val="left"/>
      <w:pPr>
        <w:ind w:left="3600" w:hanging="360"/>
      </w:pPr>
    </w:lvl>
    <w:lvl w:ilvl="5" w:tplc="15BC0B90">
      <w:start w:val="1"/>
      <w:numFmt w:val="bullet"/>
      <w:lvlText w:val="■"/>
      <w:lvlJc w:val="left"/>
      <w:pPr>
        <w:ind w:left="4320" w:hanging="360"/>
      </w:pPr>
    </w:lvl>
    <w:lvl w:ilvl="6" w:tplc="16B0DDA2">
      <w:start w:val="1"/>
      <w:numFmt w:val="bullet"/>
      <w:lvlText w:val="●"/>
      <w:lvlJc w:val="left"/>
      <w:pPr>
        <w:ind w:left="5040" w:hanging="360"/>
      </w:pPr>
    </w:lvl>
    <w:lvl w:ilvl="7" w:tplc="39FE2B72">
      <w:start w:val="1"/>
      <w:numFmt w:val="bullet"/>
      <w:lvlText w:val="●"/>
      <w:lvlJc w:val="left"/>
      <w:pPr>
        <w:ind w:left="5760" w:hanging="360"/>
      </w:pPr>
    </w:lvl>
    <w:lvl w:ilvl="8" w:tplc="0CE2C006">
      <w:start w:val="1"/>
      <w:numFmt w:val="bullet"/>
      <w:lvlText w:val="●"/>
      <w:lvlJc w:val="left"/>
      <w:pPr>
        <w:ind w:left="6480" w:hanging="360"/>
      </w:pPr>
    </w:lvl>
  </w:abstractNum>
  <w:num w:numId="1" w16cid:durableId="888997816">
    <w:abstractNumId w:val="1"/>
    <w:lvlOverride w:ilvl="0">
      <w:startOverride w:val="1"/>
    </w:lvlOverride>
  </w:num>
  <w:num w:numId="2" w16cid:durableId="1019814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B36"/>
    <w:rsid w:val="005F7B36"/>
    <w:rsid w:val="00896483"/>
    <w:rsid w:val="009A6F76"/>
    <w:rsid w:val="00C2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4492D"/>
  <w15:docId w15:val="{F8A3EC12-793A-7E45-B6A8-D2FDA477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Swan</cp:lastModifiedBy>
  <cp:revision>2</cp:revision>
  <dcterms:created xsi:type="dcterms:W3CDTF">2026-08-25T22:24:00Z</dcterms:created>
  <dcterms:modified xsi:type="dcterms:W3CDTF">2026-08-25T22:24:00Z</dcterms:modified>
</cp:coreProperties>
</file>