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77C6B" w14:textId="77777777" w:rsidR="00A9164D" w:rsidRDefault="002B0906">
      <w:pPr>
        <w:pStyle w:val="RHeader"/>
      </w:pPr>
      <w:r>
        <w:t>Andrew Swan, ASA, MAAA</w:t>
      </w:r>
    </w:p>
    <w:p w14:paraId="1BECFFCC" w14:textId="77777777" w:rsidR="00A9164D" w:rsidRDefault="002B0906">
      <w:pPr>
        <w:pStyle w:val="RContact"/>
      </w:pPr>
      <w:r>
        <w:t>Cell: (952) 807-5437 | Email: andrew.d.swan23@gmail.com</w:t>
      </w:r>
    </w:p>
    <w:p w14:paraId="6E1DF060" w14:textId="77777777" w:rsidR="00A9164D" w:rsidRDefault="002B0906">
      <w:pPr>
        <w:pStyle w:val="RSection"/>
        <w:pBdr>
          <w:bottom w:val="single" w:sz="5" w:space="1" w:color="808080"/>
        </w:pBdr>
      </w:pPr>
      <w:r>
        <w:t>EXECUTIVE SUMMARY</w:t>
      </w:r>
    </w:p>
    <w:p w14:paraId="0D9B86B8" w14:textId="6496DFAB" w:rsidR="00A9164D" w:rsidRDefault="002B0906">
      <w:pPr>
        <w:pStyle w:val="RSmall"/>
      </w:pPr>
      <w:r>
        <w:t>Healthcare actuarial analytics leader with 1</w:t>
      </w:r>
      <w:r w:rsidR="00785624">
        <w:t>2</w:t>
      </w:r>
      <w:r>
        <w:t>+ years at UnitedHealth Group spanning medical cost trend analytics, valuation modeling, forecasting, predictive analytics, and actuarial process modernization. Experienced leading cross-functional actuarial, analytics, data, finance, operations, and business partners through scalable workflow improvements that strengthen governance, auditability, speed, and decision quality. Hands-on technical leader with Databricks, Python/</w:t>
      </w:r>
      <w:proofErr w:type="spellStart"/>
      <w:r>
        <w:t>PySpark</w:t>
      </w:r>
      <w:proofErr w:type="spellEnd"/>
      <w:r>
        <w:t>, Git/GitHub, SQL,</w:t>
      </w:r>
      <w:r w:rsidR="0047629D">
        <w:t xml:space="preserve"> SAS</w:t>
      </w:r>
      <w:r>
        <w:t xml:space="preserve"> and large-scale healthcare claims analytics experience.</w:t>
      </w:r>
    </w:p>
    <w:p w14:paraId="789B632F" w14:textId="77777777" w:rsidR="0095114D" w:rsidRPr="00AC1862" w:rsidRDefault="0095114D">
      <w:pPr>
        <w:pStyle w:val="RSection"/>
        <w:pBdr>
          <w:bottom w:val="single" w:sz="5" w:space="1" w:color="808080"/>
        </w:pBdr>
        <w:rPr>
          <w:sz w:val="4"/>
          <w:szCs w:val="4"/>
        </w:rPr>
      </w:pPr>
    </w:p>
    <w:p w14:paraId="228BED6E" w14:textId="323D66BE" w:rsidR="00A9164D" w:rsidRDefault="002B0906">
      <w:pPr>
        <w:pStyle w:val="RSection"/>
        <w:pBdr>
          <w:bottom w:val="single" w:sz="5" w:space="1" w:color="808080"/>
        </w:pBdr>
      </w:pPr>
      <w:r>
        <w:t>CORE STRENGTHS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28"/>
        <w:gridCol w:w="5328"/>
      </w:tblGrid>
      <w:tr w:rsidR="00A9164D" w14:paraId="61F23E9F" w14:textId="77777777"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</w:tcPr>
          <w:p w14:paraId="6D204B5B" w14:textId="77777777" w:rsidR="00A9164D" w:rsidRDefault="002B0906">
            <w:pPr>
              <w:pStyle w:val="RSmall"/>
              <w:spacing w:after="0"/>
            </w:pPr>
            <w:r>
              <w:t>• Trend forecasting and medical cost analytics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</w:tcPr>
          <w:p w14:paraId="0AF7DD52" w14:textId="77777777" w:rsidR="00A9164D" w:rsidRDefault="002B0906">
            <w:pPr>
              <w:pStyle w:val="RSmall"/>
              <w:spacing w:after="0"/>
            </w:pPr>
            <w:r>
              <w:t>• Predictive analytics and statistical modeling</w:t>
            </w:r>
          </w:p>
        </w:tc>
      </w:tr>
      <w:tr w:rsidR="00A9164D" w14:paraId="5071C63F" w14:textId="77777777"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</w:tcPr>
          <w:p w14:paraId="25593D91" w14:textId="77777777" w:rsidR="00A9164D" w:rsidRDefault="002B0906">
            <w:pPr>
              <w:pStyle w:val="RSmall"/>
              <w:spacing w:after="0"/>
            </w:pPr>
            <w:r>
              <w:t>• Actuarial modernization and workflow transformation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</w:tcPr>
          <w:p w14:paraId="6B9BBB6A" w14:textId="77777777" w:rsidR="00A9164D" w:rsidRDefault="002B0906">
            <w:pPr>
              <w:pStyle w:val="RSmall"/>
              <w:spacing w:after="0"/>
            </w:pPr>
            <w:r>
              <w:t>• Executive communication and stakeholder influence</w:t>
            </w:r>
          </w:p>
        </w:tc>
      </w:tr>
      <w:tr w:rsidR="00A9164D" w14:paraId="192F68EA" w14:textId="77777777"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</w:tcPr>
          <w:p w14:paraId="37CF38BA" w14:textId="77777777" w:rsidR="00A9164D" w:rsidRDefault="002B0906">
            <w:pPr>
              <w:pStyle w:val="RSmall"/>
              <w:spacing w:after="0"/>
            </w:pPr>
            <w:r>
              <w:t>• Databricks, Python/</w:t>
            </w:r>
            <w:proofErr w:type="spellStart"/>
            <w:r>
              <w:t>PySpark</w:t>
            </w:r>
            <w:proofErr w:type="spellEnd"/>
            <w:r>
              <w:t>, Git, and GitHub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</w:tcPr>
          <w:p w14:paraId="23C0093F" w14:textId="77777777" w:rsidR="00A9164D" w:rsidRDefault="002B0906">
            <w:pPr>
              <w:pStyle w:val="RSmall"/>
              <w:spacing w:after="0"/>
            </w:pPr>
            <w:r>
              <w:t>• Cross-functional leadership and change adoption</w:t>
            </w:r>
          </w:p>
        </w:tc>
      </w:tr>
      <w:tr w:rsidR="00A9164D" w14:paraId="7E481132" w14:textId="77777777"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</w:tcPr>
          <w:p w14:paraId="4AD8A73C" w14:textId="7E7A3E7B" w:rsidR="00A9164D" w:rsidRDefault="002B0906">
            <w:pPr>
              <w:pStyle w:val="RSmall"/>
              <w:spacing w:after="0"/>
            </w:pPr>
            <w:r>
              <w:t>• P</w:t>
            </w:r>
            <w:r w:rsidR="0047629D">
              <w:t>rogram valuation an</w:t>
            </w:r>
            <w:r>
              <w:t>d governance</w:t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</w:tcPr>
          <w:p w14:paraId="7494748C" w14:textId="524BA8D7" w:rsidR="00A9164D" w:rsidRDefault="002B0906">
            <w:pPr>
              <w:pStyle w:val="RSmall"/>
              <w:spacing w:after="0"/>
            </w:pPr>
            <w:r>
              <w:t xml:space="preserve">• </w:t>
            </w:r>
            <w:r w:rsidR="0078205D" w:rsidRPr="0078205D">
              <w:t>Healthcare payer operations and claims data analytics</w:t>
            </w:r>
          </w:p>
        </w:tc>
      </w:tr>
    </w:tbl>
    <w:p w14:paraId="121106C5" w14:textId="77777777" w:rsidR="0095114D" w:rsidRPr="00AC1862" w:rsidRDefault="0095114D" w:rsidP="0095114D">
      <w:pPr>
        <w:pStyle w:val="RSection"/>
        <w:pBdr>
          <w:bottom w:val="single" w:sz="5" w:space="1" w:color="808080"/>
        </w:pBdr>
        <w:rPr>
          <w:sz w:val="4"/>
          <w:szCs w:val="4"/>
        </w:rPr>
      </w:pPr>
    </w:p>
    <w:p w14:paraId="753A23EC" w14:textId="7AF487F7" w:rsidR="0095114D" w:rsidRDefault="0095114D" w:rsidP="0095114D">
      <w:pPr>
        <w:pStyle w:val="RSection"/>
        <w:pBdr>
          <w:bottom w:val="single" w:sz="5" w:space="1" w:color="808080"/>
        </w:pBdr>
      </w:pPr>
      <w:r>
        <w:t>CREDENTIALS AND EDUCATION</w:t>
      </w:r>
    </w:p>
    <w:p w14:paraId="528116CF" w14:textId="77777777" w:rsidR="0095114D" w:rsidRDefault="0095114D" w:rsidP="0095114D">
      <w:pPr>
        <w:pStyle w:val="RSmall"/>
      </w:pPr>
      <w:r>
        <w:t>Associate, Society of Actuaries | 2017    |    Member, American Academy of Actuaries    |    SOA Predictive Analytics Certificate | 2021</w:t>
      </w:r>
    </w:p>
    <w:p w14:paraId="3D54E9A0" w14:textId="36BEB5AF" w:rsidR="0095114D" w:rsidRDefault="0095114D" w:rsidP="0095114D">
      <w:pPr>
        <w:pStyle w:val="RSmall"/>
      </w:pPr>
      <w:r>
        <w:t>Gustavus Adolphus College</w:t>
      </w:r>
      <w:r w:rsidR="00B12EAC">
        <w:t xml:space="preserve"> - </w:t>
      </w:r>
      <w:r>
        <w:t>St. Peter, Minnesota | Bachelor of Arts in Mathematics, GPA 4.0 | Bachelor of Arts in Accounting, GPA 4.0 | Cumulative GPA 4.0</w:t>
      </w:r>
    </w:p>
    <w:p w14:paraId="4A90D828" w14:textId="77777777" w:rsidR="0095114D" w:rsidRPr="00AC1862" w:rsidRDefault="0095114D">
      <w:pPr>
        <w:pStyle w:val="RSection"/>
        <w:pBdr>
          <w:bottom w:val="single" w:sz="5" w:space="1" w:color="808080"/>
        </w:pBdr>
        <w:rPr>
          <w:sz w:val="4"/>
          <w:szCs w:val="4"/>
        </w:rPr>
      </w:pPr>
    </w:p>
    <w:p w14:paraId="2DC8B290" w14:textId="1DA47E60" w:rsidR="00A9164D" w:rsidRDefault="002B0906">
      <w:pPr>
        <w:pStyle w:val="RSection"/>
        <w:pBdr>
          <w:bottom w:val="single" w:sz="5" w:space="1" w:color="808080"/>
        </w:pBdr>
      </w:pPr>
      <w:r>
        <w:t>PROFESSIONAL EXPERIENCE</w:t>
      </w:r>
    </w:p>
    <w:p w14:paraId="0776FA7C" w14:textId="77777777" w:rsidR="00A9164D" w:rsidRDefault="002B0906">
      <w:pPr>
        <w:pStyle w:val="RRole"/>
      </w:pPr>
      <w:r>
        <w:t>UnitedHealth Group | June 2013 – Present</w:t>
      </w:r>
    </w:p>
    <w:p w14:paraId="7A74150D" w14:textId="77777777" w:rsidR="00A9164D" w:rsidRDefault="002B0906">
      <w:pPr>
        <w:pStyle w:val="RSmall"/>
      </w:pPr>
      <w:r>
        <w:t>Vice President, Advisory Services | Aug. 2025 – Present; Senior Director, Advisory Services | Jan. 2023 – Aug. 2025; Director, Actuarial | Aug. 2021 – Jan. 2023; Manager, Actuarial | Jan. 2019 – Aug. 2021; earlier actuarial roles | Jun. 2013 – Jan. 2019</w:t>
      </w:r>
    </w:p>
    <w:p w14:paraId="525881CB" w14:textId="721077E7" w:rsidR="00A9164D" w:rsidRDefault="003310FB">
      <w:pPr>
        <w:pStyle w:val="RRole"/>
      </w:pPr>
      <w:r>
        <w:t>Lead</w:t>
      </w:r>
      <w:r w:rsidR="002B0906">
        <w:t>, Program Valuation and Savings Governance</w:t>
      </w:r>
    </w:p>
    <w:p w14:paraId="28781C25" w14:textId="0A9E721E" w:rsidR="00A9164D" w:rsidRDefault="002B0906" w:rsidP="00992EDB">
      <w:pPr>
        <w:pStyle w:val="RBullet"/>
        <w:numPr>
          <w:ilvl w:val="0"/>
          <w:numId w:val="11"/>
        </w:numPr>
      </w:pPr>
      <w:r>
        <w:t>Led a cross-functional Program Valuation team of actuaries, data engineers, and analysts serving as an independent enterprise authority on Payment Integrity savings calculations, ensuring results are accurate, objective, transparent, and audit-ready</w:t>
      </w:r>
    </w:p>
    <w:p w14:paraId="22DC714A" w14:textId="48C7DBB7" w:rsidR="00A9164D" w:rsidRDefault="002B0906" w:rsidP="00992EDB">
      <w:pPr>
        <w:pStyle w:val="RBullet"/>
        <w:numPr>
          <w:ilvl w:val="0"/>
          <w:numId w:val="11"/>
        </w:numPr>
      </w:pPr>
      <w:r>
        <w:t>Modernized legacy, ad hoc actuarial valuation processes into a scalable Databricks-based architecture using Python/</w:t>
      </w:r>
      <w:proofErr w:type="spellStart"/>
      <w:r>
        <w:t>PySpark</w:t>
      </w:r>
      <w:proofErr w:type="spellEnd"/>
      <w:r>
        <w:t>, improving repeatability, transparency, maintainability, and auditability of production workflows</w:t>
      </w:r>
    </w:p>
    <w:p w14:paraId="7DF2E00C" w14:textId="3644DB51" w:rsidR="00A9164D" w:rsidRDefault="002B0906" w:rsidP="00992EDB">
      <w:pPr>
        <w:pStyle w:val="RBullet"/>
        <w:numPr>
          <w:ilvl w:val="0"/>
          <w:numId w:val="11"/>
        </w:numPr>
      </w:pPr>
      <w:r>
        <w:t>Implemented parameterized Databricks notebooks orchestrated through Databricks Workflows, enabling standardized and repeatable valuation pipelines that can be adapted across programs and analytical use cases</w:t>
      </w:r>
    </w:p>
    <w:p w14:paraId="698A2717" w14:textId="706E0BCE" w:rsidR="00A9164D" w:rsidRDefault="002B0906" w:rsidP="00992EDB">
      <w:pPr>
        <w:pStyle w:val="RBullet"/>
        <w:numPr>
          <w:ilvl w:val="0"/>
          <w:numId w:val="11"/>
        </w:numPr>
      </w:pPr>
      <w:r>
        <w:t>Assess end-</w:t>
      </w:r>
      <w:proofErr w:type="gramStart"/>
      <w:r>
        <w:t>to-</w:t>
      </w:r>
      <w:proofErr w:type="gramEnd"/>
      <w:r>
        <w:t>end analytical processes to reduce manual effort, improve workflow consistency, strengthen controls, and create more scalable operating models</w:t>
      </w:r>
    </w:p>
    <w:p w14:paraId="539967A9" w14:textId="7B8CAB82" w:rsidR="00A9164D" w:rsidRDefault="002B0906" w:rsidP="00992EDB">
      <w:pPr>
        <w:pStyle w:val="RBullet"/>
        <w:numPr>
          <w:ilvl w:val="0"/>
          <w:numId w:val="11"/>
        </w:numPr>
      </w:pPr>
      <w:r>
        <w:t xml:space="preserve">Communicate savings methodologies, valuation assumptions, model sensitivities, and business implications to senior stakeholders in clear, structured, decision-oriented </w:t>
      </w:r>
      <w:r w:rsidR="00D91B39">
        <w:t>manner</w:t>
      </w:r>
    </w:p>
    <w:p w14:paraId="3F2A8F8B" w14:textId="77777777" w:rsidR="00A9164D" w:rsidRDefault="002B0906">
      <w:pPr>
        <w:pStyle w:val="RRole"/>
      </w:pPr>
      <w:r>
        <w:t>Trend Analytics, Forecasting, and Predictive Modeling</w:t>
      </w:r>
    </w:p>
    <w:p w14:paraId="23D0BD41" w14:textId="4836EF12" w:rsidR="00A9164D" w:rsidRDefault="00992EDB" w:rsidP="00992EDB">
      <w:pPr>
        <w:pStyle w:val="RBullet"/>
        <w:numPr>
          <w:ilvl w:val="0"/>
          <w:numId w:val="11"/>
        </w:numPr>
      </w:pPr>
      <w:r>
        <w:t>Developed the team’s</w:t>
      </w:r>
      <w:r w:rsidR="002B0906">
        <w:t xml:space="preserve"> quarterly Pharmacy forecasting models using predictive analytic techniques to project drug-level utilization and unit cost trends, incorporating AWP price, negotiated discounts, rebates, utilization, and unit cost components.</w:t>
      </w:r>
    </w:p>
    <w:p w14:paraId="18F2570D" w14:textId="121D77C0" w:rsidR="00992EDB" w:rsidRDefault="002B0906" w:rsidP="009B58D2">
      <w:pPr>
        <w:pStyle w:val="RBullet"/>
        <w:numPr>
          <w:ilvl w:val="0"/>
          <w:numId w:val="11"/>
        </w:numPr>
      </w:pPr>
      <w:r>
        <w:t>Designed a dynamic actuarial medical expense forecast framework for a Medicaid book of business, enabling market-specific forecasts and executive-level summaries.</w:t>
      </w:r>
    </w:p>
    <w:p w14:paraId="0B8263F8" w14:textId="77777777" w:rsidR="00992EDB" w:rsidRDefault="00992EDB" w:rsidP="00992EDB">
      <w:pPr>
        <w:pStyle w:val="RBullet"/>
        <w:numPr>
          <w:ilvl w:val="0"/>
          <w:numId w:val="11"/>
        </w:numPr>
      </w:pPr>
      <w:r>
        <w:t>Conducted independent valuation modeling to assess the medical cost impact of affordability initiatives, including assumption development, sensitivity testing, and stakeholder-ready communication of results.</w:t>
      </w:r>
    </w:p>
    <w:p w14:paraId="0608A369" w14:textId="7D337F57" w:rsidR="00A9164D" w:rsidRDefault="002B0906" w:rsidP="00992EDB">
      <w:pPr>
        <w:pStyle w:val="RBullet"/>
        <w:numPr>
          <w:ilvl w:val="0"/>
          <w:numId w:val="11"/>
        </w:numPr>
      </w:pPr>
      <w:r>
        <w:t>Analyzed historical medical trend performance for a commercial book of business to identify baseline trend drivers, leading indicators, and emerging cost pressures.</w:t>
      </w:r>
    </w:p>
    <w:p w14:paraId="14719431" w14:textId="5EEB30E7" w:rsidR="00A9164D" w:rsidRDefault="002B0906" w:rsidP="00992EDB">
      <w:pPr>
        <w:pStyle w:val="RBullet"/>
        <w:numPr>
          <w:ilvl w:val="0"/>
          <w:numId w:val="11"/>
        </w:numPr>
      </w:pPr>
      <w:r>
        <w:t xml:space="preserve">Applied regression, control-treatment methods, Wilcoxon Rank Sum analysis, stochastic modeling, and other statistical techniques to strengthen model rigor and </w:t>
      </w:r>
      <w:r w:rsidR="00B02216">
        <w:t xml:space="preserve">support </w:t>
      </w:r>
      <w:r w:rsidR="00B02216" w:rsidRPr="00B02216">
        <w:t>business decisions related to new product development, provider efficiency evaluations, and narrow network optimization</w:t>
      </w:r>
    </w:p>
    <w:p w14:paraId="644ED33F" w14:textId="1CA682E8" w:rsidR="00A9164D" w:rsidRDefault="00481192">
      <w:pPr>
        <w:pStyle w:val="RRole"/>
      </w:pPr>
      <w:r w:rsidRPr="00481192">
        <w:t>Strategic Analytics &amp; Product Leadership</w:t>
      </w:r>
    </w:p>
    <w:p w14:paraId="184AEBF8" w14:textId="6F7C29F2" w:rsidR="00AD3A2C" w:rsidRDefault="00AD3A2C" w:rsidP="00AD3A2C">
      <w:pPr>
        <w:pStyle w:val="ListParagraph"/>
        <w:numPr>
          <w:ilvl w:val="0"/>
          <w:numId w:val="14"/>
        </w:numPr>
        <w:rPr>
          <w:rFonts w:eastAsiaTheme="minorEastAsia"/>
        </w:rPr>
      </w:pPr>
      <w:r w:rsidRPr="00AD3A2C">
        <w:rPr>
          <w:rFonts w:eastAsiaTheme="minorEastAsia"/>
        </w:rPr>
        <w:t xml:space="preserve">Led cross-functional teams </w:t>
      </w:r>
      <w:r w:rsidR="00F409AB" w:rsidRPr="00F409AB">
        <w:rPr>
          <w:rFonts w:eastAsiaTheme="minorEastAsia"/>
        </w:rPr>
        <w:t>spanning entry</w:t>
      </w:r>
      <w:r w:rsidR="00F409AB" w:rsidRPr="00F409AB">
        <w:rPr>
          <w:rFonts w:ascii="Cambria Math" w:eastAsiaTheme="minorEastAsia" w:hAnsi="Cambria Math" w:cs="Cambria Math"/>
        </w:rPr>
        <w:t>‑</w:t>
      </w:r>
      <w:r w:rsidR="00F409AB" w:rsidRPr="00F409AB">
        <w:rPr>
          <w:rFonts w:eastAsiaTheme="minorEastAsia"/>
        </w:rPr>
        <w:t>level analysts, senior consultants, and engineering partners, working closely with business, operations, finance, and actuarial stakeholders to execute strategy and deliver measurable business impact</w:t>
      </w:r>
    </w:p>
    <w:p w14:paraId="0F3D3031" w14:textId="74909458" w:rsidR="00AD3A2C" w:rsidRPr="000F199E" w:rsidRDefault="00AD3A2C" w:rsidP="00AD3A2C">
      <w:pPr>
        <w:pStyle w:val="ListParagraph"/>
        <w:numPr>
          <w:ilvl w:val="0"/>
          <w:numId w:val="14"/>
        </w:numPr>
        <w:rPr>
          <w:rFonts w:eastAsiaTheme="minorEastAsia"/>
        </w:rPr>
      </w:pPr>
      <w:r w:rsidRPr="005D024D">
        <w:t xml:space="preserve">Champion change management and </w:t>
      </w:r>
      <w:r w:rsidR="006E2BC0">
        <w:t>process transformation</w:t>
      </w:r>
      <w:r w:rsidR="009F26BC">
        <w:t xml:space="preserve">, </w:t>
      </w:r>
      <w:r w:rsidR="009F26BC" w:rsidRPr="009F26BC">
        <w:t>accelerating adoption of modernized tools, workflows, and development practices</w:t>
      </w:r>
    </w:p>
    <w:p w14:paraId="0444209C" w14:textId="4C291B78" w:rsidR="000F199E" w:rsidRPr="00AD3A2C" w:rsidRDefault="000F199E" w:rsidP="00AD3A2C">
      <w:pPr>
        <w:pStyle w:val="ListParagraph"/>
        <w:numPr>
          <w:ilvl w:val="0"/>
          <w:numId w:val="14"/>
        </w:numPr>
        <w:rPr>
          <w:rFonts w:eastAsiaTheme="minorEastAsia"/>
        </w:rPr>
      </w:pPr>
      <w:r w:rsidRPr="000F199E">
        <w:rPr>
          <w:rFonts w:eastAsiaTheme="minorEastAsia"/>
        </w:rPr>
        <w:t>Recruited, developed, and mentored high</w:t>
      </w:r>
      <w:r w:rsidRPr="000F199E">
        <w:rPr>
          <w:rFonts w:ascii="Cambria Math" w:eastAsiaTheme="minorEastAsia" w:hAnsi="Cambria Math" w:cs="Cambria Math"/>
        </w:rPr>
        <w:t>‑</w:t>
      </w:r>
      <w:r w:rsidRPr="000F199E">
        <w:rPr>
          <w:rFonts w:eastAsiaTheme="minorEastAsia"/>
        </w:rPr>
        <w:t>performing analytical talent across career stages, building strong succession pipelines and technical dept</w:t>
      </w:r>
      <w:r>
        <w:rPr>
          <w:rFonts w:eastAsiaTheme="minorEastAsia"/>
        </w:rPr>
        <w:t>h</w:t>
      </w:r>
    </w:p>
    <w:p w14:paraId="2E6AA7AE" w14:textId="77777777" w:rsidR="000F199E" w:rsidRPr="000F199E" w:rsidRDefault="000F199E" w:rsidP="00AD3A2C">
      <w:pPr>
        <w:pStyle w:val="ListParagraph"/>
        <w:numPr>
          <w:ilvl w:val="0"/>
          <w:numId w:val="14"/>
        </w:numPr>
        <w:rPr>
          <w:rFonts w:eastAsiaTheme="minorEastAsia"/>
        </w:rPr>
      </w:pPr>
      <w:r w:rsidRPr="000F199E">
        <w:lastRenderedPageBreak/>
        <w:t>Provided executive</w:t>
      </w:r>
      <w:r w:rsidRPr="000F199E">
        <w:rPr>
          <w:rFonts w:ascii="Cambria Math" w:hAnsi="Cambria Math" w:cs="Cambria Math"/>
        </w:rPr>
        <w:t>‑</w:t>
      </w:r>
      <w:r w:rsidRPr="000F199E">
        <w:t>ready insights and recommendations to inform network strategy, pricing decisions, and value</w:t>
      </w:r>
      <w:r w:rsidRPr="000F199E">
        <w:rPr>
          <w:rFonts w:ascii="Cambria Math" w:hAnsi="Cambria Math" w:cs="Cambria Math"/>
        </w:rPr>
        <w:t>‑</w:t>
      </w:r>
      <w:r w:rsidRPr="000F199E">
        <w:t>based care investments</w:t>
      </w:r>
    </w:p>
    <w:p w14:paraId="22F7E7A2" w14:textId="77777777" w:rsidR="002C5630" w:rsidRPr="00AC1862" w:rsidRDefault="002C5630">
      <w:pPr>
        <w:pStyle w:val="RSection"/>
        <w:pBdr>
          <w:bottom w:val="single" w:sz="5" w:space="1" w:color="808080"/>
        </w:pBdr>
        <w:rPr>
          <w:sz w:val="4"/>
          <w:szCs w:val="4"/>
        </w:rPr>
      </w:pPr>
    </w:p>
    <w:p w14:paraId="00F7D7C8" w14:textId="370DAECE" w:rsidR="00A9164D" w:rsidRDefault="002B0906">
      <w:pPr>
        <w:pStyle w:val="RSection"/>
        <w:pBdr>
          <w:bottom w:val="single" w:sz="5" w:space="1" w:color="808080"/>
        </w:pBdr>
      </w:pPr>
      <w:r>
        <w:t>TECHNICAL EXPERIENCE</w:t>
      </w:r>
    </w:p>
    <w:p w14:paraId="3F1DBE5E" w14:textId="6E767C25" w:rsidR="00A9164D" w:rsidRDefault="002B0906">
      <w:pPr>
        <w:pStyle w:val="RBullet"/>
      </w:pPr>
      <w:r>
        <w:t>•</w:t>
      </w:r>
      <w:r>
        <w:tab/>
      </w:r>
      <w:r>
        <w:rPr>
          <w:b/>
        </w:rPr>
        <w:t xml:space="preserve">Databricks / </w:t>
      </w:r>
      <w:r w:rsidR="009742AD">
        <w:rPr>
          <w:b/>
        </w:rPr>
        <w:t>W</w:t>
      </w:r>
      <w:r>
        <w:rPr>
          <w:b/>
        </w:rPr>
        <w:t xml:space="preserve">orkflow </w:t>
      </w:r>
      <w:r w:rsidR="009742AD">
        <w:rPr>
          <w:b/>
        </w:rPr>
        <w:t>M</w:t>
      </w:r>
      <w:r>
        <w:rPr>
          <w:b/>
        </w:rPr>
        <w:t>odernization:</w:t>
      </w:r>
      <w:r>
        <w:t xml:space="preserve"> Hands-on experience migrating actuarial and analytical processes into Databricks-based architectures using parameterized notebooks, </w:t>
      </w:r>
      <w:proofErr w:type="spellStart"/>
      <w:r>
        <w:t>PySpark</w:t>
      </w:r>
      <w:proofErr w:type="spellEnd"/>
      <w:r>
        <w:t xml:space="preserve"> processing, and Databricks Workflows.</w:t>
      </w:r>
    </w:p>
    <w:p w14:paraId="731CE427" w14:textId="7CB4806B" w:rsidR="00A9164D" w:rsidRDefault="002B0906">
      <w:pPr>
        <w:pStyle w:val="RBullet"/>
      </w:pPr>
      <w:r>
        <w:t>•</w:t>
      </w:r>
      <w:r>
        <w:tab/>
      </w:r>
      <w:r>
        <w:rPr>
          <w:b/>
        </w:rPr>
        <w:t xml:space="preserve">Python / </w:t>
      </w:r>
      <w:proofErr w:type="spellStart"/>
      <w:r>
        <w:rPr>
          <w:b/>
        </w:rPr>
        <w:t>PySpark</w:t>
      </w:r>
      <w:proofErr w:type="spellEnd"/>
      <w:r>
        <w:rPr>
          <w:b/>
        </w:rPr>
        <w:t>:</w:t>
      </w:r>
      <w:r>
        <w:t xml:space="preserve"> </w:t>
      </w:r>
      <w:r w:rsidR="009742AD" w:rsidRPr="009742AD">
        <w:t xml:space="preserve">Develops robust Python and </w:t>
      </w:r>
      <w:proofErr w:type="spellStart"/>
      <w:r w:rsidR="009742AD" w:rsidRPr="009742AD">
        <w:t>PySpark</w:t>
      </w:r>
      <w:proofErr w:type="spellEnd"/>
      <w:r w:rsidR="009742AD" w:rsidRPr="009742AD">
        <w:t xml:space="preserve"> solutions supporting claims analytics, valuation, forecasting, and operational insight</w:t>
      </w:r>
    </w:p>
    <w:p w14:paraId="3669A6D4" w14:textId="7758AE6E" w:rsidR="00A9164D" w:rsidRDefault="002B0906">
      <w:pPr>
        <w:pStyle w:val="RBullet"/>
      </w:pPr>
      <w:r>
        <w:t>•</w:t>
      </w:r>
      <w:r>
        <w:tab/>
      </w:r>
      <w:r>
        <w:rPr>
          <w:b/>
        </w:rPr>
        <w:t>Git / GitHub:</w:t>
      </w:r>
      <w:r>
        <w:t xml:space="preserve"> Uses Git and GitHub for version control, development traceability, code management, and collaboration across technical and actuarial workflows</w:t>
      </w:r>
    </w:p>
    <w:p w14:paraId="0E31D3D5" w14:textId="25068BB3" w:rsidR="00A9164D" w:rsidRDefault="002B0906">
      <w:pPr>
        <w:pStyle w:val="RBullet"/>
      </w:pPr>
      <w:r>
        <w:t>•</w:t>
      </w:r>
      <w:r>
        <w:tab/>
      </w:r>
      <w:r>
        <w:rPr>
          <w:b/>
        </w:rPr>
        <w:t>SQL</w:t>
      </w:r>
      <w:r w:rsidR="00DF1AE5">
        <w:rPr>
          <w:b/>
        </w:rPr>
        <w:t xml:space="preserve"> / SAS</w:t>
      </w:r>
      <w:r>
        <w:rPr>
          <w:b/>
        </w:rPr>
        <w:t xml:space="preserve"> / </w:t>
      </w:r>
      <w:r w:rsidR="00F85C67">
        <w:rPr>
          <w:b/>
        </w:rPr>
        <w:t>H</w:t>
      </w:r>
      <w:r>
        <w:rPr>
          <w:b/>
        </w:rPr>
        <w:t xml:space="preserve">ealthcare </w:t>
      </w:r>
      <w:r w:rsidR="00F85C67">
        <w:rPr>
          <w:b/>
        </w:rPr>
        <w:t>D</w:t>
      </w:r>
      <w:r>
        <w:rPr>
          <w:b/>
        </w:rPr>
        <w:t>ata:</w:t>
      </w:r>
      <w:r>
        <w:t xml:space="preserve"> </w:t>
      </w:r>
      <w:r w:rsidR="00DF1AE5" w:rsidRPr="00DF1AE5">
        <w:t>Extensive experience with large-scale healthcare claims and operational datasets, complex data mining, production extracts, and actuarial modeling across payer environments</w:t>
      </w:r>
    </w:p>
    <w:p w14:paraId="28984A6D" w14:textId="7DC7DC3B" w:rsidR="00A9164D" w:rsidRDefault="002B0906">
      <w:pPr>
        <w:pStyle w:val="RBullet"/>
      </w:pPr>
      <w:r>
        <w:t>•</w:t>
      </w:r>
      <w:r>
        <w:tab/>
      </w:r>
      <w:r>
        <w:rPr>
          <w:b/>
        </w:rPr>
        <w:t>Microsoft / VBA:</w:t>
      </w:r>
      <w:r>
        <w:t xml:space="preserve"> Advanced Excel, PowerPoint, Word, and VBA experience for analytical tools, executive presentations, recurring reporting, and actuarial work products</w:t>
      </w:r>
    </w:p>
    <w:sectPr w:rsidR="00A9164D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43105B"/>
    <w:multiLevelType w:val="hybridMultilevel"/>
    <w:tmpl w:val="47224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E233D0"/>
    <w:multiLevelType w:val="hybridMultilevel"/>
    <w:tmpl w:val="D58E6302"/>
    <w:lvl w:ilvl="0" w:tplc="F328DAD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92637C"/>
    <w:multiLevelType w:val="hybridMultilevel"/>
    <w:tmpl w:val="1852893C"/>
    <w:lvl w:ilvl="0" w:tplc="F328DAD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64DE2"/>
    <w:multiLevelType w:val="hybridMultilevel"/>
    <w:tmpl w:val="47B661DE"/>
    <w:lvl w:ilvl="0" w:tplc="F328DAD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8571D6"/>
    <w:multiLevelType w:val="hybridMultilevel"/>
    <w:tmpl w:val="CCD6B214"/>
    <w:lvl w:ilvl="0" w:tplc="F328DAD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0102325">
    <w:abstractNumId w:val="8"/>
  </w:num>
  <w:num w:numId="2" w16cid:durableId="923799171">
    <w:abstractNumId w:val="6"/>
  </w:num>
  <w:num w:numId="3" w16cid:durableId="981885103">
    <w:abstractNumId w:val="5"/>
  </w:num>
  <w:num w:numId="4" w16cid:durableId="954095307">
    <w:abstractNumId w:val="4"/>
  </w:num>
  <w:num w:numId="5" w16cid:durableId="516505764">
    <w:abstractNumId w:val="7"/>
  </w:num>
  <w:num w:numId="6" w16cid:durableId="1699044770">
    <w:abstractNumId w:val="3"/>
  </w:num>
  <w:num w:numId="7" w16cid:durableId="915474670">
    <w:abstractNumId w:val="2"/>
  </w:num>
  <w:num w:numId="8" w16cid:durableId="32312979">
    <w:abstractNumId w:val="1"/>
  </w:num>
  <w:num w:numId="9" w16cid:durableId="1090081401">
    <w:abstractNumId w:val="0"/>
  </w:num>
  <w:num w:numId="10" w16cid:durableId="1790660092">
    <w:abstractNumId w:val="9"/>
  </w:num>
  <w:num w:numId="11" w16cid:durableId="2132311871">
    <w:abstractNumId w:val="11"/>
  </w:num>
  <w:num w:numId="12" w16cid:durableId="1610622557">
    <w:abstractNumId w:val="10"/>
  </w:num>
  <w:num w:numId="13" w16cid:durableId="691810048">
    <w:abstractNumId w:val="12"/>
  </w:num>
  <w:num w:numId="14" w16cid:durableId="109485993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99E"/>
    <w:rsid w:val="0015074B"/>
    <w:rsid w:val="001D65BD"/>
    <w:rsid w:val="0029639D"/>
    <w:rsid w:val="002A73BA"/>
    <w:rsid w:val="002B0906"/>
    <w:rsid w:val="002C5630"/>
    <w:rsid w:val="00323A85"/>
    <w:rsid w:val="00326F90"/>
    <w:rsid w:val="003310FB"/>
    <w:rsid w:val="00412FF6"/>
    <w:rsid w:val="0047629D"/>
    <w:rsid w:val="00481192"/>
    <w:rsid w:val="00510015"/>
    <w:rsid w:val="005D024D"/>
    <w:rsid w:val="005F0BF3"/>
    <w:rsid w:val="006339EB"/>
    <w:rsid w:val="006A6DE5"/>
    <w:rsid w:val="006E2BC0"/>
    <w:rsid w:val="006E4CAA"/>
    <w:rsid w:val="006F1F4D"/>
    <w:rsid w:val="0078205D"/>
    <w:rsid w:val="00785624"/>
    <w:rsid w:val="007C412D"/>
    <w:rsid w:val="00860CAE"/>
    <w:rsid w:val="00925658"/>
    <w:rsid w:val="0095114D"/>
    <w:rsid w:val="009742AD"/>
    <w:rsid w:val="0097723A"/>
    <w:rsid w:val="00992EDB"/>
    <w:rsid w:val="009B58D2"/>
    <w:rsid w:val="009C1476"/>
    <w:rsid w:val="009F26BC"/>
    <w:rsid w:val="00A9164D"/>
    <w:rsid w:val="00AA1D8D"/>
    <w:rsid w:val="00AA5AE0"/>
    <w:rsid w:val="00AC1862"/>
    <w:rsid w:val="00AD3A2C"/>
    <w:rsid w:val="00B02216"/>
    <w:rsid w:val="00B12EAC"/>
    <w:rsid w:val="00B22C9F"/>
    <w:rsid w:val="00B47730"/>
    <w:rsid w:val="00BB5630"/>
    <w:rsid w:val="00C600EA"/>
    <w:rsid w:val="00CB0664"/>
    <w:rsid w:val="00D91B39"/>
    <w:rsid w:val="00DF1AE5"/>
    <w:rsid w:val="00E24FB8"/>
    <w:rsid w:val="00ED3202"/>
    <w:rsid w:val="00F409AB"/>
    <w:rsid w:val="00F445BC"/>
    <w:rsid w:val="00F85C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7A606C"/>
  <w14:defaultImageDpi w14:val="300"/>
  <w15:docId w15:val="{96730AF0-B583-41D7-AAAD-28E0ADD47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Header">
    <w:name w:val="RHeader"/>
    <w:pPr>
      <w:spacing w:after="0"/>
      <w:jc w:val="center"/>
    </w:pPr>
    <w:rPr>
      <w:rFonts w:ascii="Calibri" w:hAnsi="Calibri"/>
      <w:b/>
      <w:sz w:val="30"/>
    </w:rPr>
  </w:style>
  <w:style w:type="paragraph" w:customStyle="1" w:styleId="RContact">
    <w:name w:val="RContact"/>
    <w:pPr>
      <w:spacing w:after="80"/>
      <w:jc w:val="center"/>
    </w:pPr>
    <w:rPr>
      <w:rFonts w:ascii="Calibri" w:hAnsi="Calibri"/>
      <w:sz w:val="18"/>
    </w:rPr>
  </w:style>
  <w:style w:type="paragraph" w:customStyle="1" w:styleId="RSection">
    <w:name w:val="RSection"/>
    <w:pPr>
      <w:spacing w:before="100" w:after="20"/>
    </w:pPr>
    <w:rPr>
      <w:rFonts w:ascii="Calibri" w:hAnsi="Calibri"/>
      <w:b/>
      <w:sz w:val="20"/>
    </w:rPr>
  </w:style>
  <w:style w:type="paragraph" w:customStyle="1" w:styleId="RRole">
    <w:name w:val="RRole"/>
    <w:pPr>
      <w:spacing w:before="20" w:after="0"/>
    </w:pPr>
    <w:rPr>
      <w:rFonts w:ascii="Calibri" w:hAnsi="Calibri"/>
      <w:b/>
      <w:sz w:val="18"/>
    </w:rPr>
  </w:style>
  <w:style w:type="paragraph" w:customStyle="1" w:styleId="RSmall">
    <w:name w:val="RSmall"/>
    <w:pPr>
      <w:spacing w:after="20"/>
    </w:pPr>
    <w:rPr>
      <w:rFonts w:ascii="Calibri" w:hAnsi="Calibri"/>
      <w:sz w:val="18"/>
    </w:rPr>
  </w:style>
  <w:style w:type="paragraph" w:customStyle="1" w:styleId="RBullet">
    <w:name w:val="RBullet"/>
    <w:pPr>
      <w:spacing w:after="20"/>
      <w:ind w:left="259" w:hanging="259"/>
    </w:pPr>
    <w:rPr>
      <w:rFonts w:ascii="Calibri" w:hAnsi="Calibri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738</Words>
  <Characters>4760</Characters>
  <Application>Microsoft Office Word</Application>
  <DocSecurity>0</DocSecurity>
  <Lines>89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Swan, Andrew</cp:lastModifiedBy>
  <cp:revision>2</cp:revision>
  <dcterms:created xsi:type="dcterms:W3CDTF">2026-05-11T03:45:00Z</dcterms:created>
  <dcterms:modified xsi:type="dcterms:W3CDTF">2026-05-11T03:45:00Z</dcterms:modified>
  <cp:category/>
</cp:coreProperties>
</file>