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EC639" w14:textId="77777777" w:rsidR="0023615C" w:rsidRPr="00594C49" w:rsidRDefault="00000000" w:rsidP="00594C49">
      <w:pPr>
        <w:pStyle w:val="Heading1"/>
        <w:spacing w:line="360" w:lineRule="auto"/>
        <w:rPr>
          <w:sz w:val="36"/>
          <w:szCs w:val="36"/>
        </w:rPr>
      </w:pPr>
      <w:r w:rsidRPr="00594C49">
        <w:rPr>
          <w:sz w:val="36"/>
          <w:szCs w:val="36"/>
        </w:rPr>
        <w:t>Assumptions &amp; Methodology (NCRB + Census 2011)</w:t>
      </w:r>
    </w:p>
    <w:p w14:paraId="41D7383F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Analysis is based only on reported crimes; true incidence may differ due to under-reporting.</w:t>
      </w:r>
    </w:p>
    <w:p w14:paraId="7895A3EC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Crime data sourced from NCRB; socio-economic indicators from Census 2011.</w:t>
      </w:r>
    </w:p>
    <w:p w14:paraId="1FBE892D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Relationships shown are associative, not causal.</w:t>
      </w:r>
    </w:p>
    <w:p w14:paraId="6BA14150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Socio-economic structure assumed relatively stable over the analysis period.</w:t>
      </w:r>
    </w:p>
    <w:p w14:paraId="24537C38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Crime density (per 1,000 population) used to enable fair inter-region comparison.</w:t>
      </w:r>
    </w:p>
    <w:p w14:paraId="31D14863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District-level data aggregated to state level where required.</w:t>
      </w:r>
    </w:p>
    <w:p w14:paraId="44D2C1DA" w14:textId="77777777" w:rsidR="0023615C" w:rsidRPr="00594C49" w:rsidRDefault="00000000" w:rsidP="00594C49">
      <w:pPr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br w:type="page"/>
      </w:r>
    </w:p>
    <w:p w14:paraId="64639166" w14:textId="77777777" w:rsidR="0023615C" w:rsidRPr="00594C49" w:rsidRDefault="00000000" w:rsidP="00594C49">
      <w:pPr>
        <w:pStyle w:val="Heading1"/>
        <w:spacing w:line="360" w:lineRule="auto"/>
        <w:rPr>
          <w:sz w:val="36"/>
          <w:szCs w:val="36"/>
        </w:rPr>
      </w:pPr>
      <w:r w:rsidRPr="00594C49">
        <w:rPr>
          <w:sz w:val="36"/>
          <w:szCs w:val="36"/>
        </w:rPr>
        <w:lastRenderedPageBreak/>
        <w:t>Rural–Urban Classification (Custom Logic)</w:t>
      </w:r>
    </w:p>
    <w:p w14:paraId="5ACDE1A7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Districts classified by dominant living structure, not administrative labels.</w:t>
      </w:r>
    </w:p>
    <w:p w14:paraId="27569737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Rural districts require ≥50% rural households and ≥50% rural population.</w:t>
      </w:r>
    </w:p>
    <w:p w14:paraId="3FF3E0C3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Mixed districts are assigned based on majority dominance.</w:t>
      </w:r>
    </w:p>
    <w:p w14:paraId="0A027322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Improves contextual accuracy of rural–urban comparisons.</w:t>
      </w:r>
    </w:p>
    <w:p w14:paraId="1B078E1C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Avoids distortion caused by administratively urban districts with rural populations.</w:t>
      </w:r>
    </w:p>
    <w:p w14:paraId="0BE388D7" w14:textId="77777777" w:rsidR="0023615C" w:rsidRPr="00594C49" w:rsidRDefault="00000000" w:rsidP="00594C49">
      <w:pPr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br w:type="page"/>
      </w:r>
    </w:p>
    <w:p w14:paraId="33054A37" w14:textId="77777777" w:rsidR="0023615C" w:rsidRPr="00594C49" w:rsidRDefault="00000000" w:rsidP="00594C49">
      <w:pPr>
        <w:pStyle w:val="Heading1"/>
        <w:spacing w:line="360" w:lineRule="auto"/>
        <w:rPr>
          <w:sz w:val="36"/>
          <w:szCs w:val="36"/>
        </w:rPr>
      </w:pPr>
      <w:r w:rsidRPr="00594C49">
        <w:rPr>
          <w:sz w:val="36"/>
          <w:szCs w:val="36"/>
        </w:rPr>
        <w:lastRenderedPageBreak/>
        <w:t>Overall Crimes Against Women – National Overview</w:t>
      </w:r>
    </w:p>
    <w:p w14:paraId="6CFCFCF7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Total reported crimes against women: ~194K nationally.</w:t>
      </w:r>
    </w:p>
    <w:p w14:paraId="40817988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Rural districts account for ~80% of reported cases.</w:t>
      </w:r>
    </w:p>
    <w:p w14:paraId="42201C2A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Average crimes per district: ~321 cases.</w:t>
      </w:r>
    </w:p>
    <w:p w14:paraId="64E55537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Crime concentration varies significantly across states.</w:t>
      </w:r>
    </w:p>
    <w:p w14:paraId="4D0316A4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Highlights strong spatial clustering rather than uniform distribution.</w:t>
      </w:r>
    </w:p>
    <w:p w14:paraId="0A886E7E" w14:textId="77777777" w:rsidR="0023615C" w:rsidRPr="00594C49" w:rsidRDefault="00000000" w:rsidP="00594C49">
      <w:pPr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br w:type="page"/>
      </w:r>
    </w:p>
    <w:p w14:paraId="2F03943E" w14:textId="77777777" w:rsidR="0023615C" w:rsidRPr="00594C49" w:rsidRDefault="00000000" w:rsidP="00594C49">
      <w:pPr>
        <w:pStyle w:val="Heading1"/>
        <w:spacing w:line="360" w:lineRule="auto"/>
        <w:rPr>
          <w:sz w:val="36"/>
          <w:szCs w:val="36"/>
        </w:rPr>
      </w:pPr>
      <w:r w:rsidRPr="00594C49">
        <w:rPr>
          <w:sz w:val="36"/>
          <w:szCs w:val="36"/>
        </w:rPr>
        <w:lastRenderedPageBreak/>
        <w:t>Categorical Breakdown of Crimes Against Women</w:t>
      </w:r>
    </w:p>
    <w:p w14:paraId="375AD867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Dowry/Domestic crimes form the largest category (~92K cases).</w:t>
      </w:r>
    </w:p>
    <w:p w14:paraId="332CC501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Sexual crimes account for ~69K cases nationally.</w:t>
      </w:r>
    </w:p>
    <w:p w14:paraId="578E8C2E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Other crimes constitute the smallest share (~32K cases).</w:t>
      </w:r>
    </w:p>
    <w:p w14:paraId="12A4B23B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Dowry and sexual crimes show comparable density per 1,000 population.</w:t>
      </w:r>
    </w:p>
    <w:p w14:paraId="53563C07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Category-wise analysis reveals differing socio-economic associations.</w:t>
      </w:r>
    </w:p>
    <w:p w14:paraId="2E49B408" w14:textId="77777777" w:rsidR="0023615C" w:rsidRPr="00594C49" w:rsidRDefault="00000000" w:rsidP="00594C49">
      <w:pPr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br w:type="page"/>
      </w:r>
    </w:p>
    <w:p w14:paraId="5C8C686D" w14:textId="77777777" w:rsidR="0023615C" w:rsidRPr="00594C49" w:rsidRDefault="00000000" w:rsidP="00594C49">
      <w:pPr>
        <w:pStyle w:val="Heading1"/>
        <w:spacing w:line="360" w:lineRule="auto"/>
        <w:rPr>
          <w:sz w:val="36"/>
          <w:szCs w:val="36"/>
        </w:rPr>
      </w:pPr>
      <w:r w:rsidRPr="00594C49">
        <w:rPr>
          <w:sz w:val="36"/>
          <w:szCs w:val="36"/>
        </w:rPr>
        <w:lastRenderedPageBreak/>
        <w:t>Dowry / Domestic Crimes – Key Insights</w:t>
      </w:r>
    </w:p>
    <w:p w14:paraId="118F0F6B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Dowry/Domestic crimes are predominantly rural in nature.</w:t>
      </w:r>
    </w:p>
    <w:p w14:paraId="384F2BFA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West Bengal and Rajasthan report the highest counts.</w:t>
      </w:r>
    </w:p>
    <w:p w14:paraId="5056E0D3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States with higher female literacy still report high dowry crime counts.</w:t>
      </w:r>
    </w:p>
    <w:p w14:paraId="2FFBD1AD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Income inequality (lower PP groups) is strongly represented.</w:t>
      </w:r>
    </w:p>
    <w:p w14:paraId="6AA79736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Suggests socio-cultural persistence beyond education alone.</w:t>
      </w:r>
    </w:p>
    <w:p w14:paraId="3A60E9C1" w14:textId="77777777" w:rsidR="0023615C" w:rsidRPr="00594C49" w:rsidRDefault="00000000" w:rsidP="00594C49">
      <w:pPr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br w:type="page"/>
      </w:r>
    </w:p>
    <w:p w14:paraId="32F4639C" w14:textId="77777777" w:rsidR="0023615C" w:rsidRPr="00594C49" w:rsidRDefault="00000000" w:rsidP="00594C49">
      <w:pPr>
        <w:pStyle w:val="Heading1"/>
        <w:spacing w:line="360" w:lineRule="auto"/>
        <w:rPr>
          <w:sz w:val="36"/>
          <w:szCs w:val="36"/>
        </w:rPr>
      </w:pPr>
      <w:r w:rsidRPr="00594C49">
        <w:rPr>
          <w:sz w:val="36"/>
          <w:szCs w:val="36"/>
        </w:rPr>
        <w:lastRenderedPageBreak/>
        <w:t>Sexual Crimes – Key Insights</w:t>
      </w:r>
    </w:p>
    <w:p w14:paraId="649E30FC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Sexual crimes show a more balanced rural–urban split than dowry crimes.</w:t>
      </w:r>
    </w:p>
    <w:p w14:paraId="23CA212B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Madhya Pradesh and Andhra Pradesh report the highest totals.</w:t>
      </w:r>
    </w:p>
    <w:p w14:paraId="1C673E7F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Kerala exhibits high literacy yet significant sexual crime reporting.</w:t>
      </w:r>
    </w:p>
    <w:p w14:paraId="3FD559BD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Higher reporting may reflect awareness and institutional access.</w:t>
      </w:r>
    </w:p>
    <w:p w14:paraId="76E08C10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Education alone does not imply lower sexual crime incidence.</w:t>
      </w:r>
    </w:p>
    <w:p w14:paraId="1F6A2AF0" w14:textId="77777777" w:rsidR="0023615C" w:rsidRPr="00594C49" w:rsidRDefault="00000000" w:rsidP="00594C49">
      <w:pPr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br w:type="page"/>
      </w:r>
    </w:p>
    <w:p w14:paraId="46FE0D08" w14:textId="77777777" w:rsidR="0023615C" w:rsidRPr="00594C49" w:rsidRDefault="00000000" w:rsidP="00594C49">
      <w:pPr>
        <w:pStyle w:val="Heading1"/>
        <w:spacing w:line="360" w:lineRule="auto"/>
        <w:rPr>
          <w:sz w:val="36"/>
          <w:szCs w:val="36"/>
        </w:rPr>
      </w:pPr>
      <w:r w:rsidRPr="00594C49">
        <w:rPr>
          <w:sz w:val="36"/>
          <w:szCs w:val="36"/>
        </w:rPr>
        <w:lastRenderedPageBreak/>
        <w:t>Other Crimes Against Women – Key Insights</w:t>
      </w:r>
    </w:p>
    <w:p w14:paraId="1B46CF90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Other crimes are lowest in absolute volume but non-trivial.</w:t>
      </w:r>
    </w:p>
    <w:p w14:paraId="0695911F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Uttar Pradesh and Bihar lead in reported cases.</w:t>
      </w:r>
    </w:p>
    <w:p w14:paraId="32ED0284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Stronger association with lower education attainment.</w:t>
      </w:r>
    </w:p>
    <w:p w14:paraId="49865AE5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Lower-income groups dominate affected populations.</w:t>
      </w:r>
    </w:p>
    <w:p w14:paraId="4259CDF8" w14:textId="77777777" w:rsidR="0023615C" w:rsidRPr="00594C49" w:rsidRDefault="00000000" w:rsidP="00594C49">
      <w:pPr>
        <w:pStyle w:val="ListBullet"/>
        <w:spacing w:line="360" w:lineRule="auto"/>
        <w:rPr>
          <w:sz w:val="28"/>
          <w:szCs w:val="28"/>
        </w:rPr>
      </w:pPr>
      <w:r w:rsidRPr="00594C49">
        <w:rPr>
          <w:sz w:val="28"/>
          <w:szCs w:val="28"/>
        </w:rPr>
        <w:t>Likely linked to structural vulnerability and weak safeguards.</w:t>
      </w:r>
    </w:p>
    <w:sectPr w:rsidR="0023615C" w:rsidRPr="00594C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7043308">
    <w:abstractNumId w:val="8"/>
  </w:num>
  <w:num w:numId="2" w16cid:durableId="2027749966">
    <w:abstractNumId w:val="6"/>
  </w:num>
  <w:num w:numId="3" w16cid:durableId="454106859">
    <w:abstractNumId w:val="5"/>
  </w:num>
  <w:num w:numId="4" w16cid:durableId="1071929437">
    <w:abstractNumId w:val="4"/>
  </w:num>
  <w:num w:numId="5" w16cid:durableId="1280835697">
    <w:abstractNumId w:val="7"/>
  </w:num>
  <w:num w:numId="6" w16cid:durableId="1739086416">
    <w:abstractNumId w:val="3"/>
  </w:num>
  <w:num w:numId="7" w16cid:durableId="676732717">
    <w:abstractNumId w:val="2"/>
  </w:num>
  <w:num w:numId="8" w16cid:durableId="772289571">
    <w:abstractNumId w:val="1"/>
  </w:num>
  <w:num w:numId="9" w16cid:durableId="580680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15C"/>
    <w:rsid w:val="0029639D"/>
    <w:rsid w:val="00326F90"/>
    <w:rsid w:val="00594C49"/>
    <w:rsid w:val="00731F4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04ED38"/>
  <w14:defaultImageDpi w14:val="300"/>
  <w15:docId w15:val="{72D76F8F-B4F4-4D50-A651-A70B0D214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Shobha Mishra</cp:lastModifiedBy>
  <cp:revision>2</cp:revision>
  <dcterms:created xsi:type="dcterms:W3CDTF">2013-12-23T23:15:00Z</dcterms:created>
  <dcterms:modified xsi:type="dcterms:W3CDTF">2025-12-27T09:19:00Z</dcterms:modified>
  <cp:category/>
</cp:coreProperties>
</file>