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 Prep – [Candidate]</w:t>
      </w:r>
    </w:p>
    <w:p>
      <w:pPr>
        <w:jc w:val="left"/>
      </w:pPr>
      <w:r>
        <w:rPr>
          <w:color w:val="666666"/>
          <w:sz w:val="22"/>
        </w:rPr>
        <w:t>Zume • Senior SDET Hiring Operations Toolkit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ZumeCallout"/>
            </w:pPr>
            <w:r>
              <w:rPr>
                <w:color w:val="BF8F00"/>
              </w:rPr>
              <w:t>Template fields are populated by Zume. Remove internal notes before sending externally.</w:t>
            </w:r>
          </w:p>
        </w:tc>
      </w:tr>
    </w:tbl>
    <w:p/>
    <w:p>
      <w:pPr>
        <w:pStyle w:val="Heading1"/>
      </w:pPr>
      <w:r>
        <w:t>Candidate assessment</w:t>
      </w:r>
    </w:p>
    <w:p>
      <w:r>
        <w:t>[Generated content]</w:t>
      </w:r>
    </w:p>
    <w:p>
      <w:pPr>
        <w:pStyle w:val="Heading1"/>
      </w:pPr>
      <w:r>
        <w:t>Knockout round</w:t>
      </w:r>
    </w:p>
    <w:p>
      <w:r>
        <w:t>[Generated content]</w:t>
      </w:r>
    </w:p>
    <w:p>
      <w:pPr>
        <w:pStyle w:val="Heading1"/>
      </w:pPr>
      <w:r>
        <w:t>Resume-specific validation</w:t>
      </w:r>
    </w:p>
    <w:p>
      <w:r>
        <w:t>[Generated content]</w:t>
      </w:r>
    </w:p>
    <w:p>
      <w:pPr>
        <w:pStyle w:val="Heading1"/>
      </w:pPr>
      <w:r>
        <w:t>Java</w:t>
      </w:r>
    </w:p>
    <w:p>
      <w:r>
        <w:t>[Generated content]</w:t>
      </w:r>
    </w:p>
    <w:p>
      <w:pPr>
        <w:pStyle w:val="Heading1"/>
      </w:pPr>
      <w:r>
        <w:t>Selenium</w:t>
      </w:r>
    </w:p>
    <w:p>
      <w:r>
        <w:t>[Generated content]</w:t>
      </w:r>
    </w:p>
    <w:p>
      <w:pPr>
        <w:pStyle w:val="Heading1"/>
      </w:pPr>
      <w:r>
        <w:t>TestNG/Cucumber/Maven</w:t>
      </w:r>
    </w:p>
    <w:p>
      <w:r>
        <w:t>[Generated content]</w:t>
      </w:r>
    </w:p>
    <w:p>
      <w:pPr>
        <w:pStyle w:val="Heading1"/>
      </w:pPr>
      <w:r>
        <w:t>REST Assured</w:t>
      </w:r>
    </w:p>
    <w:p>
      <w:r>
        <w:t>[Generated content]</w:t>
      </w:r>
    </w:p>
    <w:p>
      <w:pPr>
        <w:pStyle w:val="Heading1"/>
      </w:pPr>
      <w:r>
        <w:t>SQL/Oracle</w:t>
      </w:r>
    </w:p>
    <w:p>
      <w:r>
        <w:t>[Generated content]</w:t>
      </w:r>
    </w:p>
    <w:p>
      <w:pPr>
        <w:pStyle w:val="Heading1"/>
      </w:pPr>
      <w:r>
        <w:t>Appium</w:t>
      </w:r>
    </w:p>
    <w:p>
      <w:r>
        <w:t>[Generated content]</w:t>
      </w:r>
    </w:p>
    <w:p>
      <w:pPr>
        <w:pStyle w:val="Heading1"/>
      </w:pPr>
      <w:r>
        <w:t>CI/CD</w:t>
      </w:r>
    </w:p>
    <w:p>
      <w:r>
        <w:t>[Generated content]</w:t>
      </w:r>
    </w:p>
    <w:p>
      <w:pPr>
        <w:pStyle w:val="Heading1"/>
      </w:pPr>
      <w:r>
        <w:t>Scoring</w:t>
      </w:r>
    </w:p>
    <w:p>
      <w:r>
        <w:t>[Generated content]</w:t>
      </w:r>
    </w:p>
    <w:p>
      <w:pPr>
        <w:pStyle w:val="Heading1"/>
      </w:pPr>
      <w:r>
        <w:t>Recommendation rules</w:t>
      </w:r>
    </w:p>
    <w:p>
      <w:r>
        <w:t>[Generated content]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Private hiring operations material • Do not commit candidate PII to source control</w:t>
    </w:r>
  </w:p>
  <w:p>
    <w:pPr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b/>
        <w:color w:val="17365D"/>
      </w:rPr>
      <w:t>ZUME  |  AUTOMATION HIRING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umeCallout">
    <w:name w:val="Zume Callout"/>
    <w:rPr>
      <w:rFonts w:ascii="Aptos" w:hAnsi="Aptos"/>
      <w:b/>
      <w:color w:val="17365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