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C1-W2 Family Handout</w:t>
      </w:r>
    </w:p>
    <w:p>
      <w:r>
        <w:t>---</w:t>
      </w:r>
    </w:p>
    <w:p>
      <w:r>
        <w:t>week_code: C1-W2</w:t>
      </w:r>
    </w:p>
    <w:p>
      <w:r>
        <w:t>week_title: I Am Not This Body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"C1-W2 — I Am Not This Body"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Use the identity pause once daily at a chosen trigger. |</w:t>
      </w:r>
    </w:p>
    <w:p>
      <w:r>
        <w:t>| **Standard** | Use the pause daily and complete one body-care action that supports service: sleep routine, medication, movement, cleanliness or reduced screen use. |</w:t>
      </w:r>
    </w:p>
    <w:p>
      <w:r>
        <w:t>| **Stretch** | Discuss one appearance or status pressure as a family using BG 2.13. |</w:t>
      </w:r>
    </w:p>
    <w:p>
      <w:r>
        <w:t>| **Evidence** | Private reflection: What changed in my response after the pause?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