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C1-W4 Older Teacher Guide</w:t>
      </w:r>
    </w:p>
    <w:p>
      <w:pPr>
        <w:pStyle w:val="Heading1"/>
      </w:pPr>
      <w:r>
        <w:t>Objective</w:t>
      </w:r>
    </w:p>
    <w:p>
      <w:r>
        <w:t>Students can explain: **Human life gives a rare opportunity for deliberate self-realization.**</w:t>
      </w:r>
    </w:p>
    <w:p>
      <w:pPr>
        <w:pStyle w:val="Heading1"/>
      </w:pPr>
      <w:r>
        <w:t>Essential question</w:t>
      </w:r>
    </w:p>
    <w:p>
      <w:r>
        <w:t>What deserves protected family time?</w:t>
      </w:r>
    </w:p>
    <w:p>
      <w:pPr>
        <w:pStyle w:val="Heading1"/>
      </w:pPr>
      <w:r>
        <w:t>40-minute core</w:t>
      </w:r>
    </w:p>
    <w:p>
      <w:r>
        <w:t>| Min | Block |</w:t>
      </w:r>
    </w:p>
    <w:p>
      <w:r>
        <w:t>|---|---|</w:t>
      </w:r>
    </w:p>
    <w:p>
      <w:r>
        <w:t>| 0–5 | Hook + essential question |</w:t>
      </w:r>
    </w:p>
    <w:p>
      <w:r>
        <w:t>| 5–15 | Short primary text observation (Śrīmad-Bhāgavatam 11.9.29) |</w:t>
      </w:r>
    </w:p>
    <w:p>
      <w:r>
        <w:t>| 15–25 | Diagram + case discussion |</w:t>
      </w:r>
    </w:p>
    <w:p>
      <w:r>
        <w:t>| 25–33 | Worksheet / game |</w:t>
      </w:r>
    </w:p>
    <w:p>
      <w:r>
        <w:t>| 33–38 | Application + project link |</w:t>
      </w:r>
    </w:p>
    <w:p>
      <w:r>
        <w:t>| 38–40 | Cleanup + parent handoff |</w:t>
      </w:r>
    </w:p>
    <w:p>
      <w:pPr>
        <w:pStyle w:val="Heading1"/>
      </w:pPr>
      <w:r>
        <w:t>Answer keys</w:t>
      </w:r>
    </w:p>
    <w:p>
      <w:r>
        <w:t>See `activities/OLDER-ANSWER-KEY.md`.</w:t>
      </w:r>
    </w:p>
    <w:p>
      <w:pPr>
        <w:pStyle w:val="Heading1"/>
      </w:pPr>
      <w:r>
        <w:t>Boundaries</w:t>
      </w:r>
    </w:p>
    <w:p>
      <w:r>
        <w:t>- Do not teach full other-week ontology.</w:t>
      </w:r>
    </w:p>
    <w:p>
      <w:r>
        <w:t>- Misconception to block: Use fear or death-pressure to motivate children</w:t>
      </w:r>
    </w:p>
    <w:p>
      <w:r>
        <w:t>- Science may illustrate habits only — never prove metaphysics.</w:t>
      </w:r>
    </w:p>
    <w:p>
      <w:pPr>
        <w:pStyle w:val="Heading1"/>
      </w:pPr>
      <w:r>
        <w:t>Key source</w:t>
      </w:r>
    </w:p>
    <w:p>
      <w:r>
        <w:t>Śrīmad-Bhāgavatam 11.9.29 — https://vedabase.io/en/library/sb/11/9/29/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