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C1-W5 Younger Teacher Guide</w:t>
      </w:r>
    </w:p>
    <w:p>
      <w:pPr>
        <w:pStyle w:val="Heading1"/>
      </w:pPr>
      <w:r>
        <w:t>Objective</w:t>
      </w:r>
    </w:p>
    <w:p>
      <w:r>
        <w:t>Children taste: **Temporary things can be used well but cannot provide permanent fulfillment.**</w:t>
      </w:r>
    </w:p>
    <w:p>
      <w:pPr>
        <w:pStyle w:val="Heading1"/>
      </w:pPr>
      <w:r>
        <w:t>Memory phrase</w:t>
      </w:r>
    </w:p>
    <w:p>
      <w:r>
        <w:t>Pleasures born of contact have a beginning and end; the wise do not seek fulfillment in them alone.</w:t>
      </w:r>
    </w:p>
    <w:p>
      <w:pPr>
        <w:pStyle w:val="Heading1"/>
      </w:pPr>
      <w:r>
        <w:t>40-minute core</w:t>
      </w:r>
    </w:p>
    <w:p>
      <w:r>
        <w:t>| Min | Block |</w:t>
      </w:r>
    </w:p>
    <w:p>
      <w:r>
        <w:t>|---|---|</w:t>
      </w:r>
    </w:p>
    <w:p>
      <w:r>
        <w:t>| 0–5 | Settle + memory phrase echo |</w:t>
      </w:r>
    </w:p>
    <w:p>
      <w:r>
        <w:t>| 5–15 | Story / Prem-kī-Kathā listening |</w:t>
      </w:r>
    </w:p>
    <w:p>
      <w:r>
        <w:t>| 15–25 | Movement + hands-on object |</w:t>
      </w:r>
    </w:p>
    <w:p>
      <w:r>
        <w:t>| 25–33 | Coloring / matching / craft |</w:t>
      </w:r>
    </w:p>
    <w:p>
      <w:r>
        <w:t>| 33–38 | Memory card + take-home cue |</w:t>
      </w:r>
    </w:p>
    <w:p>
      <w:r>
        <w:t>| 38–40 | Cleanup + parent handoff |</w:t>
      </w:r>
    </w:p>
    <w:p>
      <w:pPr>
        <w:pStyle w:val="Heading1"/>
      </w:pPr>
      <w:r>
        <w:t>Materials</w:t>
      </w:r>
    </w:p>
    <w:p>
      <w:r>
        <w:t>See `materials.md` + `activities/YOUNGER-ACTIVITY-PACK.md`.</w:t>
      </w:r>
    </w:p>
    <w:p>
      <w:pPr>
        <w:pStyle w:val="Heading1"/>
      </w:pPr>
      <w:r>
        <w:t>Boundaries</w:t>
      </w:r>
    </w:p>
    <w:p>
      <w:r>
        <w:t>- No forced chanting volume.</w:t>
      </w:r>
    </w:p>
    <w:p>
      <w:r>
        <w:t>- No public shame.</w:t>
      </w:r>
    </w:p>
    <w:p>
      <w:r>
        <w:t>- Defer hard doctrine: use approved deferral line from `launch/TEACHER-READINESS-STANDARD.md`.</w:t>
      </w:r>
    </w:p>
    <w:p>
      <w:pPr>
        <w:pStyle w:val="Heading1"/>
      </w:pPr>
      <w:r>
        <w:t>Key source</w:t>
      </w:r>
    </w:p>
    <w:p>
      <w:r>
        <w:t>Bhagavad-gītā 5.22 — https://vedabase.io/en/library/bg/5/22/ (paraphrase for K–2)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