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C1-W6 Older Teacher Guide</w:t>
      </w:r>
    </w:p>
    <w:p>
      <w:pPr>
        <w:pStyle w:val="Heading1"/>
      </w:pPr>
      <w:r>
        <w:t>Objective</w:t>
      </w:r>
    </w:p>
    <w:p>
      <w:r>
        <w:t>Students can explain: **Identity, purpose, and practice must form one coherent family life.**</w:t>
      </w:r>
    </w:p>
    <w:p>
      <w:pPr>
        <w:pStyle w:val="Heading1"/>
      </w:pPr>
      <w:r>
        <w:t>Essential question</w:t>
      </w:r>
    </w:p>
    <w:p>
      <w:r>
        <w:t>Can our family explain and apply what we learned?</w:t>
      </w:r>
    </w:p>
    <w:p>
      <w:pPr>
        <w:pStyle w:val="Heading1"/>
      </w:pPr>
      <w:r>
        <w:t>40-minute core</w:t>
      </w:r>
    </w:p>
    <w:p>
      <w:r>
        <w:t>| Min | Block |</w:t>
      </w:r>
    </w:p>
    <w:p>
      <w:r>
        <w:t>|---|---|</w:t>
      </w:r>
    </w:p>
    <w:p>
      <w:r>
        <w:t>| 0–5 | Hook + essential question |</w:t>
      </w:r>
    </w:p>
    <w:p>
      <w:r>
        <w:t>| 5–15 | Short primary text observation (Cycle 1 review (SB 1.2.18 · BG 2.13 · BG 2.20 · SB 11.9.29 · BG 5.22)) |</w:t>
      </w:r>
    </w:p>
    <w:p>
      <w:r>
        <w:t>| 15–25 | Diagram + case discussion |</w:t>
      </w:r>
    </w:p>
    <w:p>
      <w:r>
        <w:t>| 25–33 | Worksheet / game |</w:t>
      </w:r>
    </w:p>
    <w:p>
      <w:r>
        <w:t>| 33–38 | Application + project link |</w:t>
      </w:r>
    </w:p>
    <w:p>
      <w:r>
        <w:t>| 38–40 | Cleanup + parent handoff |</w:t>
      </w:r>
    </w:p>
    <w:p>
      <w:pPr>
        <w:pStyle w:val="Heading1"/>
      </w:pPr>
      <w:r>
        <w:t>Answer keys</w:t>
      </w:r>
    </w:p>
    <w:p>
      <w:r>
        <w:t>See `activities/OLDER-ANSWER-KEY.md`.</w:t>
      </w:r>
    </w:p>
    <w:p>
      <w:pPr>
        <w:pStyle w:val="Heading1"/>
      </w:pPr>
      <w:r>
        <w:t>Boundaries</w:t>
      </w:r>
    </w:p>
    <w:p>
      <w:r>
        <w:t>- Do not teach full other-week ontology.</w:t>
      </w:r>
    </w:p>
    <w:p>
      <w:r>
        <w:t>- Misconception to block: Competition or ranking of families</w:t>
      </w:r>
    </w:p>
    <w:p>
      <w:r>
        <w:t>- Science may illustrate habits only — never prove metaphysics.</w:t>
      </w:r>
    </w:p>
    <w:p>
      <w:pPr>
        <w:pStyle w:val="Heading1"/>
      </w:pPr>
      <w:r>
        <w:t>Key source</w:t>
      </w:r>
    </w:p>
    <w:p>
      <w:r>
        <w:t>Cycle 1 review (SB 1.2.18 · BG 2.13 · BG 2.20 · SB 11.9.29 · BG 5.22) — https://vedabase.io/en/library/sb/1/2/18/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