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8E8"/>
  <w:body>
    <w:p>
      <w:pPr>
        <w:spacing w:before="936"/>
        <w:jc w:val="center"/>
      </w:pPr>
      <w:r>
        <w:rPr>
          <w:rFonts w:ascii="Segoe UI" w:hAnsi="Segoe UI" w:eastAsia="Segoe UI" w:cs="Segoe UI"/>
          <w:b/>
          <w:color w:val="E59B24"/>
          <w:sz w:val="36"/>
        </w:rPr>
        <w:t>KUTUMBA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</w:tblGrid>
      <w:tr>
        <w:tc>
          <w:tcPr>
            <w:tcW w:type="dxa" w:w="9936"/>
            <w:shd w:fill="5B1933"/>
          </w:tcPr>
          <w:p>
            <w:r/>
          </w:p>
        </w:tc>
      </w:tr>
    </w:tbl>
    <w:p>
      <w:pPr>
        <w:pStyle w:val="Title"/>
        <w:spacing w:before="792"/>
        <w:jc w:val="center"/>
      </w:pPr>
      <w:r>
        <w:t>C1-U1 — Start Here</w:t>
      </w:r>
    </w:p>
    <w:p>
      <w:pPr>
        <w:pStyle w:val="Subtitle"/>
        <w:jc w:val="center"/>
      </w:pPr>
      <w:r>
        <w:t>Owner-facing operational entry point</w:t>
      </w:r>
    </w:p>
    <w:p>
      <w:pPr>
        <w:spacing w:before="360"/>
        <w:jc w:val="center"/>
      </w:pPr>
      <w:r>
        <w:rPr>
          <w:rFonts w:ascii="Cambria" w:hAnsi="Cambria" w:eastAsia="Cambria" w:cs="Cambria"/>
          <w:b/>
          <w:color w:val="7A263A"/>
          <w:sz w:val="24"/>
        </w:rPr>
        <w:t>C1-U1 • Kārtika / Dāmodara Family Utsava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E3CA91"/>
          <w:left w:val="single" w:sz="5" w:color="E3CA91"/>
          <w:bottom w:val="single" w:sz="5" w:color="E3CA91"/>
          <w:right w:val="single" w:sz="5" w:color="E3CA91"/>
          <w:insideH w:val="single" w:sz="5" w:color="E3CA91"/>
          <w:insideV w:val="single" w:sz="5" w:color="E3CA91"/>
        </w:tblBorders>
      </w:tblPr>
      <w:tblGrid>
        <w:gridCol w:w="8352"/>
      </w:tblGrid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F8E8BF"/>
          </w:tcPr>
          <w:p>
            <w:pPr>
              <w:jc w:val="center"/>
            </w:pPr>
            <w:r>
              <w:rPr>
                <w:b/>
              </w:rPr>
              <w:t>V13  •  Families Growing in Krishna Consciousness</w:t>
              <w:br/>
              <w:t>Program Director: Swapnil Patil</w:t>
            </w:r>
          </w:p>
        </w:tc>
      </w:tr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E4F0ED"/>
          </w:tcPr>
          <w:p>
            <w:pPr>
              <w:jc w:val="center"/>
            </w:pPr>
            <w:r>
              <w:rPr>
                <w:i/>
                <w:color w:val="5B1933"/>
              </w:rPr>
              <w:t>Internal founding-cohort teaching material — human/temple review EXTERNAL_OPEN</w:t>
            </w:r>
          </w:p>
        </w:tc>
      </w:tr>
    </w:tbl>
    <w:p>
      <w:pPr>
        <w:spacing w:before="1440"/>
        <w:jc w:val="center"/>
      </w:pPr>
      <w:r>
        <w:rPr>
          <w:rFonts w:ascii="Segoe UI" w:hAnsi="Segoe UI" w:eastAsia="Segoe UI" w:cs="Segoe UI"/>
          <w:color w:val="4F7C78"/>
          <w:sz w:val="18"/>
        </w:rPr>
        <w:t>KUTUMBA  |  Families Growing in Krishna Consciousness</w:t>
      </w:r>
    </w:p>
    <w:p>
      <w:r>
        <w:br w:type="page"/>
      </w:r>
    </w:p>
    <w:p>
      <w:pPr>
        <w:pStyle w:val="Heading1"/>
      </w:pPr>
      <w:r>
        <w:t>Locked Saturday Schedule</w:t>
      </w:r>
    </w:p>
    <w:tbl>
      <w:tblPr>
        <w:tblStyle w:val="KUTUMBATable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8C8B2"/>
          <w:left w:val="single" w:sz="6" w:color="D8C8B2"/>
          <w:bottom w:val="single" w:sz="6" w:color="D8C8B2"/>
          <w:right w:val="single" w:sz="6" w:color="D8C8B2"/>
          <w:insideH w:val="single" w:sz="6" w:color="D8C8B2"/>
          <w:insideV w:val="single" w:sz="6" w:color="D8C8B2"/>
        </w:tblBorders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Time</w:t>
            </w:r>
          </w:p>
        </w:tc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Block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1:50–2:00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Arrival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2:00–2:10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Opening mantras + welcome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2:10–2:30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All-family launch/orientation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2:30–3:10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Parallel tracks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3:10–3:30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Reunification + bhakti laboratory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3:30–3:40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Snack + water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3:40–3:55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Saṅkalpa + project + home practice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3:55–4:00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Close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4F7C78"/>
          <w:left w:val="single" w:sz="8" w:color="4F7C78"/>
          <w:bottom w:val="single" w:sz="8" w:color="4F7C78"/>
          <w:right w:val="single" w:sz="8" w:color="4F7C78"/>
          <w:insideH w:val="single" w:sz="8" w:color="4F7C78"/>
          <w:insideV w:val="single" w:sz="8" w:color="4F7C78"/>
        </w:tblBorders>
      </w:tblPr>
      <w:tblGrid>
        <w:gridCol w:w="1944"/>
        <w:gridCol w:w="8136"/>
      </w:tblGrid>
      <w:tr>
        <w:tc>
          <w:tcPr>
            <w:tcW w:type="dxa" w:w="4968"/>
            <w:shd w:fill="4F7C78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TIME CUE</w:t>
            </w:r>
          </w:p>
        </w:tc>
        <w:tc>
          <w:tcPr>
            <w:tcW w:type="dxa" w:w="4968"/>
            <w:shd w:fill="EFF0F1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Utsava planning date 2026-10-31. Use 2:30 / 3:10 cues when parallel tracks run; local tithi remains EXTERNAL_OPEN.</w:t>
            </w:r>
          </w:p>
        </w:tc>
      </w:tr>
    </w:tbl>
    <w:p>
      <w:pPr>
        <w:spacing w:after="20"/>
      </w:pPr>
    </w:p>
    <w:p>
      <w:r>
        <w:t>Primary verse: ŚB 10.9.18</w:t>
      </w:r>
    </w:p>
    <w:p>
      <w:r>
        <w:t>Source URL: https://vedabase.io/en/library/sb/10/9/18/</w:t>
      </w:r>
    </w:p>
    <w:p>
      <w:r>
        <w:br w:type="page"/>
      </w:r>
    </w:p>
    <w:p>
      <w:pPr>
        <w:pStyle w:val="Heading1"/>
      </w:pPr>
      <w:r>
        <w:t>Operational Entry Point</w:t>
      </w:r>
    </w:p>
    <w:p>
      <w:pPr>
        <w:pStyle w:val="KUTUMBARights"/>
      </w:pPr>
      <w:r>
        <w:t>Canonical source: 11-weekly-program-library/first-six-months/c1-u1-kartika-damodara-family-utsava/V13-WEEK-START-HERE.md  •  SHA-256: 8ea618b6f2d148b462aa502557f2a8606920d08cb45714475d9df2094c5d3431</w:t>
      </w:r>
    </w:p>
    <w:p>
      <w:r>
        <w:rPr>
          <w:b/>
        </w:rPr>
        <w:t>Title:</w:t>
      </w:r>
      <w:r>
        <w:t xml:space="preserve"> Kartika / Damodara Family Utsava </w:t>
      </w:r>
      <w:r>
        <w:rPr>
          <w:b/>
        </w:rPr>
        <w:t>Planning Saturday:</w:t>
      </w:r>
      <w:r>
        <w:t xml:space="preserve"> 2026-10-31 </w:t>
      </w:r>
      <w:r>
        <w:rPr>
          <w:b/>
        </w:rPr>
        <w:t>Primary:</w:t>
      </w:r>
      <w:r>
        <w:t xml:space="preserve"> SB 10.9 — https://vedabase.io/en/library/sb/10/9/</w:t>
      </w:r>
    </w:p>
    <w:p>
      <w:pPr>
        <w:pStyle w:val="Heading2"/>
      </w:pPr>
      <w:r>
        <w:t>Schedule</w:t>
      </w:r>
    </w:p>
    <w:p>
      <w:r>
        <w:t>Program remains 2:00–4:00. Internal stations may adapt. Local tithi EXTERNAL_OPEN.</w:t>
      </w:r>
    </w:p>
    <w:p>
      <w:pPr>
        <w:pStyle w:val="Heading2"/>
      </w:pPr>
      <w:r>
        <w:t>Open</w:t>
      </w:r>
    </w:p>
    <w:p>
      <w:pPr>
        <w:pStyle w:val="ListBullet"/>
      </w:pPr>
      <w:r>
        <w:rPr>
          <w:rFonts w:ascii="Consolas" w:hAnsi="Consolas"/>
          <w:color w:val="7A263A"/>
          <w:sz w:val="18"/>
        </w:rPr>
        <w:t>teacher/MAIN-FACILITATOR-GUIDE-V13.md</w:t>
      </w:r>
    </w:p>
    <w:p>
      <w:pPr>
        <w:pStyle w:val="ListBullet"/>
      </w:pPr>
      <w:r>
        <w:rPr>
          <w:rFonts w:ascii="Consolas" w:hAnsi="Consolas"/>
          <w:color w:val="7A263A"/>
          <w:sz w:val="18"/>
        </w:rPr>
        <w:t>teacher/PARENT-GUIDE-V13.md</w:t>
      </w:r>
    </w:p>
    <w:p>
      <w:pPr>
        <w:pStyle w:val="ListBullet"/>
      </w:pPr>
      <w:r>
        <w:rPr>
          <w:rFonts w:ascii="Consolas" w:hAnsi="Consolas"/>
          <w:color w:val="7A263A"/>
          <w:sz w:val="18"/>
        </w:rPr>
        <w:t>teacher/YOUNGER-TEACHER-GUIDE-V13.md</w:t>
      </w:r>
    </w:p>
    <w:p>
      <w:pPr>
        <w:pStyle w:val="ListBullet"/>
      </w:pPr>
      <w:r>
        <w:rPr>
          <w:rFonts w:ascii="Consolas" w:hAnsi="Consolas"/>
          <w:color w:val="7A263A"/>
          <w:sz w:val="18"/>
        </w:rPr>
        <w:t>teacher/OLDER-TEACHER-GUIDE-V13.md</w:t>
      </w:r>
    </w:p>
    <w:p>
      <w:pPr>
        <w:pStyle w:val="ListBullet"/>
      </w:pPr>
      <w:r>
        <w:rPr>
          <w:rFonts w:ascii="Consolas" w:hAnsi="Consolas"/>
          <w:color w:val="7A263A"/>
          <w:sz w:val="18"/>
        </w:rPr>
        <w:t>materials-v13.md</w:t>
      </w:r>
    </w:p>
    <w:p>
      <w:pPr>
        <w:pStyle w:val="ListBullet"/>
      </w:pPr>
      <w:r>
        <w:rPr>
          <w:rFonts w:ascii="Consolas" w:hAnsi="Consolas"/>
          <w:color w:val="7A263A"/>
          <w:sz w:val="18"/>
        </w:rPr>
        <w:t>family-home-practice-v13.md</w:t>
      </w:r>
    </w:p>
    <w:p>
      <w:pPr>
        <w:pStyle w:val="Heading2"/>
      </w:pPr>
      <w:r>
        <w:t>Safety</w:t>
      </w:r>
    </w:p>
    <w:p>
      <w:r>
        <w:t>No child fasting instructions. LED lamps default for flame symbolism. No fabricated temple approvals.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2E3033"/>
          <w:left w:val="single" w:sz="8" w:color="2E3033"/>
          <w:bottom w:val="single" w:sz="8" w:color="2E3033"/>
          <w:right w:val="single" w:sz="8" w:color="2E3033"/>
          <w:insideH w:val="single" w:sz="8" w:color="2E3033"/>
          <w:insideV w:val="single" w:sz="8" w:color="2E3033"/>
        </w:tblBorders>
      </w:tblPr>
      <w:tblGrid>
        <w:gridCol w:w="1944"/>
        <w:gridCol w:w="8136"/>
      </w:tblGrid>
      <w:tr>
        <w:tc>
          <w:tcPr>
            <w:tcW w:type="dxa" w:w="4968"/>
            <w:shd w:fill="2E3033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RIGHTS NOTE</w:t>
            </w:r>
          </w:p>
        </w:tc>
        <w:tc>
          <w:tcPr>
            <w:tcW w:type="dxa" w:w="4968"/>
            <w:shd w:fill="EFF0F1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KUTUMBA-original framing; cited third-party material retains its own rights. Human/temple review remains EXTERNAL_OPEN.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37" w:left="1152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Segoe UI" w:cs="Segoe UI"/>
        <w:b/>
        <w:color w:val="5B1933"/>
        <w:sz w:val="15"/>
      </w:rPr>
      <w:t xml:space="preserve">KUTUMBA • Families Growing in Krishna Consciousness  |  </w:t>
    </w:r>
    <w:r>
      <w:rPr>
        <w:rFonts w:ascii="Segoe UI" w:hAnsi="Segoe UI" w:eastAsia="Segoe UI" w:cs="Segoe UI"/>
        <w:color w:val="2E3033"/>
        <w:sz w:val="15"/>
      </w:rPr>
      <w:t xml:space="preserve">KUTUMBA-original framing; cited third-party material retains its own rights.  |  Page </w:t>
    </w:r>
    <w:r>
      <w:rPr>
        <w:rFonts w:ascii="Segoe UI" w:hAnsi="Segoe UI" w:eastAsia="Segoe UI" w:cs="Segoe UI"/>
        <w:sz w:val="15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Segoe UI" w:hAnsi="Segoe UI" w:eastAsia="Segoe UI" w:cs="Segoe UI"/>
        <w:sz w:val="15"/>
      </w:rPr>
      <w:t xml:space="preserve"> of </w:t>
    </w:r>
    <w:r>
      <w:rPr>
        <w:rFonts w:ascii="Segoe UI" w:hAnsi="Segoe UI" w:eastAsia="Segoe UI" w:cs="Segoe UI"/>
        <w:sz w:val="15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8" w:space="4" w:color="E59B24"/>
      </w:pBdr>
    </w:pPr>
    <w:r>
      <w:rPr>
        <w:rFonts w:ascii="Segoe UI" w:hAnsi="Segoe UI" w:eastAsia="Segoe UI" w:cs="Segoe UI"/>
        <w:b/>
        <w:color w:val="5B1933"/>
        <w:sz w:val="17"/>
      </w:rPr>
      <w:t xml:space="preserve">KUTUMBA  •  </w:t>
    </w:r>
    <w:r>
      <w:rPr>
        <w:rFonts w:ascii="Segoe UI" w:hAnsi="Segoe UI" w:eastAsia="Segoe UI" w:cs="Segoe UI"/>
        <w:color w:val="4F7C78"/>
        <w:sz w:val="17"/>
      </w:rPr>
      <w:t>C1-U1 • V13  |  Program owner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Segoe UI" w:hAnsi="Segoe UI" w:eastAsia="Segoe UI" w:cs="Segoe UI"/>
      <w:b w:val="0"/>
      <w:color w:val="2E30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Cambria" w:hAnsi="Cambria" w:eastAsia="Cambria" w:cs="Cambria"/>
      <w:b/>
      <w:bCs/>
      <w:color w:val="5B193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 w:eastAsia="Cambria" w:cs="Cambria"/>
      <w:b/>
      <w:bCs/>
      <w:color w:val="7A263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mbria" w:hAnsi="Cambria" w:eastAsia="Cambria" w:cs="Cambria"/>
      <w:b/>
      <w:bCs/>
      <w:color w:val="4F7C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60"/>
      <w:outlineLvl w:val="3"/>
    </w:pPr>
    <w:rPr>
      <w:rFonts w:asciiTheme="majorHAnsi" w:eastAsiaTheme="majorEastAsia" w:hAnsiTheme="majorHAnsi" w:cstheme="majorBidi" w:ascii="Cambria" w:hAnsi="Cambria" w:eastAsia="Cambria" w:cs="Cambria"/>
      <w:b/>
      <w:bCs/>
      <w:i/>
      <w:iCs/>
      <w:color w:val="5B1933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Cambria" w:hAnsi="Cambria" w:eastAsia="Cambria" w:cs="Cambria"/>
      <w:b/>
      <w:color w:val="5B1933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 w:ascii="Segoe UI" w:hAnsi="Segoe UI" w:eastAsia="Segoe UI" w:cs="Segoe UI"/>
      <w:b w:val="0"/>
      <w:i/>
      <w:iCs/>
      <w:color w:val="4F7C78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100" w:after="140"/>
      <w:ind w:left="360" w:right="216"/>
    </w:pPr>
    <w:rPr>
      <w:rFonts w:ascii="Cambria" w:hAnsi="Cambria" w:eastAsia="Cambria" w:cs="Cambria"/>
      <w:b w:val="0"/>
      <w:i/>
      <w:iCs/>
      <w:color w:val="5B1933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egoe UI" w:hAnsi="Segoe UI" w:eastAsia="Segoe UI" w:cs="Segoe UI"/>
      <w:b/>
      <w:bCs/>
      <w:color w:val="4F7C78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UTUMBAEyebrow">
    <w:name w:val="KUTUMBA Eyebrow"/>
    <w:pPr>
      <w:spacing w:after="80"/>
    </w:pPr>
    <w:rPr>
      <w:rFonts w:ascii="Segoe UI" w:hAnsi="Segoe UI" w:eastAsia="Segoe UI" w:cs="Segoe UI"/>
      <w:b/>
      <w:color w:val="E59B24"/>
      <w:sz w:val="18"/>
    </w:rPr>
  </w:style>
  <w:style w:type="paragraph" w:customStyle="1" w:styleId="KUTUMBAMeta">
    <w:name w:val="KUTUMBA Meta"/>
    <w:pPr>
      <w:spacing w:after="80"/>
    </w:pPr>
    <w:rPr>
      <w:rFonts w:ascii="Segoe UI" w:hAnsi="Segoe UI" w:eastAsia="Segoe UI" w:cs="Segoe UI"/>
      <w:b w:val="0"/>
      <w:color w:val="4F7C78"/>
      <w:sz w:val="18"/>
    </w:rPr>
  </w:style>
  <w:style w:type="paragraph" w:customStyle="1" w:styleId="KUTUMBACalloutLabel">
    <w:name w:val="KUTUMBA Callout Label"/>
    <w:pPr>
      <w:spacing w:after="80"/>
    </w:pPr>
    <w:rPr>
      <w:rFonts w:ascii="Segoe UI" w:hAnsi="Segoe UI" w:eastAsia="Segoe UI" w:cs="Segoe UI"/>
      <w:b/>
      <w:color w:val="FFFFFF"/>
      <w:sz w:val="17"/>
    </w:rPr>
  </w:style>
  <w:style w:type="paragraph" w:customStyle="1" w:styleId="KUTUMBACalloutBody">
    <w:name w:val="KUTUMBA Callout Body"/>
    <w:pPr>
      <w:spacing w:after="80"/>
    </w:pPr>
    <w:rPr>
      <w:rFonts w:ascii="Calibri" w:hAnsi="Calibri" w:eastAsia="Calibri" w:cs="Calibri"/>
      <w:b w:val="0"/>
      <w:color w:val="2E3033"/>
      <w:sz w:val="20"/>
    </w:rPr>
  </w:style>
  <w:style w:type="paragraph" w:customStyle="1" w:styleId="KUTUMBAVerseDevanagari">
    <w:name w:val="KUTUMBA Verse Devanagari"/>
    <w:pPr>
      <w:keepLines/>
      <w:spacing w:after="80"/>
    </w:pPr>
    <w:rPr>
      <w:rFonts w:ascii="Nirmala UI" w:hAnsi="Nirmala UI" w:eastAsia="Nirmala UI" w:cs="Nirmala UI"/>
      <w:b w:val="0"/>
      <w:color w:val="5B1933"/>
      <w:sz w:val="30"/>
    </w:rPr>
  </w:style>
  <w:style w:type="paragraph" w:customStyle="1" w:styleId="KUTUMBAVerseIAST">
    <w:name w:val="KUTUMBA Verse IAST"/>
    <w:pPr>
      <w:keepLines/>
      <w:spacing w:after="80"/>
    </w:pPr>
    <w:rPr>
      <w:rFonts w:ascii="Calibri" w:hAnsi="Calibri" w:eastAsia="Calibri" w:cs="Calibri"/>
      <w:b w:val="0"/>
      <w:color w:val="4F7C78"/>
      <w:sz w:val="21"/>
    </w:rPr>
  </w:style>
  <w:style w:type="paragraph" w:customStyle="1" w:styleId="KUTUMBARights">
    <w:name w:val="KUTUMBA Rights"/>
    <w:pPr>
      <w:spacing w:after="80"/>
    </w:pPr>
    <w:rPr>
      <w:rFonts w:ascii="Segoe UI" w:hAnsi="Segoe UI" w:eastAsia="Segoe UI" w:cs="Segoe UI"/>
      <w:b w:val="0"/>
      <w:color w:val="2E3033"/>
      <w:sz w:val="16"/>
    </w:rPr>
  </w:style>
  <w:style w:type="table" w:customStyle="1" w:styleId="KUTUMBATable">
    <w:name w:val="KUTUMBA Table"/>
    <w:rPr>
      <w:rFonts w:ascii="Calibri" w:hAnsi="Calibri"/>
      <w:color w:val="2E303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